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4"/>
        <w:spacing w:before="120" w:beforeLines="50" w:line="360" w:lineRule="auto"/>
        <w:rPr>
          <w:rFonts w:hint="eastAsia" w:ascii="宋体" w:hAnsi="宋体" w:eastAsia="宋体" w:cs="宋体"/>
          <w:b/>
          <w:bCs/>
          <w:color w:val="auto"/>
          <w:sz w:val="40"/>
          <w:szCs w:val="40"/>
          <w:highlight w:val="none"/>
        </w:rPr>
      </w:pPr>
      <w:bookmarkStart w:id="0" w:name="_Toc5725"/>
      <w:bookmarkStart w:id="1" w:name="_Toc578"/>
      <w:bookmarkStart w:id="2" w:name="_Toc6478"/>
      <w:r>
        <w:rPr>
          <w:rFonts w:hint="eastAsia" w:ascii="宋体" w:hAnsi="宋体" w:eastAsia="宋体" w:cs="宋体"/>
          <w:b/>
          <w:bCs/>
          <w:color w:val="auto"/>
          <w:sz w:val="40"/>
          <w:szCs w:val="40"/>
          <w:highlight w:val="none"/>
        </w:rPr>
        <w:t>项目编号：QXZB-2023-1129B</w:t>
      </w:r>
    </w:p>
    <w:p>
      <w:pPr>
        <w:pStyle w:val="34"/>
        <w:spacing w:line="360" w:lineRule="auto"/>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rPr>
        <w:t>项目名称：</w:t>
      </w:r>
      <w:r>
        <w:rPr>
          <w:rFonts w:hint="eastAsia" w:ascii="宋体" w:hAnsi="宋体" w:eastAsia="宋体" w:cs="宋体"/>
          <w:b/>
          <w:bCs/>
          <w:color w:val="auto"/>
          <w:sz w:val="40"/>
          <w:szCs w:val="40"/>
          <w:highlight w:val="none"/>
          <w:lang w:eastAsia="zh-CN"/>
        </w:rPr>
        <w:t>成都市技师学院铁道工程学院专业教学资源库建设项目</w:t>
      </w:r>
    </w:p>
    <w:p>
      <w:pPr>
        <w:pStyle w:val="34"/>
        <w:wordWrap w:val="0"/>
        <w:topLinePunct/>
        <w:spacing w:before="3600" w:beforeLines="1500" w:after="3600" w:afterLines="1500" w:line="240" w:lineRule="auto"/>
        <w:jc w:val="center"/>
        <w:rPr>
          <w:rFonts w:hint="eastAsia" w:ascii="宋体" w:hAnsi="宋体" w:eastAsia="宋体" w:cs="宋体"/>
          <w:b/>
          <w:bCs/>
          <w:color w:val="auto"/>
          <w:sz w:val="96"/>
          <w:szCs w:val="96"/>
          <w:highlight w:val="none"/>
        </w:rPr>
      </w:pPr>
      <w:r>
        <w:rPr>
          <w:rFonts w:hint="eastAsia" w:ascii="宋体" w:hAnsi="宋体" w:eastAsia="宋体" w:cs="宋体"/>
          <w:b/>
          <w:color w:val="auto"/>
          <w:sz w:val="96"/>
          <w:szCs w:val="96"/>
          <w:highlight w:val="none"/>
        </w:rPr>
        <w:t>竞争性磋商文件</w:t>
      </w:r>
    </w:p>
    <w:p>
      <w:pPr>
        <w:pStyle w:val="34"/>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中国·四川</w:t>
      </w:r>
    </w:p>
    <w:p>
      <w:pPr>
        <w:pStyle w:val="34"/>
        <w:spacing w:line="360" w:lineRule="auto"/>
        <w:ind w:left="2400" w:leftChars="10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   购   人：</w:t>
      </w:r>
      <w:r>
        <w:rPr>
          <w:rFonts w:hint="eastAsia" w:ascii="宋体" w:hAnsi="宋体" w:eastAsia="宋体" w:cs="宋体"/>
          <w:b/>
          <w:bCs/>
          <w:color w:val="auto"/>
          <w:sz w:val="28"/>
          <w:szCs w:val="28"/>
          <w:highlight w:val="none"/>
          <w:lang w:eastAsia="zh-CN"/>
        </w:rPr>
        <w:t>成都市技师学院</w:t>
      </w:r>
      <w:r>
        <w:rPr>
          <w:rFonts w:hint="eastAsia" w:ascii="宋体" w:hAnsi="宋体" w:eastAsia="宋体" w:cs="宋体"/>
          <w:b/>
          <w:bCs/>
          <w:color w:val="auto"/>
          <w:sz w:val="28"/>
          <w:szCs w:val="28"/>
          <w:highlight w:val="none"/>
        </w:rPr>
        <w:t xml:space="preserve">         </w:t>
      </w:r>
    </w:p>
    <w:p>
      <w:pPr>
        <w:pStyle w:val="34"/>
        <w:spacing w:line="360" w:lineRule="auto"/>
        <w:ind w:left="2400" w:leftChars="10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采购代理机构：四川乾新招投标代理有限公司</w:t>
      </w:r>
    </w:p>
    <w:p>
      <w:pPr>
        <w:pStyle w:val="34"/>
        <w:spacing w:line="360" w:lineRule="auto"/>
        <w:ind w:left="2400" w:leftChars="10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文  件 编 制：由采购人和采购代理机构共同编制</w:t>
      </w:r>
    </w:p>
    <w:p>
      <w:pPr>
        <w:pStyle w:val="34"/>
        <w:spacing w:line="360" w:lineRule="auto"/>
        <w:jc w:val="center"/>
        <w:rPr>
          <w:rFonts w:hint="eastAsia" w:ascii="宋体" w:hAnsi="宋体" w:eastAsia="宋体" w:cs="宋体"/>
          <w:b/>
          <w:bCs/>
          <w:color w:val="auto"/>
          <w:sz w:val="28"/>
          <w:szCs w:val="28"/>
          <w:highlight w:val="none"/>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ascii="宋体" w:hAnsi="宋体" w:eastAsia="宋体" w:cs="宋体"/>
          <w:b/>
          <w:bCs/>
          <w:color w:val="auto"/>
          <w:sz w:val="28"/>
          <w:szCs w:val="28"/>
          <w:highlight w:val="none"/>
        </w:rPr>
        <w:t>2023年</w:t>
      </w:r>
      <w:r>
        <w:rPr>
          <w:rFonts w:hint="eastAsia" w:ascii="宋体" w:hAnsi="宋体" w:eastAsia="宋体" w:cs="宋体"/>
          <w:b/>
          <w:bCs/>
          <w:color w:val="auto"/>
          <w:sz w:val="28"/>
          <w:szCs w:val="28"/>
          <w:highlight w:val="none"/>
          <w:lang w:val="en-US" w:eastAsia="zh-CN"/>
        </w:rPr>
        <w:t>11</w:t>
      </w:r>
      <w:r>
        <w:rPr>
          <w:rFonts w:hint="eastAsia" w:ascii="宋体" w:hAnsi="宋体" w:eastAsia="宋体" w:cs="宋体"/>
          <w:b/>
          <w:bCs/>
          <w:color w:val="auto"/>
          <w:sz w:val="28"/>
          <w:szCs w:val="28"/>
          <w:highlight w:val="none"/>
        </w:rPr>
        <w:t>月</w:t>
      </w:r>
    </w:p>
    <w:p>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目  录</w:t>
      </w:r>
      <w:bookmarkEnd w:id="0"/>
      <w:bookmarkEnd w:id="1"/>
    </w:p>
    <w:p>
      <w:pPr>
        <w:pStyle w:val="17"/>
        <w:tabs>
          <w:tab w:val="clear" w:pos="0"/>
        </w:tabs>
        <w:rPr>
          <w:rFonts w:hint="eastAsia" w:ascii="宋体" w:hAnsi="宋体" w:eastAsia="宋体" w:cs="宋体"/>
          <w:color w:val="auto"/>
          <w:highlight w:val="none"/>
        </w:rPr>
      </w:pPr>
      <w:bookmarkStart w:id="3" w:name="_Toc28748"/>
      <w:bookmarkStart w:id="4" w:name="_Toc15794"/>
      <w:bookmarkStart w:id="5" w:name="_Toc26242"/>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竞争性磋商邀请公告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_Toc5871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第二章 </w:t>
      </w:r>
      <w:r>
        <w:rPr>
          <w:rFonts w:hint="eastAsia" w:ascii="宋体" w:hAnsi="宋体" w:eastAsia="宋体" w:cs="宋体"/>
          <w:color w:val="auto"/>
          <w:szCs w:val="36"/>
          <w:highlight w:val="none"/>
        </w:rPr>
        <w:t>磋商须知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_Toc5871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_Toc19545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一、 磋商须知前附表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_Toc19545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_Toc29115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二、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_Toc29115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_Toc11812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三、 竞争性磋商文件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_Toc15085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竞争性磋商文件的构成(实质性要求)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_Toc15085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_Toc14193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竞争性磋商文件包含内容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竞争性磋商文件的澄清和修改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_Toc24183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_Toc17442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实质性变动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_Toc17442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_Toc12702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答疑会和现场考察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_Toc16804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四、 响应文件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_Toc11344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响应文件的语言(实质性要求)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_Toc28546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计量单位(实质性要求)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_Toc28546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知识产权(实质性要求)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_Toc17743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响应文件格式要求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_Toc17743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磋商有效期(实质性要求)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联合体磋商</w:t>
      </w:r>
      <w:r>
        <w:rPr>
          <w:rFonts w:hint="eastAsia" w:ascii="宋体" w:hAnsi="宋体" w:eastAsia="宋体" w:cs="宋体"/>
          <w:color w:val="auto"/>
          <w:highlight w:val="none"/>
          <w:lang w:val="zh-CN"/>
        </w:rPr>
        <w:t>(实质性要求)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_Toc27618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响应文件组成(实质性要求)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_Toc27618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报价要求(实质性要求)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_Toc16650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(九) 响应文件编制要求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_Toc16650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_Toc15766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 响应文件的密封和标注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_Toc15766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 响应文件的递交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_Toc8572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_Toc7712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(十二) 响应文件的修改和撤回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_Toc20576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(十三) 磋商保证金(实质性要求)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_Toc7562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五、 磋商会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_Toc13563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(一) 磋商会人员</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_Toc12747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(二) 磋商会内容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_Toc29221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(三) 电子监控档案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_Toc29221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_Toc19498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六、 成交事项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_Toc19498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_Toc28301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确定成交供应商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_Toc28301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_Toc12543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成交结果</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_Toc12543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_Toc31754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成交通知书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_Toc31754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_Toc30258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七、 合同事项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_Toc32396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签订合同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_Toc9980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合同分包(实质性要求)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_Toc9980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_Toc14178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合同转包(实质性要求)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_Toc14178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_Toc15998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补充合同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_Toc15998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_Toc16373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履行合同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_Toc16373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_Toc30748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付款方式及履约验收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_Toc22321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八、 磋商纪律要求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_Toc11212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供应商参加本项目采购活动不得具有的情形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_Toc11212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_Toc32541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磋商现场纪律要求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_Toc23987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6"/>
          <w:highlight w:val="none"/>
        </w:rPr>
        <w:t>九、 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_Toc23987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_Toc5253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询问、质疑和投诉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_Toc5253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关于行贿犯罪档案查询工作的规定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_Toc6303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供应商信用信息查询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_Toc6303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保密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_Toc25865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回避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_Toc25865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_Toc5939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解释说明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_Toc5939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_Toc25259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第一部分 资格、资质性及其他类似效力响应文件(格式)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_Toc25259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_Toc32727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法定代表人/单位负责人授权书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法定代表人/单位负责人证明书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_Toc8728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供应商具有独立承担民事责任的能力的证明材料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_Toc8728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_Toc22062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供应商具有良好的商业信誉和健全的财务会计制度的证明材料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_Toc22062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供应商有依法缴纳税收和社会保障资金的良好记录的证明材料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_Toc11767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供应商具有履行合同所必需的设备和专业技术能力证明材料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_Toc11767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供应商参加采购活动前三年内，在经营活动中没有重大违法记录的证明材料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_Toc25846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 xml:space="preserve">七、 </w:t>
      </w:r>
      <w:r>
        <w:rPr>
          <w:rFonts w:hint="eastAsia" w:ascii="宋体" w:hAnsi="宋体" w:eastAsia="宋体" w:cs="宋体"/>
          <w:color w:val="auto"/>
          <w:w w:val="95"/>
          <w:highlight w:val="none"/>
        </w:rPr>
        <w:t>供应商单位</w:t>
      </w:r>
      <w:r>
        <w:rPr>
          <w:rFonts w:hint="eastAsia" w:ascii="宋体" w:hAnsi="宋体" w:eastAsia="宋体" w:cs="宋体"/>
          <w:color w:val="auto"/>
          <w:w w:val="95"/>
          <w:highlight w:val="none"/>
          <w:lang w:val="zh-CN"/>
        </w:rPr>
        <w:t>及其现任法定代表人、主要负责人不得具有行贿犯罪记录</w:t>
      </w:r>
      <w:r>
        <w:rPr>
          <w:rFonts w:hint="eastAsia" w:ascii="宋体" w:hAnsi="宋体" w:eastAsia="宋体" w:cs="宋体"/>
          <w:color w:val="auto"/>
          <w:w w:val="95"/>
          <w:highlight w:val="none"/>
        </w:rPr>
        <w:t>的承诺函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_Toc25846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_Toc22692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根据采购项目的特殊要求，规定供应商提供的特定条件的证明材料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_Toc22692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_Toc22289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0"/>
          <w:highlight w:val="none"/>
        </w:rPr>
        <w:t>九、 提供有效的磋商保证金提交凭证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_Toc22289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_Toc3838 </w:instrText>
      </w:r>
      <w:r>
        <w:rPr>
          <w:rFonts w:hint="eastAsia" w:ascii="宋体" w:hAnsi="宋体" w:eastAsia="宋体" w:cs="宋体"/>
          <w:color w:val="auto"/>
          <w:highlight w:val="none"/>
        </w:rPr>
        <w:fldChar w:fldCharType="separate"/>
      </w:r>
      <w:r>
        <w:rPr>
          <w:rFonts w:hint="eastAsia" w:ascii="宋体" w:hAnsi="宋体" w:eastAsia="宋体" w:cs="宋体"/>
          <w:color w:val="auto"/>
          <w:w w:val="95"/>
          <w:highlight w:val="none"/>
        </w:rPr>
        <w:t>十、 承诺及声明函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第二部分 其他响应文件(格式)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_Toc10742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磋商函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_Toc10742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_Toc24184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实质性要求承诺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_Toc28094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供应商基本情况表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_Toc28094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商务应答表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_Toc15840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五、 技术及服务应答表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_Toc15840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_Toc2656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供应商针对本项目人员配置情况表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_Toc2656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_Toc9821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七、 小微企业、监狱企业、残疾人福利性单位价格扣除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_Toc9821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(一)中小企业声明函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_Toc11870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_Toc8482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(二)监狱企业相关证明材料(如涉及)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_Toc3180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(三)残疾人福利性单位声明函(如涉及)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_Toc5113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八、 履约能力及相关证明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_Toc9348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九、 </w:t>
      </w:r>
      <w:r>
        <w:rPr>
          <w:rFonts w:hint="eastAsia" w:ascii="宋体" w:hAnsi="宋体" w:eastAsia="宋体" w:cs="宋体"/>
          <w:color w:val="auto"/>
          <w:highlight w:val="none"/>
          <w:lang w:val="en-US" w:eastAsia="zh-CN"/>
        </w:rPr>
        <w:t>项目实施</w:t>
      </w:r>
      <w:r>
        <w:rPr>
          <w:rFonts w:hint="eastAsia" w:ascii="宋体" w:hAnsi="宋体" w:eastAsia="宋体" w:cs="宋体"/>
          <w:color w:val="auto"/>
          <w:highlight w:val="none"/>
        </w:rPr>
        <w:t>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后期服务方案及培训方案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_Toc9348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_Toc13054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 招标代理服务费承诺函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3"/>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_Toc26159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十一、 报价表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_Toc26159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_Toc5104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资格性审查内容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_Toc5104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_Toc19236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第五章 </w:t>
      </w:r>
      <w:r>
        <w:rPr>
          <w:rFonts w:hint="eastAsia" w:ascii="宋体" w:hAnsi="宋体" w:eastAsia="宋体" w:cs="宋体"/>
          <w:color w:val="auto"/>
          <w:szCs w:val="36"/>
          <w:highlight w:val="none"/>
        </w:rPr>
        <w:t>采购项目技术、服务、合同内容条款及商务要求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_Toc19236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_Toc24785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项目概况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_Toc24785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_Toc14302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★采购标的</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★技术及服务要求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_Toc19629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_Toc20547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 ★商务要求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_Toc1962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 xml:space="preserve">五、 </w:t>
      </w:r>
      <w:r>
        <w:rPr>
          <w:rFonts w:hint="eastAsia" w:ascii="宋体" w:hAnsi="宋体" w:eastAsia="宋体" w:cs="宋体"/>
          <w:color w:val="auto"/>
          <w:highlight w:val="none"/>
        </w:rPr>
        <w:t>★</w:t>
      </w:r>
      <w:r>
        <w:rPr>
          <w:rFonts w:hint="eastAsia" w:ascii="宋体" w:hAnsi="宋体" w:eastAsia="宋体" w:cs="宋体"/>
          <w:bCs/>
          <w:color w:val="auto"/>
          <w:highlight w:val="none"/>
        </w:rPr>
        <w:t>履约保证金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_Toc16833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六、 技术服务水平</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_Toc16833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_Toc4224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七、 项目演示</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磋商内容、磋商过程中可实质性变动的内容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_Toc4968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第七章 磋商程序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一、 磋商小组及专家组成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_Toc31869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_Toc22802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二、 磋商组织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_Toc22802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三、 评审程序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_Toc27826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_Toc27826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7"/>
        <w:tabs>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_Toc8410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第九章 附件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_Toc8410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_Toc20908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附件一：问题的澄清、说明、更正通知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_Toc20908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_Toc6534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附件二：问题的澄清、说明、更正</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_Toc11384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附件三：2023年度信用评价服务效果调查表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_Toc11384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9746"/>
          <w:tab w:val="clear" w:pos="0"/>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_Toc1999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附件四：统计上大中小微型企业划分标准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pPr>
        <w:pStyle w:val="48"/>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
      <w:bookmarkEnd w:id="3"/>
      <w:bookmarkEnd w:id="4"/>
      <w:bookmarkEnd w:id="5"/>
      <w:bookmarkStart w:id="6" w:name="_Toc22701"/>
      <w:bookmarkStart w:id="7" w:name="_Toc15291"/>
      <w:bookmarkStart w:id="8" w:name="_Toc213496267"/>
      <w:bookmarkStart w:id="9" w:name="_Toc213396945"/>
      <w:bookmarkStart w:id="10" w:name="_Toc213397009"/>
      <w:bookmarkStart w:id="11" w:name="_Toc213396759"/>
      <w:bookmarkStart w:id="12" w:name="_Toc217446031"/>
      <w:r>
        <w:rPr>
          <w:rFonts w:hint="eastAsia" w:ascii="宋体" w:hAnsi="宋体" w:eastAsia="宋体" w:cs="宋体"/>
          <w:color w:val="auto"/>
          <w:highlight w:val="none"/>
        </w:rPr>
        <w:t>竞争性磋商邀请公告</w:t>
      </w:r>
      <w:bookmarkEnd w:id="6"/>
      <w:bookmarkEnd w:id="7"/>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lang w:val="zh-CN"/>
        </w:rPr>
        <w:t>四川乾新招投标代理有限公司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成都市技师学院</w:t>
      </w:r>
      <w:r>
        <w:rPr>
          <w:rFonts w:hint="eastAsia" w:ascii="宋体" w:hAnsi="宋体" w:eastAsia="宋体" w:cs="宋体"/>
          <w:color w:val="auto"/>
          <w:highlight w:val="none"/>
        </w:rPr>
        <w:t>的委托，拟对</w:t>
      </w:r>
      <w:r>
        <w:rPr>
          <w:rFonts w:hint="eastAsia" w:ascii="宋体" w:hAnsi="宋体" w:eastAsia="宋体" w:cs="宋体"/>
          <w:color w:val="auto"/>
          <w:highlight w:val="none"/>
          <w:lang w:eastAsia="zh-CN"/>
        </w:rPr>
        <w:t>成都市技师学院铁道工程学院专业教学资源库建设项目</w:t>
      </w:r>
      <w:r>
        <w:rPr>
          <w:rFonts w:hint="eastAsia" w:ascii="宋体" w:hAnsi="宋体" w:eastAsia="宋体" w:cs="宋体"/>
          <w:color w:val="auto"/>
          <w:highlight w:val="none"/>
        </w:rPr>
        <w:t>采用竞争性磋商方式进行采购，特邀请合格的供应商参加该项目的竞争性磋商。</w:t>
      </w:r>
    </w:p>
    <w:p>
      <w:pPr>
        <w:pStyle w:val="43"/>
        <w:numPr>
          <w:ilvl w:val="0"/>
          <w:numId w:val="7"/>
        </w:numPr>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项目编号：</w:t>
      </w:r>
      <w:bookmarkStart w:id="663" w:name="_GoBack"/>
      <w:r>
        <w:rPr>
          <w:rFonts w:hint="eastAsia" w:ascii="宋体" w:hAnsi="宋体" w:eastAsia="宋体" w:cs="宋体"/>
          <w:color w:val="auto"/>
          <w:highlight w:val="none"/>
        </w:rPr>
        <w:t>QXZB-2023-1129B</w:t>
      </w:r>
      <w:bookmarkEnd w:id="663"/>
    </w:p>
    <w:p>
      <w:pPr>
        <w:pStyle w:val="43"/>
        <w:numPr>
          <w:ilvl w:val="0"/>
          <w:numId w:val="7"/>
        </w:numPr>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项目名称：</w:t>
      </w:r>
      <w:r>
        <w:rPr>
          <w:rFonts w:hint="eastAsia" w:ascii="宋体" w:hAnsi="宋体" w:eastAsia="宋体" w:cs="宋体"/>
          <w:color w:val="auto"/>
          <w:spacing w:val="-6"/>
          <w:sz w:val="24"/>
          <w:highlight w:val="none"/>
          <w:lang w:eastAsia="zh-CN"/>
        </w:rPr>
        <w:t>成都市技师学院铁道工程学院专业教学资源库建设项目</w:t>
      </w:r>
    </w:p>
    <w:p>
      <w:pPr>
        <w:pStyle w:val="43"/>
        <w:numPr>
          <w:ilvl w:val="0"/>
          <w:numId w:val="7"/>
        </w:numPr>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资金来源：</w:t>
      </w:r>
      <w:r>
        <w:rPr>
          <w:rFonts w:hint="eastAsia" w:ascii="宋体" w:hAnsi="宋体" w:eastAsia="宋体" w:cs="宋体"/>
          <w:color w:val="auto"/>
          <w:highlight w:val="none"/>
        </w:rPr>
        <w:t>资金已落实，本项目采购预算为</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万元。</w:t>
      </w:r>
    </w:p>
    <w:p>
      <w:pPr>
        <w:pStyle w:val="43"/>
        <w:numPr>
          <w:ilvl w:val="0"/>
          <w:numId w:val="7"/>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采购项目简介：</w:t>
      </w:r>
    </w:p>
    <w:p>
      <w:pPr>
        <w:pStyle w:val="43"/>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(一)采购内容：</w:t>
      </w:r>
      <w:r>
        <w:rPr>
          <w:rFonts w:hint="eastAsia" w:ascii="宋体" w:hAnsi="宋体" w:eastAsia="宋体" w:cs="宋体"/>
          <w:b w:val="0"/>
          <w:bCs w:val="0"/>
          <w:color w:val="auto"/>
          <w:highlight w:val="none"/>
          <w:lang w:eastAsia="zh-CN"/>
        </w:rPr>
        <w:t>铁道工程学院专业教学资源库建设</w:t>
      </w:r>
      <w:r>
        <w:rPr>
          <w:rFonts w:hint="eastAsia" w:ascii="宋体" w:hAnsi="宋体" w:eastAsia="宋体" w:cs="宋体"/>
          <w:color w:val="auto"/>
          <w:highlight w:val="none"/>
        </w:rPr>
        <w:t>，具体详见竞争性磋商文件第五章。</w:t>
      </w:r>
    </w:p>
    <w:p>
      <w:pPr>
        <w:pStyle w:val="43"/>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(二)采购包划分：</w:t>
      </w:r>
      <w:r>
        <w:rPr>
          <w:rFonts w:hint="eastAsia" w:ascii="宋体" w:hAnsi="宋体" w:eastAsia="宋体" w:cs="宋体"/>
          <w:color w:val="auto"/>
          <w:highlight w:val="none"/>
        </w:rPr>
        <w:t>本项目共计1个包，设置1名成交供应商。</w:t>
      </w:r>
    </w:p>
    <w:p>
      <w:pPr>
        <w:pStyle w:val="43"/>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(三)采购用途：</w:t>
      </w:r>
      <w:r>
        <w:rPr>
          <w:rFonts w:hint="eastAsia" w:ascii="宋体" w:hAnsi="宋体" w:eastAsia="宋体" w:cs="宋体"/>
          <w:color w:val="auto"/>
          <w:highlight w:val="none"/>
        </w:rPr>
        <w:t>用于</w:t>
      </w:r>
      <w:r>
        <w:rPr>
          <w:rFonts w:hint="eastAsia" w:ascii="宋体" w:hAnsi="宋体" w:eastAsia="宋体" w:cs="宋体"/>
          <w:color w:val="auto"/>
          <w:spacing w:val="-6"/>
          <w:sz w:val="24"/>
          <w:highlight w:val="none"/>
          <w:lang w:eastAsia="zh-CN"/>
        </w:rPr>
        <w:t>铁道工程学院专业教学资源库建设，</w:t>
      </w:r>
      <w:r>
        <w:rPr>
          <w:rFonts w:hint="eastAsia" w:ascii="宋体" w:hAnsi="宋体" w:eastAsia="宋体" w:cs="宋体"/>
          <w:color w:val="auto"/>
          <w:spacing w:val="-6"/>
          <w:sz w:val="24"/>
          <w:highlight w:val="none"/>
          <w:lang w:val="en-US" w:eastAsia="zh-CN"/>
        </w:rPr>
        <w:t>完善教学资源，提高教学质量</w:t>
      </w:r>
      <w:r>
        <w:rPr>
          <w:rFonts w:hint="eastAsia" w:ascii="宋体" w:hAnsi="宋体" w:eastAsia="宋体" w:cs="宋体"/>
          <w:color w:val="auto"/>
          <w:highlight w:val="none"/>
        </w:rPr>
        <w:t>。</w:t>
      </w:r>
    </w:p>
    <w:p>
      <w:pPr>
        <w:pStyle w:val="43"/>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(四)项目性质：</w:t>
      </w:r>
      <w:r>
        <w:rPr>
          <w:rFonts w:hint="eastAsia" w:ascii="宋体" w:hAnsi="宋体" w:eastAsia="宋体" w:cs="宋体"/>
          <w:color w:val="auto"/>
          <w:highlight w:val="none"/>
        </w:rPr>
        <w:t>非法定政府采购。</w:t>
      </w:r>
    </w:p>
    <w:p>
      <w:pPr>
        <w:pStyle w:val="43"/>
        <w:numPr>
          <w:ilvl w:val="0"/>
          <w:numId w:val="7"/>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合格供应商应具备的资格条件：</w:t>
      </w:r>
    </w:p>
    <w:p>
      <w:pPr>
        <w:pStyle w:val="34"/>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(一)具有独立承担</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"http://www.lawtime.cn/info/minfa/mszeren/"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民事责任</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的能力；</w:t>
      </w:r>
    </w:p>
    <w:p>
      <w:pPr>
        <w:pStyle w:val="34"/>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(二)具有良好的商业信誉和健全的财务会计制度；</w:t>
      </w:r>
    </w:p>
    <w:p>
      <w:pPr>
        <w:pStyle w:val="34"/>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(三)具有履行合同所必需的设备和专业技术能力；</w:t>
      </w:r>
    </w:p>
    <w:p>
      <w:pPr>
        <w:pStyle w:val="34"/>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(四)有依法缴纳税收和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"http://www.lawtime.cn/info/laodong/shehuibaozhang/"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社会保障</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资金的良好记录；</w:t>
      </w:r>
    </w:p>
    <w:p>
      <w:pPr>
        <w:pStyle w:val="34"/>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(五)参加采购活动前三年内，在经营活动中没有重大违法记录；</w:t>
      </w:r>
    </w:p>
    <w:p>
      <w:pPr>
        <w:pStyle w:val="34"/>
        <w:spacing w:line="52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(六)法律、</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"http://www.lawtime.cn/info/sifakaoshi/xingzhengfa/"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行政法</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规规定的其他条件；</w:t>
      </w:r>
    </w:p>
    <w:p>
      <w:pPr>
        <w:pStyle w:val="43"/>
        <w:spacing w:line="52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(七)</w:t>
      </w:r>
      <w:r>
        <w:rPr>
          <w:rFonts w:hint="eastAsia" w:ascii="宋体" w:hAnsi="宋体" w:eastAsia="宋体" w:cs="宋体"/>
          <w:color w:val="auto"/>
          <w:highlight w:val="none"/>
          <w:lang w:val="zh-CN"/>
        </w:rPr>
        <w:t>本项目的特定资格要求：</w:t>
      </w:r>
      <w:r>
        <w:rPr>
          <w:rFonts w:hint="eastAsia" w:ascii="宋体" w:hAnsi="宋体" w:eastAsia="宋体" w:cs="宋体"/>
          <w:color w:val="auto"/>
          <w:highlight w:val="none"/>
        </w:rPr>
        <w:t>本项目不接受联合体参加本次采购活动。</w:t>
      </w:r>
    </w:p>
    <w:p>
      <w:pPr>
        <w:pStyle w:val="43"/>
        <w:numPr>
          <w:ilvl w:val="0"/>
          <w:numId w:val="7"/>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禁止参加本次采购活动的供应商</w:t>
      </w:r>
    </w:p>
    <w:p>
      <w:pPr>
        <w:pStyle w:val="34"/>
        <w:spacing w:line="520" w:lineRule="exact"/>
        <w:ind w:firstLine="480" w:firstLineChars="200"/>
        <w:rPr>
          <w:rFonts w:hint="eastAsia" w:ascii="宋体" w:hAnsi="宋体" w:eastAsia="宋体" w:cs="宋体"/>
          <w:color w:val="auto"/>
          <w:highlight w:val="none"/>
        </w:rPr>
      </w:pPr>
      <w:bookmarkStart w:id="13" w:name="PO_默认文件内容_4"/>
      <w:r>
        <w:rPr>
          <w:rFonts w:hint="eastAsia" w:ascii="宋体" w:hAnsi="宋体" w:eastAsia="宋体" w:cs="宋体"/>
          <w:color w:val="auto"/>
          <w:highlight w:val="none"/>
        </w:rPr>
        <w:t>参照《关于在政府采购活动中查询及使用信用记录有关问题的通知》(财库〔2016〕125号)的要求，采购代理机构将通过“信用中国”网站(www.creditchina.gov.cn)、“中国政府采购网”网站(www.ccgp.gov.cn)等渠道查询供应商在响应文件递交截止日前的信用记录并保存信用记录结果网页截图，拒绝列入失信被执行人名单、重大税收违法案件当事人名单(重大税收违法失信主体)、政府采购严重违法失信行为记录名单中的供应商参加本项目的采购活动。</w:t>
      </w:r>
    </w:p>
    <w:bookmarkEnd w:id="13"/>
    <w:p>
      <w:pPr>
        <w:pStyle w:val="43"/>
        <w:numPr>
          <w:ilvl w:val="0"/>
          <w:numId w:val="7"/>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获取磋商文件的时间期限、地点、方式</w:t>
      </w:r>
    </w:p>
    <w:p>
      <w:pPr>
        <w:pStyle w:val="43"/>
        <w:spacing w:line="520" w:lineRule="exact"/>
        <w:ind w:firstLine="482" w:firstLineChars="200"/>
        <w:rPr>
          <w:rFonts w:hint="eastAsia" w:ascii="宋体" w:hAnsi="宋体" w:eastAsia="宋体" w:cs="宋体"/>
          <w:color w:val="auto"/>
          <w:highlight w:val="none"/>
          <w:lang w:val="zh-CN"/>
        </w:rPr>
      </w:pPr>
      <w:r>
        <w:rPr>
          <w:rFonts w:hint="eastAsia" w:ascii="宋体" w:hAnsi="宋体" w:eastAsia="宋体" w:cs="宋体"/>
          <w:b/>
          <w:bCs/>
          <w:color w:val="auto"/>
          <w:highlight w:val="none"/>
        </w:rPr>
        <w:t>(一)获取磋商文件的时间期限(即报名时间)</w:t>
      </w:r>
      <w:r>
        <w:rPr>
          <w:rFonts w:hint="eastAsia" w:ascii="宋体" w:hAnsi="宋体" w:eastAsia="宋体" w:cs="宋体"/>
          <w:color w:val="auto"/>
          <w:highlight w:val="none"/>
        </w:rPr>
        <w:t>：2023年</w:t>
      </w:r>
      <w:r>
        <w:rPr>
          <w:rFonts w:hint="eastAsia" w:cs="宋体"/>
          <w:color w:val="auto"/>
          <w:highlight w:val="none"/>
          <w:lang w:val="en-US" w:eastAsia="zh-CN"/>
        </w:rPr>
        <w:t>11</w:t>
      </w:r>
      <w:r>
        <w:rPr>
          <w:rFonts w:hint="eastAsia" w:ascii="宋体" w:hAnsi="宋体" w:eastAsia="宋体" w:cs="宋体"/>
          <w:color w:val="auto"/>
          <w:highlight w:val="none"/>
        </w:rPr>
        <w:t>月</w:t>
      </w:r>
      <w:r>
        <w:rPr>
          <w:rFonts w:hint="eastAsia" w:cs="宋体"/>
          <w:color w:val="auto"/>
          <w:highlight w:val="none"/>
          <w:lang w:val="en-US" w:eastAsia="zh-CN"/>
        </w:rPr>
        <w:t>30</w:t>
      </w:r>
      <w:r>
        <w:rPr>
          <w:rFonts w:hint="eastAsia" w:ascii="宋体" w:hAnsi="宋体" w:eastAsia="宋体" w:cs="宋体"/>
          <w:color w:val="auto"/>
          <w:highlight w:val="none"/>
        </w:rPr>
        <w:t>日至2023年</w:t>
      </w:r>
      <w:r>
        <w:rPr>
          <w:rFonts w:hint="eastAsia" w:cs="宋体"/>
          <w:color w:val="auto"/>
          <w:highlight w:val="none"/>
          <w:lang w:val="en-US" w:eastAsia="zh-CN"/>
        </w:rPr>
        <w:t>12</w:t>
      </w:r>
      <w:r>
        <w:rPr>
          <w:rFonts w:hint="eastAsia" w:ascii="宋体" w:hAnsi="宋体" w:eastAsia="宋体" w:cs="宋体"/>
          <w:color w:val="auto"/>
          <w:highlight w:val="none"/>
        </w:rPr>
        <w:t>月</w:t>
      </w:r>
      <w:r>
        <w:rPr>
          <w:rFonts w:hint="eastAsia" w:cs="宋体"/>
          <w:color w:val="auto"/>
          <w:highlight w:val="none"/>
          <w:lang w:val="en-US" w:eastAsia="zh-CN"/>
        </w:rPr>
        <w:t>6</w:t>
      </w:r>
      <w:r>
        <w:rPr>
          <w:rFonts w:hint="eastAsia" w:ascii="宋体" w:hAnsi="宋体" w:eastAsia="宋体" w:cs="宋体"/>
          <w:color w:val="auto"/>
          <w:highlight w:val="none"/>
        </w:rPr>
        <w:t>日，每天上午9时00分至12时00分，下午14时00分至17时00分(北京时间，法定节假日除外)。</w:t>
      </w:r>
    </w:p>
    <w:p>
      <w:pPr>
        <w:pStyle w:val="43"/>
        <w:spacing w:line="520" w:lineRule="exact"/>
        <w:ind w:firstLine="482" w:firstLineChars="200"/>
        <w:rPr>
          <w:rFonts w:hint="eastAsia" w:ascii="宋体" w:hAnsi="宋体" w:eastAsia="宋体" w:cs="宋体"/>
          <w:color w:val="auto"/>
          <w:highlight w:val="none"/>
          <w:lang w:val="zh-CN"/>
        </w:rPr>
      </w:pPr>
      <w:r>
        <w:rPr>
          <w:rFonts w:hint="eastAsia" w:ascii="宋体" w:hAnsi="宋体" w:eastAsia="宋体" w:cs="宋体"/>
          <w:b/>
          <w:bCs/>
          <w:color w:val="auto"/>
          <w:highlight w:val="none"/>
        </w:rPr>
        <w:t>(二)获取磋商文件的地点：http：//www.qxztb.cn</w:t>
      </w:r>
      <w:r>
        <w:rPr>
          <w:rFonts w:hint="eastAsia" w:ascii="宋体" w:hAnsi="宋体" w:eastAsia="宋体" w:cs="宋体"/>
          <w:color w:val="auto"/>
          <w:highlight w:val="none"/>
          <w:lang w:val="zh-CN"/>
        </w:rPr>
        <w:t>。</w:t>
      </w:r>
    </w:p>
    <w:p>
      <w:pPr>
        <w:pStyle w:val="43"/>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(三)获取磋商文件的方式：</w:t>
      </w:r>
    </w:p>
    <w:p>
      <w:pPr>
        <w:pStyle w:val="43"/>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1.</w:t>
      </w:r>
      <w:r>
        <w:rPr>
          <w:rFonts w:hint="eastAsia" w:ascii="宋体" w:hAnsi="宋体" w:eastAsia="宋体" w:cs="宋体"/>
          <w:b/>
          <w:bCs/>
          <w:color w:val="auto"/>
          <w:highlight w:val="none"/>
        </w:rPr>
        <w:tab/>
      </w:r>
      <w:r>
        <w:rPr>
          <w:rFonts w:hint="eastAsia" w:ascii="宋体" w:hAnsi="宋体" w:eastAsia="宋体" w:cs="宋体"/>
          <w:b/>
          <w:bCs/>
          <w:color w:val="auto"/>
          <w:highlight w:val="none"/>
        </w:rPr>
        <w:t>在本项目磋商文件获取时间期限内，在采购代理机构指定网站(http：//www.qxztb.cn)获取，具体获取流程详见该网站的“标书在线获取流程”</w:t>
      </w:r>
      <w:r>
        <w:rPr>
          <w:rFonts w:hint="eastAsia" w:ascii="宋体" w:hAnsi="宋体" w:eastAsia="宋体" w:cs="宋体"/>
          <w:color w:val="auto"/>
          <w:highlight w:val="none"/>
        </w:rPr>
        <w:t>。</w:t>
      </w:r>
    </w:p>
    <w:p>
      <w:pPr>
        <w:pStyle w:val="43"/>
        <w:spacing w:line="520" w:lineRule="exact"/>
        <w:ind w:firstLine="482"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2.报名咨询电话：</w:t>
      </w:r>
      <w:r>
        <w:rPr>
          <w:rFonts w:hint="eastAsia" w:ascii="宋体" w:hAnsi="宋体" w:eastAsia="宋体" w:cs="宋体"/>
          <w:b/>
          <w:bCs/>
          <w:color w:val="auto"/>
          <w:highlight w:val="none"/>
          <w:lang w:val="zh-CN"/>
        </w:rPr>
        <w:t>028-61375575、62600820、62630990转601或602。</w:t>
      </w:r>
    </w:p>
    <w:p>
      <w:pPr>
        <w:pStyle w:val="43"/>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(四)</w:t>
      </w:r>
      <w:r>
        <w:rPr>
          <w:rFonts w:hint="eastAsia" w:ascii="宋体" w:hAnsi="宋体" w:eastAsia="宋体" w:cs="宋体"/>
          <w:b/>
          <w:bCs/>
          <w:color w:val="auto"/>
          <w:highlight w:val="none"/>
          <w:lang w:val="zh-CN"/>
        </w:rPr>
        <w:t>磋商文件售价：</w:t>
      </w:r>
      <w:r>
        <w:rPr>
          <w:rFonts w:hint="eastAsia" w:ascii="宋体" w:hAnsi="宋体" w:eastAsia="宋体" w:cs="宋体"/>
          <w:color w:val="auto"/>
          <w:highlight w:val="none"/>
          <w:lang w:val="zh-CN"/>
        </w:rPr>
        <w:t>人民币</w:t>
      </w:r>
      <w:r>
        <w:rPr>
          <w:rFonts w:hint="eastAsia" w:ascii="宋体" w:hAnsi="宋体" w:eastAsia="宋体" w:cs="宋体"/>
          <w:color w:val="auto"/>
          <w:highlight w:val="none"/>
        </w:rPr>
        <w:t>300元</w:t>
      </w:r>
      <w:r>
        <w:rPr>
          <w:rFonts w:hint="eastAsia" w:ascii="宋体" w:hAnsi="宋体" w:eastAsia="宋体" w:cs="宋体"/>
          <w:color w:val="auto"/>
          <w:highlight w:val="none"/>
          <w:lang w:val="zh-CN"/>
        </w:rPr>
        <w:t xml:space="preserve">/份(磋商文件售后不退, </w:t>
      </w:r>
      <w:r>
        <w:rPr>
          <w:rFonts w:hint="eastAsia" w:ascii="宋体" w:hAnsi="宋体" w:eastAsia="宋体" w:cs="宋体"/>
          <w:color w:val="auto"/>
          <w:highlight w:val="none"/>
        </w:rPr>
        <w:t>磋商资格不得转让)。</w:t>
      </w:r>
    </w:p>
    <w:p>
      <w:pPr>
        <w:pStyle w:val="43"/>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(五)</w:t>
      </w:r>
      <w:r>
        <w:rPr>
          <w:rFonts w:hint="eastAsia" w:ascii="宋体" w:hAnsi="宋体" w:eastAsia="宋体" w:cs="宋体"/>
          <w:color w:val="auto"/>
          <w:highlight w:val="none"/>
        </w:rPr>
        <w:t>供应商应在规定的时间内按上述要求获取本磋商文件并登记，否则均无资格参加该项目。</w:t>
      </w:r>
    </w:p>
    <w:p>
      <w:pPr>
        <w:pStyle w:val="43"/>
        <w:numPr>
          <w:ilvl w:val="0"/>
          <w:numId w:val="7"/>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竞争性磋商响应文件递交的截止时间：2023年</w:t>
      </w:r>
      <w:r>
        <w:rPr>
          <w:rFonts w:hint="eastAsia" w:cs="宋体"/>
          <w:b/>
          <w:bCs/>
          <w:color w:val="auto"/>
          <w:highlight w:val="none"/>
          <w:lang w:val="en-US" w:eastAsia="zh-CN" w:bidi="ar"/>
        </w:rPr>
        <w:t>12</w:t>
      </w:r>
      <w:r>
        <w:rPr>
          <w:rFonts w:hint="eastAsia" w:ascii="宋体" w:hAnsi="宋体" w:eastAsia="宋体" w:cs="宋体"/>
          <w:b/>
          <w:bCs/>
          <w:color w:val="auto"/>
          <w:highlight w:val="none"/>
        </w:rPr>
        <w:t>月</w:t>
      </w:r>
      <w:r>
        <w:rPr>
          <w:rFonts w:hint="eastAsia" w:cs="宋体"/>
          <w:b/>
          <w:bCs/>
          <w:color w:val="auto"/>
          <w:highlight w:val="none"/>
          <w:lang w:val="en-US" w:eastAsia="zh-CN" w:bidi="ar"/>
        </w:rPr>
        <w:t>11</w:t>
      </w:r>
      <w:r>
        <w:rPr>
          <w:rFonts w:hint="eastAsia" w:ascii="宋体" w:hAnsi="宋体" w:eastAsia="宋体" w:cs="宋体"/>
          <w:b/>
          <w:bCs/>
          <w:color w:val="auto"/>
          <w:highlight w:val="none"/>
        </w:rPr>
        <w:t>日</w:t>
      </w:r>
      <w:r>
        <w:rPr>
          <w:rFonts w:hint="eastAsia" w:cs="宋体"/>
          <w:b/>
          <w:bCs/>
          <w:color w:val="auto"/>
          <w:highlight w:val="none"/>
          <w:lang w:val="en-US" w:eastAsia="zh-CN"/>
        </w:rPr>
        <w:t>14</w:t>
      </w:r>
      <w:r>
        <w:rPr>
          <w:rFonts w:hint="eastAsia" w:ascii="宋体" w:hAnsi="宋体" w:eastAsia="宋体" w:cs="宋体"/>
          <w:b/>
          <w:bCs/>
          <w:color w:val="auto"/>
          <w:highlight w:val="none"/>
        </w:rPr>
        <w:t>时</w:t>
      </w:r>
      <w:r>
        <w:rPr>
          <w:rFonts w:hint="eastAsia" w:cs="宋体"/>
          <w:b/>
          <w:bCs/>
          <w:color w:val="auto"/>
          <w:highlight w:val="none"/>
          <w:lang w:val="en-US" w:eastAsia="zh-CN"/>
        </w:rPr>
        <w:t>30</w:t>
      </w:r>
      <w:r>
        <w:rPr>
          <w:rFonts w:hint="eastAsia" w:ascii="宋体" w:hAnsi="宋体" w:eastAsia="宋体" w:cs="宋体"/>
          <w:b/>
          <w:bCs/>
          <w:color w:val="auto"/>
          <w:highlight w:val="none"/>
        </w:rPr>
        <w:t>分(北京时间)</w:t>
      </w:r>
    </w:p>
    <w:p>
      <w:pPr>
        <w:pStyle w:val="46"/>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响应文件递交的起止时间：磋商当日</w:t>
      </w:r>
      <w:r>
        <w:rPr>
          <w:rFonts w:hint="eastAsia" w:cs="宋体"/>
          <w:b/>
          <w:bCs/>
          <w:color w:val="auto"/>
          <w:highlight w:val="none"/>
          <w:lang w:val="en-US" w:eastAsia="zh-CN"/>
        </w:rPr>
        <w:t>14</w:t>
      </w:r>
      <w:r>
        <w:rPr>
          <w:rFonts w:hint="eastAsia" w:ascii="宋体" w:hAnsi="宋体" w:eastAsia="宋体" w:cs="宋体"/>
          <w:b/>
          <w:bCs/>
          <w:color w:val="auto"/>
          <w:highlight w:val="none"/>
        </w:rPr>
        <w:t>时</w:t>
      </w:r>
      <w:r>
        <w:rPr>
          <w:rFonts w:hint="eastAsia" w:cs="宋体"/>
          <w:b/>
          <w:bCs/>
          <w:color w:val="auto"/>
          <w:highlight w:val="none"/>
          <w:lang w:val="en-US" w:eastAsia="zh-CN"/>
        </w:rPr>
        <w:t>00</w:t>
      </w:r>
      <w:r>
        <w:rPr>
          <w:rFonts w:hint="eastAsia" w:ascii="宋体" w:hAnsi="宋体" w:eastAsia="宋体" w:cs="宋体"/>
          <w:b/>
          <w:bCs/>
          <w:color w:val="auto"/>
          <w:highlight w:val="none"/>
        </w:rPr>
        <w:t>分-</w:t>
      </w:r>
      <w:r>
        <w:rPr>
          <w:rFonts w:hint="eastAsia" w:cs="宋体"/>
          <w:b/>
          <w:bCs/>
          <w:color w:val="auto"/>
          <w:highlight w:val="none"/>
          <w:lang w:val="en-US" w:eastAsia="zh-CN"/>
        </w:rPr>
        <w:t>14</w:t>
      </w:r>
      <w:r>
        <w:rPr>
          <w:rFonts w:hint="eastAsia" w:ascii="宋体" w:hAnsi="宋体" w:eastAsia="宋体" w:cs="宋体"/>
          <w:b/>
          <w:bCs/>
          <w:color w:val="auto"/>
          <w:highlight w:val="none"/>
        </w:rPr>
        <w:t>时</w:t>
      </w:r>
      <w:r>
        <w:rPr>
          <w:rFonts w:hint="eastAsia" w:cs="宋体"/>
          <w:b/>
          <w:bCs/>
          <w:color w:val="auto"/>
          <w:highlight w:val="none"/>
          <w:lang w:val="en-US" w:eastAsia="zh-CN"/>
        </w:rPr>
        <w:t>30</w:t>
      </w:r>
      <w:r>
        <w:rPr>
          <w:rFonts w:hint="eastAsia" w:ascii="宋体" w:hAnsi="宋体" w:eastAsia="宋体" w:cs="宋体"/>
          <w:b/>
          <w:bCs/>
          <w:color w:val="auto"/>
          <w:highlight w:val="none"/>
        </w:rPr>
        <w:t>分(北京时间)；</w:t>
      </w:r>
    </w:p>
    <w:p>
      <w:pPr>
        <w:pStyle w:val="46"/>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开启时间：磋商小组组建后立即开启；</w:t>
      </w:r>
    </w:p>
    <w:p>
      <w:pPr>
        <w:pStyle w:val="46"/>
        <w:spacing w:line="520" w:lineRule="exact"/>
        <w:ind w:firstLine="482"/>
        <w:rPr>
          <w:rFonts w:hint="eastAsia" w:ascii="宋体" w:hAnsi="宋体" w:eastAsia="宋体" w:cs="宋体"/>
          <w:color w:val="auto"/>
          <w:highlight w:val="none"/>
        </w:rPr>
      </w:pPr>
      <w:r>
        <w:rPr>
          <w:rFonts w:hint="eastAsia" w:ascii="宋体" w:hAnsi="宋体" w:eastAsia="宋体" w:cs="宋体"/>
          <w:b/>
          <w:bCs/>
          <w:color w:val="auto"/>
          <w:highlight w:val="none"/>
        </w:rPr>
        <w:t>响应文件递交的地点：</w:t>
      </w:r>
      <w:r>
        <w:rPr>
          <w:rFonts w:hint="eastAsia" w:ascii="宋体" w:hAnsi="宋体" w:eastAsia="宋体" w:cs="宋体"/>
          <w:color w:val="auto"/>
          <w:highlight w:val="none"/>
        </w:rPr>
        <w:t>成都市高新区吉庆三路333号蜀都中心二期一号楼一单元401号本项目会议室；</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供应商应当在磋商文件要求的截止时间前，将响应文件密封送达指定地点。在截止时间后送达的响应文件为无效文件，将被采购代理机构拒收。</w:t>
      </w:r>
    </w:p>
    <w:p>
      <w:pPr>
        <w:pStyle w:val="43"/>
        <w:numPr>
          <w:ilvl w:val="0"/>
          <w:numId w:val="7"/>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磋商时间：</w:t>
      </w:r>
      <w:r>
        <w:rPr>
          <w:rFonts w:hint="eastAsia" w:ascii="宋体" w:hAnsi="宋体" w:eastAsia="宋体" w:cs="宋体"/>
          <w:b/>
          <w:bCs/>
          <w:color w:val="auto"/>
          <w:highlight w:val="none"/>
        </w:rPr>
        <w:t>2023年</w:t>
      </w:r>
      <w:r>
        <w:rPr>
          <w:rFonts w:hint="eastAsia" w:cs="宋体"/>
          <w:b/>
          <w:bCs/>
          <w:color w:val="auto"/>
          <w:highlight w:val="none"/>
          <w:lang w:val="en-US" w:eastAsia="zh-CN" w:bidi="ar"/>
        </w:rPr>
        <w:t>12</w:t>
      </w:r>
      <w:r>
        <w:rPr>
          <w:rFonts w:hint="eastAsia" w:ascii="宋体" w:hAnsi="宋体" w:eastAsia="宋体" w:cs="宋体"/>
          <w:b/>
          <w:bCs/>
          <w:color w:val="auto"/>
          <w:highlight w:val="none"/>
        </w:rPr>
        <w:t>月</w:t>
      </w:r>
      <w:r>
        <w:rPr>
          <w:rFonts w:hint="eastAsia" w:cs="宋体"/>
          <w:b/>
          <w:bCs/>
          <w:color w:val="auto"/>
          <w:highlight w:val="none"/>
          <w:lang w:val="en-US" w:eastAsia="zh-CN" w:bidi="ar"/>
        </w:rPr>
        <w:t>11</w:t>
      </w:r>
      <w:r>
        <w:rPr>
          <w:rFonts w:hint="eastAsia" w:ascii="宋体" w:hAnsi="宋体" w:eastAsia="宋体" w:cs="宋体"/>
          <w:b/>
          <w:bCs/>
          <w:color w:val="auto"/>
          <w:highlight w:val="none"/>
        </w:rPr>
        <w:t>日</w:t>
      </w:r>
      <w:r>
        <w:rPr>
          <w:rFonts w:hint="eastAsia" w:cs="宋体"/>
          <w:b/>
          <w:bCs/>
          <w:color w:val="auto"/>
          <w:highlight w:val="none"/>
          <w:lang w:val="en-US" w:eastAsia="zh-CN"/>
        </w:rPr>
        <w:t>14</w:t>
      </w:r>
      <w:r>
        <w:rPr>
          <w:rFonts w:hint="eastAsia" w:ascii="宋体" w:hAnsi="宋体" w:eastAsia="宋体" w:cs="宋体"/>
          <w:b/>
          <w:bCs/>
          <w:color w:val="auto"/>
          <w:highlight w:val="none"/>
        </w:rPr>
        <w:t>时</w:t>
      </w:r>
      <w:r>
        <w:rPr>
          <w:rFonts w:hint="eastAsia" w:cs="宋体"/>
          <w:b/>
          <w:bCs/>
          <w:color w:val="auto"/>
          <w:highlight w:val="none"/>
          <w:lang w:val="en-US" w:eastAsia="zh-CN"/>
        </w:rPr>
        <w:t>30</w:t>
      </w:r>
      <w:r>
        <w:rPr>
          <w:rFonts w:hint="eastAsia" w:ascii="宋体" w:hAnsi="宋体" w:eastAsia="宋体" w:cs="宋体"/>
          <w:b/>
          <w:bCs/>
          <w:color w:val="auto"/>
          <w:highlight w:val="none"/>
        </w:rPr>
        <w:t>分(北京</w:t>
      </w:r>
      <w:r>
        <w:rPr>
          <w:rFonts w:hint="eastAsia" w:ascii="宋体" w:hAnsi="宋体" w:eastAsia="宋体" w:cs="宋体"/>
          <w:b/>
          <w:bCs/>
          <w:color w:val="auto"/>
          <w:highlight w:val="none"/>
        </w:rPr>
        <w:t>时间)。</w:t>
      </w:r>
    </w:p>
    <w:p>
      <w:pPr>
        <w:pStyle w:val="43"/>
        <w:numPr>
          <w:ilvl w:val="0"/>
          <w:numId w:val="7"/>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磋商地点：</w:t>
      </w:r>
      <w:r>
        <w:rPr>
          <w:rFonts w:hint="eastAsia" w:ascii="宋体" w:hAnsi="宋体" w:eastAsia="宋体" w:cs="宋体"/>
          <w:color w:val="auto"/>
          <w:highlight w:val="none"/>
        </w:rPr>
        <w:t>成都市高新区吉庆三路333号蜀都中心二期一号楼一单元401号本项目会议室。</w:t>
      </w:r>
    </w:p>
    <w:p>
      <w:pPr>
        <w:pStyle w:val="43"/>
        <w:numPr>
          <w:ilvl w:val="0"/>
          <w:numId w:val="7"/>
        </w:numPr>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采购信息发布媒体：</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w:t>
      </w:r>
    </w:p>
    <w:p>
      <w:pPr>
        <w:pStyle w:val="43"/>
        <w:numPr>
          <w:ilvl w:val="0"/>
          <w:numId w:val="7"/>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凡对本次采购提出询问，请按以下方式联系：</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(一)采购人信息</w:t>
      </w:r>
    </w:p>
    <w:p>
      <w:pPr>
        <w:pStyle w:val="43"/>
        <w:spacing w:line="52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名    称：</w:t>
      </w:r>
      <w:r>
        <w:rPr>
          <w:rFonts w:hint="eastAsia" w:ascii="宋体" w:hAnsi="宋体" w:eastAsia="宋体" w:cs="宋体"/>
          <w:color w:val="auto"/>
          <w:highlight w:val="none"/>
          <w:lang w:eastAsia="zh-CN"/>
        </w:rPr>
        <w:t>成都市技师学院</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地    址：成都市郫都区港通北三路1899号 </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 系 人：王珏冰</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联系方式：028-64907283 </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(二)采购代理机构信息</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名    称：四川乾新招投标代理有限公司</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lang w:val="zh-CN"/>
        </w:rPr>
        <w:t>成都市高新区吉庆三路333号蜀都中心二期一号楼一单元401号</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联 系 人：王朝钢 </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采购文件咨询</w:t>
      </w:r>
      <w:r>
        <w:rPr>
          <w:rFonts w:hint="eastAsia" w:ascii="宋体" w:hAnsi="宋体" w:eastAsia="宋体" w:cs="宋体"/>
          <w:color w:val="auto"/>
          <w:highlight w:val="none"/>
          <w:lang w:val="zh-CN"/>
        </w:rPr>
        <w:t>电话：028-84638556、84882960转</w:t>
      </w:r>
      <w:r>
        <w:rPr>
          <w:rFonts w:hint="eastAsia" w:ascii="宋体" w:hAnsi="宋体" w:eastAsia="宋体" w:cs="宋体"/>
          <w:color w:val="auto"/>
          <w:highlight w:val="none"/>
        </w:rPr>
        <w:t>663</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保证金及保函咨询电话：</w:t>
      </w:r>
      <w:r>
        <w:rPr>
          <w:rFonts w:hint="eastAsia" w:ascii="宋体" w:hAnsi="宋体" w:eastAsia="宋体" w:cs="宋体"/>
          <w:color w:val="auto"/>
          <w:highlight w:val="none"/>
          <w:lang w:val="zh-CN"/>
        </w:rPr>
        <w:t>028-84638556、84882960</w:t>
      </w:r>
      <w:r>
        <w:rPr>
          <w:rFonts w:hint="eastAsia" w:ascii="宋体" w:hAnsi="宋体" w:eastAsia="宋体" w:cs="宋体"/>
          <w:color w:val="auto"/>
          <w:highlight w:val="none"/>
        </w:rPr>
        <w:t>转608</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发票开具与咨询电话：028-84638556、84882960转609</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成交通知书领取电话：028-61375575、62630990转601或602</w:t>
      </w:r>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服务质量投诉电话：</w:t>
      </w:r>
      <w:r>
        <w:rPr>
          <w:rFonts w:hint="eastAsia" w:ascii="宋体" w:hAnsi="宋体" w:eastAsia="宋体" w:cs="宋体"/>
          <w:color w:val="auto"/>
          <w:highlight w:val="none"/>
          <w:lang w:val="zh-CN"/>
        </w:rPr>
        <w:t>028-84638556、84882960</w:t>
      </w:r>
      <w:r>
        <w:rPr>
          <w:rFonts w:hint="eastAsia" w:ascii="宋体" w:hAnsi="宋体" w:eastAsia="宋体" w:cs="宋体"/>
          <w:color w:val="auto"/>
          <w:highlight w:val="none"/>
        </w:rPr>
        <w:t>转603</w:t>
      </w:r>
    </w:p>
    <w:p>
      <w:pPr>
        <w:pStyle w:val="43"/>
        <w:spacing w:line="52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传    真：</w:t>
      </w:r>
      <w:r>
        <w:rPr>
          <w:rFonts w:hint="eastAsia" w:ascii="宋体" w:hAnsi="宋体" w:eastAsia="宋体" w:cs="宋体"/>
          <w:color w:val="auto"/>
          <w:highlight w:val="none"/>
        </w:rPr>
        <w:t>028-</w:t>
      </w:r>
      <w:r>
        <w:rPr>
          <w:rFonts w:hint="eastAsia" w:ascii="宋体" w:hAnsi="宋体" w:eastAsia="宋体" w:cs="宋体"/>
          <w:color w:val="auto"/>
          <w:highlight w:val="none"/>
          <w:lang w:val="zh-CN"/>
        </w:rPr>
        <w:t>83381</w:t>
      </w:r>
      <w:r>
        <w:rPr>
          <w:rFonts w:hint="eastAsia" w:ascii="宋体" w:hAnsi="宋体" w:eastAsia="宋体" w:cs="宋体"/>
          <w:color w:val="auto"/>
          <w:highlight w:val="none"/>
        </w:rPr>
        <w:t>268</w:t>
      </w:r>
    </w:p>
    <w:p>
      <w:pPr>
        <w:pStyle w:val="43"/>
        <w:spacing w:line="52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电子邮件：</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"mailto:scqxzb@163.com"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zh-CN"/>
        </w:rPr>
        <w:t>scqxzb@163.com</w:t>
      </w:r>
      <w:r>
        <w:rPr>
          <w:rFonts w:hint="eastAsia" w:ascii="宋体" w:hAnsi="宋体" w:eastAsia="宋体" w:cs="宋体"/>
          <w:color w:val="auto"/>
          <w:highlight w:val="none"/>
          <w:lang w:val="zh-CN"/>
        </w:rPr>
        <w:fldChar w:fldCharType="end"/>
      </w:r>
    </w:p>
    <w:p>
      <w:pPr>
        <w:pStyle w:val="48"/>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8"/>
      <w:bookmarkEnd w:id="9"/>
      <w:bookmarkEnd w:id="10"/>
      <w:bookmarkEnd w:id="11"/>
      <w:bookmarkEnd w:id="12"/>
      <w:bookmarkStart w:id="14" w:name="_Toc5871"/>
      <w:bookmarkStart w:id="15" w:name="_Toc8252"/>
      <w:bookmarkStart w:id="16" w:name="_Toc5316"/>
      <w:r>
        <w:rPr>
          <w:rFonts w:hint="eastAsia" w:ascii="宋体" w:hAnsi="宋体" w:eastAsia="宋体" w:cs="宋体"/>
          <w:color w:val="auto"/>
          <w:szCs w:val="36"/>
          <w:highlight w:val="none"/>
        </w:rPr>
        <w:t>磋商须知</w:t>
      </w:r>
      <w:bookmarkEnd w:id="14"/>
      <w:bookmarkEnd w:id="15"/>
      <w:bookmarkEnd w:id="16"/>
    </w:p>
    <w:p>
      <w:pPr>
        <w:pStyle w:val="35"/>
        <w:spacing w:before="120" w:beforeLines="50" w:after="120" w:afterLines="50"/>
        <w:ind w:firstLine="0" w:firstLineChars="0"/>
        <w:jc w:val="center"/>
        <w:rPr>
          <w:rFonts w:hint="eastAsia" w:ascii="宋体" w:hAnsi="宋体" w:eastAsia="宋体" w:cs="宋体"/>
          <w:color w:val="auto"/>
          <w:sz w:val="36"/>
          <w:szCs w:val="36"/>
          <w:highlight w:val="none"/>
        </w:rPr>
      </w:pPr>
      <w:bookmarkStart w:id="17" w:name="_Toc14542"/>
      <w:bookmarkStart w:id="18" w:name="_Toc19545"/>
      <w:bookmarkStart w:id="19" w:name="_Toc30715"/>
      <w:r>
        <w:rPr>
          <w:rFonts w:hint="eastAsia" w:ascii="宋体" w:hAnsi="宋体" w:eastAsia="宋体" w:cs="宋体"/>
          <w:color w:val="auto"/>
          <w:sz w:val="36"/>
          <w:szCs w:val="36"/>
          <w:highlight w:val="none"/>
        </w:rPr>
        <w:t>磋商须知前附表</w:t>
      </w:r>
      <w:bookmarkEnd w:id="17"/>
      <w:bookmarkEnd w:id="18"/>
      <w:bookmarkEnd w:id="19"/>
    </w:p>
    <w:tbl>
      <w:tblPr>
        <w:tblStyle w:val="23"/>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5"/>
              <w:ind w:left="24" w:leftChars="10" w:right="24" w:rightChars="10"/>
              <w:rPr>
                <w:rFonts w:hint="eastAsia" w:ascii="宋体" w:hAnsi="宋体" w:eastAsia="宋体" w:cs="宋体"/>
                <w:b/>
                <w:bCs/>
                <w:color w:val="auto"/>
                <w:szCs w:val="21"/>
                <w:highlight w:val="none"/>
                <w:lang w:val="zh-CN"/>
              </w:rPr>
            </w:pPr>
            <w:bookmarkStart w:id="20" w:name="_Toc327196262"/>
            <w:r>
              <w:rPr>
                <w:rFonts w:hint="eastAsia" w:ascii="宋体" w:hAnsi="宋体" w:eastAsia="宋体" w:cs="宋体"/>
                <w:b/>
                <w:bCs/>
                <w:color w:val="auto"/>
                <w:szCs w:val="21"/>
                <w:highlight w:val="none"/>
                <w:lang w:val="zh-CN"/>
              </w:rPr>
              <w:t>序号</w:t>
            </w:r>
          </w:p>
        </w:tc>
        <w:tc>
          <w:tcPr>
            <w:tcW w:w="2020" w:type="dxa"/>
            <w:vAlign w:val="center"/>
          </w:tcPr>
          <w:p>
            <w:pPr>
              <w:pStyle w:val="45"/>
              <w:ind w:left="24" w:leftChars="10" w:right="24" w:rightChars="1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须知事项</w:t>
            </w:r>
          </w:p>
        </w:tc>
        <w:tc>
          <w:tcPr>
            <w:tcW w:w="7061" w:type="dxa"/>
            <w:vAlign w:val="center"/>
          </w:tcPr>
          <w:p>
            <w:pPr>
              <w:pStyle w:val="45"/>
              <w:ind w:left="24" w:leftChars="10" w:right="24" w:rightChars="1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采购预算、报价要求</w:t>
            </w:r>
          </w:p>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本项目</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zh-CN"/>
              </w:rPr>
              <w:t>预算为人民币</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zh-CN"/>
              </w:rPr>
              <w:t>。</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本项目</w:t>
            </w:r>
            <w:r>
              <w:rPr>
                <w:rFonts w:hint="eastAsia" w:ascii="宋体" w:hAnsi="宋体" w:eastAsia="宋体" w:cs="宋体"/>
                <w:color w:val="auto"/>
                <w:szCs w:val="21"/>
                <w:highlight w:val="none"/>
              </w:rPr>
              <w:t>报价(含最后报价)</w:t>
            </w:r>
            <w:r>
              <w:rPr>
                <w:rFonts w:hint="eastAsia" w:ascii="宋体" w:hAnsi="宋体" w:eastAsia="宋体" w:cs="宋体"/>
                <w:color w:val="auto"/>
                <w:szCs w:val="21"/>
                <w:highlight w:val="none"/>
                <w:lang w:val="zh-CN"/>
              </w:rPr>
              <w:t>不</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zh-CN"/>
              </w:rPr>
              <w:t>超过</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zh-CN"/>
              </w:rPr>
              <w:t>预算，</w:t>
            </w:r>
            <w:r>
              <w:rPr>
                <w:rFonts w:hint="eastAsia" w:ascii="宋体" w:hAnsi="宋体" w:eastAsia="宋体" w:cs="宋体"/>
                <w:color w:val="auto"/>
                <w:szCs w:val="21"/>
                <w:highlight w:val="none"/>
              </w:rPr>
              <w:t>否则将被视为无效报价。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项目属性</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本项目属于服务类采购项目，不对其中涉及的货物的制造商是否享受中小企业扶持政策作出要求。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本项目所属行业</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本项目所属行业为软件和信息技术服务业。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定向采购</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本项目为</w:t>
            </w:r>
            <w:r>
              <w:rPr>
                <w:rFonts w:hint="eastAsia" w:ascii="宋体" w:hAnsi="宋体" w:eastAsia="宋体" w:cs="宋体"/>
                <w:color w:val="auto"/>
                <w:szCs w:val="21"/>
                <w:highlight w:val="none"/>
                <w:lang w:val="zh-CN"/>
              </w:rPr>
              <w:t>非专门面向中小企业</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本国</w:t>
            </w:r>
            <w:r>
              <w:rPr>
                <w:rFonts w:hint="eastAsia" w:ascii="宋体" w:hAnsi="宋体" w:eastAsia="宋体" w:cs="宋体"/>
                <w:color w:val="auto"/>
                <w:szCs w:val="21"/>
                <w:highlight w:val="none"/>
              </w:rPr>
              <w:t>服务</w:t>
            </w:r>
          </w:p>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(实质性要求)</w:t>
            </w:r>
          </w:p>
        </w:tc>
        <w:tc>
          <w:tcPr>
            <w:tcW w:w="7061"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参照</w:t>
            </w:r>
            <w:r>
              <w:rPr>
                <w:rFonts w:hint="eastAsia" w:ascii="宋体" w:hAnsi="宋体" w:eastAsia="宋体" w:cs="宋体"/>
                <w:color w:val="auto"/>
                <w:szCs w:val="21"/>
                <w:highlight w:val="none"/>
                <w:lang w:val="zh-CN"/>
              </w:rPr>
              <w:t>《中华人民共和国政府采购法》第十条的规定，本项目采购本国</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采购方式</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评审</w:t>
            </w:r>
            <w:r>
              <w:rPr>
                <w:rFonts w:hint="eastAsia" w:ascii="宋体" w:hAnsi="宋体" w:eastAsia="宋体" w:cs="宋体"/>
                <w:color w:val="auto"/>
                <w:szCs w:val="21"/>
                <w:highlight w:val="none"/>
                <w:lang w:val="zh-CN"/>
              </w:rPr>
              <w:t>方法</w:t>
            </w:r>
          </w:p>
        </w:tc>
        <w:tc>
          <w:tcPr>
            <w:tcW w:w="7061" w:type="dxa"/>
            <w:vAlign w:val="center"/>
          </w:tcPr>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竞争范围</w:t>
            </w:r>
          </w:p>
        </w:tc>
        <w:tc>
          <w:tcPr>
            <w:tcW w:w="7061" w:type="dxa"/>
            <w:vAlign w:val="center"/>
          </w:tcPr>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公开竞争。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合同定价方式</w:t>
            </w:r>
          </w:p>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固定总价。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7"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合同分包</w:t>
            </w:r>
            <w:r>
              <w:rPr>
                <w:rFonts w:hint="eastAsia" w:ascii="宋体" w:hAnsi="宋体" w:eastAsia="宋体" w:cs="宋体"/>
                <w:color w:val="auto"/>
                <w:szCs w:val="21"/>
                <w:highlight w:val="none"/>
              </w:rPr>
              <w:t>、转包</w:t>
            </w:r>
          </w:p>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w:t>
            </w:r>
          </w:p>
        </w:tc>
        <w:tc>
          <w:tcPr>
            <w:tcW w:w="7061" w:type="dxa"/>
            <w:vAlign w:val="center"/>
          </w:tcPr>
          <w:p>
            <w:pPr>
              <w:pStyle w:val="42"/>
              <w:numPr>
                <w:ilvl w:val="0"/>
                <w:numId w:val="9"/>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本项目不允许供应商以合同分包形式进行磋商。</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2.本项目禁止成交供应商将任何采购合同义务转包。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联合体磋商</w:t>
            </w:r>
          </w:p>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本项目不接受联合体参加本次采购活动。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磋商文件是否能够详细列明采购标的的技术、服务要求。</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现场考察、标前</w:t>
            </w:r>
          </w:p>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答疑会</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采购代理机构可以视采购项目的具体情况，组织供应商进行现场考察或磋商前答疑会，但不得单独或分别组织只有一个供应商参加的现场考察和答疑会。若组织答疑会和现场考察以采购代理机构通知为准。</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2.供应商参加答疑会和现场考察所发生的一切费用由供应商自行承担。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磋商保证金</w:t>
            </w:r>
          </w:p>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    额：人民币</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000元整(大写人民币</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仟元整)。</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交款方式：</w:t>
            </w:r>
            <w:r>
              <w:rPr>
                <w:rFonts w:hint="eastAsia" w:ascii="宋体" w:hAnsi="宋体" w:eastAsia="宋体" w:cs="宋体"/>
                <w:color w:val="auto"/>
                <w:szCs w:val="21"/>
                <w:highlight w:val="none"/>
                <w:lang w:val="zh-CN"/>
              </w:rPr>
              <w:t>以支票、汇票、本票或者</w:t>
            </w:r>
            <w:r>
              <w:rPr>
                <w:rFonts w:hint="eastAsia" w:ascii="宋体" w:hAnsi="宋体" w:eastAsia="宋体" w:cs="宋体"/>
                <w:color w:val="auto"/>
                <w:szCs w:val="21"/>
                <w:highlight w:val="none"/>
              </w:rPr>
              <w:t>金融机构</w:t>
            </w:r>
            <w:r>
              <w:rPr>
                <w:rFonts w:hint="eastAsia" w:ascii="宋体" w:hAnsi="宋体" w:eastAsia="宋体" w:cs="宋体"/>
                <w:color w:val="auto"/>
                <w:szCs w:val="21"/>
                <w:highlight w:val="none"/>
                <w:lang w:val="zh-CN"/>
              </w:rPr>
              <w:t>出具的保函</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val="zh-CN"/>
              </w:rPr>
              <w:t>非现金形式</w:t>
            </w:r>
            <w:r>
              <w:rPr>
                <w:rFonts w:hint="eastAsia" w:ascii="宋体" w:hAnsi="宋体" w:eastAsia="宋体" w:cs="宋体"/>
                <w:color w:val="auto"/>
                <w:szCs w:val="21"/>
                <w:highlight w:val="none"/>
              </w:rPr>
              <w:t>提交</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包括网银转账，电汇等方式</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所有递交方式均以到账时间为准(若以保函方式提交的，必须在保证金交款截止时间前将加盖供应商公章的保函复印件提交至采购代理机构登记)[</w:t>
            </w:r>
            <w:r>
              <w:rPr>
                <w:rFonts w:hint="eastAsia" w:ascii="宋体" w:hAnsi="宋体" w:eastAsia="宋体" w:cs="宋体"/>
                <w:color w:val="auto"/>
                <w:szCs w:val="21"/>
                <w:highlight w:val="none"/>
                <w:lang w:val="zh-CN"/>
              </w:rPr>
              <w:t>须注明项目编号，以便登记、查询，</w:t>
            </w:r>
            <w:r>
              <w:rPr>
                <w:rFonts w:hint="eastAsia" w:ascii="宋体" w:hAnsi="宋体" w:eastAsia="宋体" w:cs="宋体"/>
                <w:color w:val="auto"/>
                <w:szCs w:val="21"/>
                <w:highlight w:val="none"/>
              </w:rPr>
              <w:t>未注明不影响其磋商有效性]。</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收款单位：四川乾新招投标代理有限公司</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 户 行：招商银行成都分行天府大道支行</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银行账号：1289 0768 1810 101</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交款截止时间：</w:t>
            </w:r>
            <w:r>
              <w:rPr>
                <w:rFonts w:hint="eastAsia" w:ascii="宋体" w:hAnsi="宋体" w:eastAsia="宋体" w:cs="宋体"/>
                <w:color w:val="auto"/>
                <w:szCs w:val="21"/>
                <w:highlight w:val="none"/>
                <w:lang w:val="zh-CN"/>
              </w:rPr>
              <w:t>本项目</w:t>
            </w:r>
            <w:r>
              <w:rPr>
                <w:rFonts w:hint="eastAsia" w:ascii="宋体" w:hAnsi="宋体" w:eastAsia="宋体" w:cs="宋体"/>
                <w:color w:val="auto"/>
                <w:szCs w:val="21"/>
                <w:highlight w:val="none"/>
              </w:rPr>
              <w:t>磋商时间</w:t>
            </w:r>
            <w:r>
              <w:rPr>
                <w:rFonts w:hint="eastAsia" w:ascii="宋体" w:hAnsi="宋体" w:eastAsia="宋体" w:cs="宋体"/>
                <w:color w:val="auto"/>
                <w:szCs w:val="21"/>
                <w:highlight w:val="none"/>
                <w:lang w:val="zh-CN"/>
              </w:rPr>
              <w:t>前(</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val="zh-CN"/>
              </w:rPr>
              <w:t>保证金的交纳以到账时间为准)</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供应商必须按照上述交款方式及指定银行账号进行办理，交款账户名称须与供应商名称一致，鼓励以保函代替保证金。若以其他交款方式(如现金存款方式)或非指定银行账号办理的一律不予接受，将被视为无效。</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2.磋商保证金的其他相关规定详见第二章第四节(十三)条</w:t>
            </w:r>
            <w:r>
              <w:rPr>
                <w:rFonts w:hint="eastAsia" w:ascii="宋体" w:hAnsi="宋体" w:eastAsia="宋体" w:cs="宋体"/>
                <w:color w:val="auto"/>
                <w:szCs w:val="21"/>
                <w:highlight w:val="none"/>
                <w:lang w:val="zh-CN"/>
              </w:rPr>
              <w:t>。</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保证金查询电话：</w:t>
            </w:r>
            <w:r>
              <w:rPr>
                <w:rFonts w:hint="eastAsia" w:ascii="宋体" w:hAnsi="宋体" w:eastAsia="宋体" w:cs="宋体"/>
                <w:color w:val="auto"/>
                <w:szCs w:val="21"/>
                <w:highlight w:val="none"/>
                <w:lang w:val="zh-CN"/>
              </w:rPr>
              <w:t>028-84638556、84882960转6</w:t>
            </w:r>
            <w:r>
              <w:rPr>
                <w:rFonts w:hint="eastAsia" w:ascii="宋体" w:hAnsi="宋体" w:eastAsia="宋体" w:cs="宋体"/>
                <w:color w:val="auto"/>
                <w:szCs w:val="21"/>
                <w:highlight w:val="none"/>
              </w:rPr>
              <w:t>08或609。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w:t>
            </w:r>
          </w:p>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本磋商文件中涉及的保函按以下规定执行：</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1.保函应为金融机构出具，并有详细明显的验证方法；</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2.保函的受益人为四川乾新招投标代理有限公司；</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3.保函的内容应包括：供应商名称、项目名称、项目编号、保证金金额、保函的有效期、担保内容(即：采购代理机构将不予退还磋商保证金的情形，详见本磋商文件第二章第四节(十三)条)；</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4.保证金金额不少于《磋商须知表》中规定的金额；</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5.保函的有效期应不少于磋商文件规定的磋商有效期；</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6.供应商未按上述要求提供保函的</w:t>
            </w:r>
            <w:r>
              <w:rPr>
                <w:rFonts w:hint="eastAsia" w:ascii="宋体" w:hAnsi="宋体" w:eastAsia="宋体" w:cs="宋体"/>
                <w:color w:val="auto"/>
                <w:szCs w:val="21"/>
                <w:highlight w:val="none"/>
                <w:lang w:val="zh-CN"/>
              </w:rPr>
              <w:t>将被视为</w:t>
            </w:r>
            <w:r>
              <w:rPr>
                <w:rFonts w:hint="eastAsia" w:ascii="宋体" w:hAnsi="宋体" w:eastAsia="宋体" w:cs="宋体"/>
                <w:color w:val="auto"/>
                <w:szCs w:val="21"/>
                <w:highlight w:val="none"/>
              </w:rPr>
              <w:t>无效响应</w:t>
            </w:r>
            <w:r>
              <w:rPr>
                <w:rFonts w:hint="eastAsia" w:ascii="宋体" w:hAnsi="宋体" w:eastAsia="宋体" w:cs="宋体"/>
                <w:color w:val="auto"/>
                <w:szCs w:val="21"/>
                <w:highlight w:val="none"/>
                <w:lang w:val="zh-CN"/>
              </w:rPr>
              <w:t>。</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注：磋商保证金与保函具有同等效力，提供任一项均可。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低于成本价不正当竞争预防措施</w:t>
            </w:r>
          </w:p>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参照四川省财政厅关于延长《四川省政府采购评审 工作规程(修订)》有效期的通知(川财采〔2022〕7号)、《四川省政府采购评审工作规程(修订)》的通知(川财采〔2016〕53号)第三十一条规定如下：</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shd w:val="clear" w:color="auto" w:fill="FFFFFF"/>
              </w:rPr>
              <w:t>在评审过程中</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shd w:val="clear" w:color="auto" w:fill="FFFFFF"/>
              </w:rPr>
              <w:t>供应商报价低于采购预算50%或者低于其他有效供应商报价算术平均价40%，有可能影响产品质量或者不能诚信履约的，评审委员会应当要求其在评审现场合理的时间内提供成本构成书面说明，并提交相关证明材料</w:t>
            </w:r>
            <w:r>
              <w:rPr>
                <w:rFonts w:hint="eastAsia" w:ascii="宋体" w:hAnsi="宋体" w:eastAsia="宋体" w:cs="宋体"/>
                <w:color w:val="auto"/>
                <w:szCs w:val="21"/>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响应文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小微企业、监狱企业、残疾人福利性单位等政策执行</w:t>
            </w:r>
          </w:p>
        </w:tc>
        <w:tc>
          <w:tcPr>
            <w:tcW w:w="7061" w:type="dxa"/>
            <w:vAlign w:val="center"/>
          </w:tcPr>
          <w:p>
            <w:pPr>
              <w:pStyle w:val="42"/>
              <w:numPr>
                <w:ilvl w:val="0"/>
                <w:numId w:val="10"/>
              </w:numPr>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促进中小企业发展政策</w:t>
            </w:r>
          </w:p>
          <w:p>
            <w:pPr>
              <w:pStyle w:val="42"/>
              <w:numPr>
                <w:ilvl w:val="0"/>
                <w:numId w:val="11"/>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定义：</w:t>
            </w:r>
            <w:r>
              <w:rPr>
                <w:rFonts w:hint="eastAsia" w:ascii="宋体" w:hAnsi="宋体" w:eastAsia="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适用情形：</w:t>
            </w:r>
            <w:r>
              <w:rPr>
                <w:rFonts w:hint="eastAsia" w:ascii="宋体" w:hAnsi="宋体" w:eastAsia="宋体" w:cs="宋体"/>
                <w:color w:val="auto"/>
                <w:szCs w:val="21"/>
                <w:highlight w:val="none"/>
              </w:rPr>
              <w:t>在服务采购项目中，服务由中小企业承接，即提供服务的人员为中小企业依照《中华人民共和国劳动合同法》订立劳动合同的从业人员。</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注：关于中小微型企业划分标准详见附件。</w:t>
            </w:r>
          </w:p>
          <w:p>
            <w:pPr>
              <w:pStyle w:val="42"/>
              <w:numPr>
                <w:ilvl w:val="0"/>
                <w:numId w:val="11"/>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执行方式：</w:t>
            </w:r>
          </w:p>
          <w:p>
            <w:pPr>
              <w:pStyle w:val="42"/>
              <w:ind w:left="24" w:leftChars="10" w:right="24" w:rightChars="10"/>
              <w:rPr>
                <w:rFonts w:hint="eastAsia" w:ascii="宋体" w:hAnsi="宋体" w:eastAsia="宋体" w:cs="宋体"/>
                <w:color w:val="auto"/>
                <w:spacing w:val="-8"/>
                <w:szCs w:val="21"/>
                <w:highlight w:val="none"/>
              </w:rPr>
            </w:pPr>
            <w:r>
              <w:rPr>
                <w:rFonts w:hint="eastAsia" w:ascii="宋体" w:hAnsi="宋体" w:eastAsia="宋体" w:cs="宋体"/>
                <w:color w:val="auto"/>
                <w:szCs w:val="21"/>
                <w:highlight w:val="none"/>
              </w:rPr>
              <w:t>(1)参照关于印发《政府采购促进中小企业发展管理办法》的通知(财库〔2020〕46号)、财政部《关于进一步加大政府采购支持中小企业力度的通知》(财库〔2022〕19号)、四川省财政厅关于转发财政部 《关于进一步加大政府采购支持中小企业力度的通知》的通知(川财采〔2022〕78号)、成都市财政局关于转发财政部《关于进一步加大政府采购支持中小企业力度的通知》的通知 (成财采发〔2022〕19号)的规定，对小型和微型企业的价格给予</w:t>
            </w:r>
            <w:r>
              <w:rPr>
                <w:rFonts w:hint="eastAsia" w:ascii="宋体" w:hAnsi="宋体" w:eastAsia="宋体" w:cs="宋体"/>
                <w:b/>
                <w:bCs/>
                <w:color w:val="auto"/>
                <w:szCs w:val="21"/>
                <w:highlight w:val="none"/>
              </w:rPr>
              <w:t>10%</w:t>
            </w:r>
            <w:r>
              <w:rPr>
                <w:rFonts w:hint="eastAsia" w:ascii="宋体" w:hAnsi="宋体" w:eastAsia="宋体" w:cs="宋体"/>
                <w:color w:val="auto"/>
                <w:szCs w:val="21"/>
                <w:highlight w:val="none"/>
              </w:rPr>
              <w:t>的价格扣除，用扣除后的价格参与评审</w:t>
            </w:r>
            <w:r>
              <w:rPr>
                <w:rFonts w:hint="eastAsia" w:ascii="宋体" w:hAnsi="宋体" w:eastAsia="宋体" w:cs="宋体"/>
                <w:color w:val="auto"/>
                <w:spacing w:val="-8"/>
                <w:szCs w:val="21"/>
                <w:highlight w:val="none"/>
              </w:rPr>
              <w:t>。</w:t>
            </w:r>
          </w:p>
          <w:p>
            <w:pPr>
              <w:pStyle w:val="42"/>
              <w:ind w:left="24" w:leftChars="10" w:right="24" w:rightChars="1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(2)中小企业参加采购活动，应当出具《中小企业声明函》(格式详见采购文件)，否则不得享受相关中小企业扶持政策。</w:t>
            </w:r>
          </w:p>
          <w:p>
            <w:pPr>
              <w:pStyle w:val="42"/>
              <w:ind w:left="24" w:leftChars="10" w:right="24" w:rightChars="10"/>
              <w:rPr>
                <w:rFonts w:hint="eastAsia"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(3)供应商应当对其出具的《中小企业声明函》真实性负责，供应商出具的《中小企业声明函》内容不实的，属于提供虚假材料谋取中标、成交。</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二、监狱企业价格扣除</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1.参照《财政部 司法部关于政府采购支持监狱企业发展有关问题的通知》(财库〔2014〕68号)的规定，在采购活动中，监狱企业视同小型、微型企业，享受预留份额、评审中价格扣除等促进中小企业发展的政策。</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2.本项目对监狱企业参与磋商的价格给予</w:t>
            </w:r>
            <w:r>
              <w:rPr>
                <w:rFonts w:hint="eastAsia" w:ascii="宋体" w:hAnsi="宋体" w:eastAsia="宋体" w:cs="宋体"/>
                <w:b/>
                <w:bCs/>
                <w:color w:val="auto"/>
                <w:szCs w:val="21"/>
                <w:highlight w:val="none"/>
              </w:rPr>
              <w:t>10%</w:t>
            </w:r>
            <w:r>
              <w:rPr>
                <w:rFonts w:hint="eastAsia" w:ascii="宋体" w:hAnsi="宋体" w:eastAsia="宋体" w:cs="宋体"/>
                <w:color w:val="auto"/>
                <w:szCs w:val="21"/>
                <w:highlight w:val="none"/>
              </w:rPr>
              <w:t>的扣除，用扣除后的价格参与评审。</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3.监狱企业参加采购活动时，应当提供由省级以上监狱管理局、戒毒管理局(含新疆生产建设兵团)出具的属于监狱企业的证明文件。</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4.监狱企业视同小型、微型企业，不重复享受政策。</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三、残疾人福利性单位价格扣除</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照《三部门联合发布关于促进残疾人就业政府采购政策的通知》(财库〔2017〕141号)的要求，在采购活动中，残疾人福利性单位视同小型、微型企业，享受预留份额、评审中价格扣除等促进中小企业发展的政策。</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2.本项目对残疾人福利性单位参与磋商的价格给予</w:t>
            </w:r>
            <w:r>
              <w:rPr>
                <w:rFonts w:hint="eastAsia" w:ascii="宋体" w:hAnsi="宋体" w:eastAsia="宋体" w:cs="宋体"/>
                <w:b/>
                <w:bCs/>
                <w:color w:val="auto"/>
                <w:szCs w:val="21"/>
                <w:highlight w:val="none"/>
              </w:rPr>
              <w:t>10%</w:t>
            </w:r>
            <w:r>
              <w:rPr>
                <w:rFonts w:hint="eastAsia" w:ascii="宋体" w:hAnsi="宋体" w:eastAsia="宋体" w:cs="宋体"/>
                <w:color w:val="auto"/>
                <w:szCs w:val="21"/>
                <w:highlight w:val="none"/>
              </w:rPr>
              <w:t>的扣除，用扣除后的价格参与评审。</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3.残疾人福利性单位参加采购活动时，应当提供本通知规定的《残疾人福利性单位声明函》。</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4.供应商提供的《残疾人福利性单位声明函》与事实不符的，参照《政府采购法》第七十七条第一款的规定追究法律责任。</w:t>
            </w:r>
          </w:p>
          <w:p>
            <w:pPr>
              <w:pStyle w:val="42"/>
              <w:ind w:left="24" w:leftChars="10" w:right="24" w:rightChars="1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5.残疾人福利性单位视同小型、微型企业，不重复享受政策。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节能产品、环境标志产品、无线局域网产品采购政策</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本项目不涉及节能产品、环境标志产品、无线局域网产品、商品包装、快递包装，故不在采购文件中体现相关政策。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品牌或者供应商</w:t>
            </w:r>
          </w:p>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(如涉及)</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若采购文件涉及品牌或者供应商，其目的是为了准确清楚说明采购项目的技术标准和要求，其意思表示为“参照或相当于”该品牌或者供应商，其品牌或供应商具有可替代性。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其他强制性规定</w:t>
            </w:r>
          </w:p>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(如涉及时作为实质性要求)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评</w:t>
            </w:r>
            <w:r>
              <w:rPr>
                <w:rFonts w:hint="eastAsia" w:ascii="宋体" w:hAnsi="宋体" w:eastAsia="宋体" w:cs="宋体"/>
                <w:color w:val="auto"/>
                <w:szCs w:val="21"/>
                <w:highlight w:val="none"/>
              </w:rPr>
              <w:t>审结果</w:t>
            </w:r>
            <w:r>
              <w:rPr>
                <w:rFonts w:hint="eastAsia" w:ascii="宋体" w:hAnsi="宋体" w:eastAsia="宋体" w:cs="宋体"/>
                <w:color w:val="auto"/>
                <w:szCs w:val="21"/>
                <w:highlight w:val="none"/>
                <w:lang w:val="zh-CN"/>
              </w:rPr>
              <w:t>的公告</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评审结果将在</w:t>
            </w:r>
            <w:r>
              <w:rPr>
                <w:rFonts w:hint="eastAsia" w:ascii="宋体" w:hAnsi="宋体" w:eastAsia="宋体" w:cs="宋体"/>
                <w:color w:val="auto"/>
                <w:szCs w:val="21"/>
                <w:highlight w:val="none"/>
                <w:lang w:eastAsia="zh-CN"/>
              </w:rPr>
              <w:t>“中国招标投标公共服务平台”</w:t>
            </w:r>
            <w:r>
              <w:rPr>
                <w:rFonts w:hint="eastAsia" w:ascii="宋体" w:hAnsi="宋体" w:eastAsia="宋体" w:cs="宋体"/>
                <w:color w:val="auto"/>
                <w:szCs w:val="21"/>
                <w:highlight w:val="none"/>
              </w:rPr>
              <w:t>予以公告。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成交通知书领取</w:t>
            </w:r>
          </w:p>
        </w:tc>
        <w:tc>
          <w:tcPr>
            <w:tcW w:w="7061" w:type="dxa"/>
            <w:vAlign w:val="center"/>
          </w:tcPr>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采购代理机构在成交供应商确定后2个工作日内，在</w:t>
            </w:r>
            <w:r>
              <w:rPr>
                <w:rFonts w:hint="eastAsia" w:ascii="宋体" w:hAnsi="宋体" w:eastAsia="宋体" w:cs="宋体"/>
                <w:color w:val="auto"/>
                <w:szCs w:val="21"/>
                <w:highlight w:val="none"/>
                <w:lang w:eastAsia="zh-CN"/>
              </w:rPr>
              <w:t>“中国招标投标公共服务平台”</w:t>
            </w:r>
            <w:r>
              <w:rPr>
                <w:rFonts w:hint="eastAsia" w:ascii="宋体" w:hAnsi="宋体" w:eastAsia="宋体" w:cs="宋体"/>
                <w:color w:val="auto"/>
                <w:szCs w:val="21"/>
                <w:highlight w:val="none"/>
              </w:rPr>
              <w:t>发布成交公告，同时采购代理机构将成交通知书发至成交供应商。</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联系人：张虹</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联系电话：</w:t>
            </w:r>
            <w:r>
              <w:rPr>
                <w:rFonts w:hint="eastAsia" w:ascii="宋体" w:hAnsi="宋体" w:eastAsia="宋体" w:cs="宋体"/>
                <w:color w:val="auto"/>
                <w:szCs w:val="21"/>
                <w:highlight w:val="none"/>
              </w:rPr>
              <w:t>028-61375575、62600820、62630990转601或602</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地址：成都市高新区吉庆三路333号蜀都中心二期一号楼一单元401</w:t>
            </w:r>
            <w:r>
              <w:rPr>
                <w:rFonts w:hint="eastAsia" w:ascii="宋体" w:hAnsi="宋体" w:eastAsia="宋体" w:cs="宋体"/>
                <w:color w:val="auto"/>
                <w:szCs w:val="21"/>
                <w:highlight w:val="none"/>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46"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w:t>
            </w:r>
            <w:r>
              <w:rPr>
                <w:rFonts w:hint="eastAsia" w:ascii="宋体" w:hAnsi="宋体" w:eastAsia="宋体" w:cs="宋体"/>
                <w:color w:val="auto"/>
                <w:szCs w:val="21"/>
                <w:highlight w:val="none"/>
                <w:lang w:val="zh-CN"/>
              </w:rPr>
              <w:t>服务费</w:t>
            </w:r>
          </w:p>
        </w:tc>
        <w:tc>
          <w:tcPr>
            <w:tcW w:w="7061" w:type="dxa"/>
            <w:vAlign w:val="center"/>
          </w:tcPr>
          <w:p>
            <w:pPr>
              <w:pStyle w:val="42"/>
              <w:numPr>
                <w:ilvl w:val="0"/>
                <w:numId w:val="12"/>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招标代理服务费以成本加合理利润为原则，以采购预算为计费基数，按照下列收费标准及服务年限计算出收费基准价格后下浮20%收取。</w:t>
            </w:r>
          </w:p>
          <w:p>
            <w:pPr>
              <w:pStyle w:val="42"/>
              <w:numPr>
                <w:ilvl w:val="0"/>
                <w:numId w:val="12"/>
              </w:numPr>
              <w:tabs>
                <w:tab w:val="clear" w:pos="312"/>
              </w:tabs>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代理服务费率标准和代理服务费计算方法</w:t>
            </w:r>
          </w:p>
          <w:tbl>
            <w:tblPr>
              <w:tblStyle w:val="23"/>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金额(万元)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类型</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货物类</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服务类</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100以下</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1.5%</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1.5%</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100－500</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1.1%</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0.8%</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500－1000</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0.8%</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0.45%</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1000－5000</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0.5%</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0.25%</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5000－10000</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0.25%</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0.1%</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10000－100000</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0.05%</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0.05%</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1000000以上</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0.01%</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0.01%</w:t>
                  </w:r>
                </w:p>
              </w:tc>
              <w:tc>
                <w:tcPr>
                  <w:tcW w:w="1180" w:type="dxa"/>
                  <w:vAlign w:val="center"/>
                </w:tcPr>
                <w:p>
                  <w:pPr>
                    <w:pStyle w:val="42"/>
                    <w:ind w:left="24" w:leftChars="10" w:right="24" w:rightChars="10"/>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0.01%</w:t>
                  </w:r>
                </w:p>
              </w:tc>
            </w:tr>
          </w:tbl>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(1)按本表费率计算的收费为代理服务全过程的收费基准价格。</w:t>
            </w:r>
          </w:p>
          <w:p>
            <w:pPr>
              <w:pStyle w:val="42"/>
              <w:ind w:left="24" w:leftChars="10" w:right="24" w:rightChars="1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(2)本收费以单个项目为计算基础，凡单个项目收费金额低于人民币 3000元，按3000元收取。</w:t>
            </w:r>
          </w:p>
          <w:p>
            <w:pPr>
              <w:pStyle w:val="42"/>
              <w:ind w:left="24" w:leftChars="10" w:right="24" w:rightChars="1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(3)采购代理机构下浮比例为20%。</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)代理服务收费按差额定率累进法计算。</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例如：某工程代理业务中标金额为6000万元，计算代理服务收费额如下：</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100万元×1.00%=1万元</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(500－100)万元×0.70%=2.8万元</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(1000－500)万元×0.55%=2.75万元</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(5000－1000)万元×0.35%=14万元</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(6000－5000)万元×0.20%=2万元</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最终代理服务=(1+2.8+2.75+14+2)*(1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20%)=18.04(万元)</w:t>
            </w:r>
          </w:p>
          <w:p>
            <w:pPr>
              <w:pStyle w:val="42"/>
              <w:numPr>
                <w:ilvl w:val="0"/>
                <w:numId w:val="12"/>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收取方式：成交</w:t>
            </w:r>
            <w:r>
              <w:rPr>
                <w:rFonts w:hint="eastAsia" w:ascii="宋体" w:hAnsi="宋体" w:eastAsia="宋体" w:cs="宋体"/>
                <w:color w:val="auto"/>
                <w:szCs w:val="21"/>
                <w:highlight w:val="none"/>
                <w:lang w:val="zh-CN"/>
              </w:rPr>
              <w:t>通知发出后二个工作日内由</w:t>
            </w:r>
            <w:r>
              <w:rPr>
                <w:rFonts w:hint="eastAsia" w:ascii="宋体" w:hAnsi="宋体" w:eastAsia="宋体" w:cs="宋体"/>
                <w:color w:val="auto"/>
                <w:szCs w:val="21"/>
                <w:highlight w:val="none"/>
              </w:rPr>
              <w:t>成交供应商</w:t>
            </w:r>
            <w:r>
              <w:rPr>
                <w:rFonts w:hint="eastAsia" w:ascii="宋体" w:hAnsi="宋体" w:eastAsia="宋体" w:cs="宋体"/>
                <w:color w:val="auto"/>
                <w:szCs w:val="21"/>
                <w:highlight w:val="none"/>
                <w:lang w:val="zh-CN"/>
              </w:rPr>
              <w:t>一次性支付</w:t>
            </w:r>
            <w:r>
              <w:rPr>
                <w:rFonts w:hint="eastAsia" w:ascii="宋体" w:hAnsi="宋体" w:eastAsia="宋体" w:cs="宋体"/>
                <w:color w:val="auto"/>
                <w:szCs w:val="21"/>
                <w:highlight w:val="none"/>
              </w:rPr>
              <w:t>至采购代理机构。</w:t>
            </w:r>
          </w:p>
          <w:p>
            <w:pPr>
              <w:pStyle w:val="42"/>
              <w:numPr>
                <w:ilvl w:val="0"/>
                <w:numId w:val="12"/>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账户信息</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收款单位：四川乾新招投标代理有限公司</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开 户 行：招商银行成都分行天府大道支行</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银行账号：1289 0768 1810 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履约保证金</w:t>
            </w:r>
          </w:p>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详见竞争性磋商文件第五章。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供应商询问</w:t>
            </w:r>
          </w:p>
        </w:tc>
        <w:tc>
          <w:tcPr>
            <w:tcW w:w="7061" w:type="dxa"/>
          </w:tcPr>
          <w:p>
            <w:pPr>
              <w:pStyle w:val="42"/>
              <w:numPr>
                <w:ilvl w:val="0"/>
                <w:numId w:val="13"/>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根据委托代理协议约定，采购人负责对采购文件技术参数部分的询问解释，四川乾新招投标代理有限公司负责答复，四川乾新招投标代理有限公司负责采购文件技术参数部分以外的询问解释和答复。</w:t>
            </w:r>
          </w:p>
          <w:p>
            <w:pPr>
              <w:pStyle w:val="42"/>
              <w:numPr>
                <w:ilvl w:val="0"/>
                <w:numId w:val="13"/>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询问内容不得涉及评审秘密、国家机密和商业秘密等保密内容。</w:t>
            </w:r>
          </w:p>
          <w:p>
            <w:pPr>
              <w:pStyle w:val="42"/>
              <w:numPr>
                <w:ilvl w:val="0"/>
                <w:numId w:val="13"/>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询问方式：询问可以采用邮寄、在线、现场书面或电子邮件等方式向四川乾新招投标代理有限公司提出；询问必须提供询问人基本信息(包含具体询问内容、询问人名称或姓名、联系人及联系电话、电子邮件)。</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联系人：</w:t>
            </w:r>
            <w:r>
              <w:rPr>
                <w:rFonts w:hint="eastAsia" w:ascii="宋体" w:hAnsi="宋体" w:eastAsia="宋体" w:cs="宋体"/>
                <w:color w:val="auto"/>
                <w:szCs w:val="21"/>
                <w:highlight w:val="none"/>
              </w:rPr>
              <w:t>王朝钢</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联系电话：</w:t>
            </w:r>
            <w:r>
              <w:rPr>
                <w:rFonts w:hint="eastAsia" w:ascii="宋体" w:hAnsi="宋体" w:eastAsia="宋体" w:cs="宋体"/>
                <w:color w:val="auto"/>
                <w:szCs w:val="21"/>
                <w:highlight w:val="none"/>
              </w:rPr>
              <w:t>028-</w:t>
            </w:r>
            <w:r>
              <w:rPr>
                <w:rFonts w:hint="eastAsia" w:ascii="宋体" w:hAnsi="宋体" w:eastAsia="宋体" w:cs="宋体"/>
                <w:color w:val="auto"/>
                <w:szCs w:val="21"/>
                <w:highlight w:val="none"/>
                <w:lang w:val="zh-CN"/>
              </w:rPr>
              <w:t>84638556、84882960</w:t>
            </w:r>
            <w:r>
              <w:rPr>
                <w:rFonts w:hint="eastAsia" w:ascii="宋体" w:hAnsi="宋体" w:eastAsia="宋体" w:cs="宋体"/>
                <w:color w:val="auto"/>
                <w:szCs w:val="21"/>
                <w:highlight w:val="none"/>
              </w:rPr>
              <w:t>转663</w:t>
            </w:r>
          </w:p>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地址：成都市高新区吉庆三路333号蜀都中心二期一号楼一单元401号</w:t>
            </w:r>
          </w:p>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邮编：610041</w:t>
            </w:r>
          </w:p>
          <w:p>
            <w:pPr>
              <w:pStyle w:val="42"/>
              <w:numPr>
                <w:ilvl w:val="0"/>
                <w:numId w:val="13"/>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针对中小企业提出的询问将优先加快办理。</w:t>
            </w:r>
          </w:p>
          <w:p>
            <w:pPr>
              <w:pStyle w:val="42"/>
              <w:numPr>
                <w:ilvl w:val="0"/>
                <w:numId w:val="13"/>
              </w:numPr>
              <w:tabs>
                <w:tab w:val="clear" w:pos="312"/>
              </w:tabs>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为提高采购效率，降低社会成本，鼓励询问主体对于不损害国家及社会利益或自身合法权益的问题或情形采用询问方式处理解决(包含但不限于文字错误、标点符号、不影响响应文件的编制的情形)。</w:t>
            </w:r>
          </w:p>
          <w:p>
            <w:pPr>
              <w:pStyle w:val="42"/>
              <w:numPr>
                <w:ilvl w:val="0"/>
                <w:numId w:val="13"/>
              </w:numPr>
              <w:tabs>
                <w:tab w:val="clear" w:pos="312"/>
              </w:tabs>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lang w:val="zh-CN"/>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供应商质疑</w:t>
            </w:r>
          </w:p>
        </w:tc>
        <w:tc>
          <w:tcPr>
            <w:tcW w:w="7061" w:type="dxa"/>
            <w:vAlign w:val="center"/>
          </w:tcPr>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1.根据委托代理协议约定，采购人负责对采购文件技术参数部分的质疑解释，四川乾新招投标代理有限公司负责答复，四川乾新招投标代理有限公司负责采购文件技术参数部分以外的质疑解释和答复。</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2.供应商提出质疑应当坚持依法依规、诚实信用原则；不得超出采购文件、采购过程、采购结果的范围，不得进行虚假、恶意质疑，不得以质疑为手段获取不当得利、实现非法目的。</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3.提出质疑函的时限要求：供应商认为采购文件、采购过程、中标或者成交结果使其权益受到损害的，</w:t>
            </w:r>
            <w:r>
              <w:rPr>
                <w:rFonts w:hint="eastAsia" w:ascii="宋体" w:hAnsi="宋体" w:eastAsia="宋体" w:cs="宋体"/>
                <w:b/>
                <w:bCs/>
                <w:color w:val="auto"/>
                <w:szCs w:val="21"/>
                <w:highlight w:val="none"/>
              </w:rPr>
              <w:t>可以在知道或者应知其权益受到损害之日起2日内</w:t>
            </w:r>
            <w:r>
              <w:rPr>
                <w:rFonts w:hint="eastAsia" w:ascii="宋体" w:hAnsi="宋体" w:eastAsia="宋体" w:cs="宋体"/>
                <w:color w:val="auto"/>
                <w:szCs w:val="21"/>
                <w:highlight w:val="none"/>
              </w:rPr>
              <w:t>，以书面形式向采购人、采购代理机构提出质疑。</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④针对中小企业提出的质疑将优先加快办理)。</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联系人：王朝钢</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联系电话：028-</w:t>
            </w:r>
            <w:r>
              <w:rPr>
                <w:rFonts w:hint="eastAsia" w:ascii="宋体" w:hAnsi="宋体" w:eastAsia="宋体" w:cs="宋体"/>
                <w:color w:val="auto"/>
                <w:szCs w:val="21"/>
                <w:highlight w:val="none"/>
                <w:lang w:val="zh-CN"/>
              </w:rPr>
              <w:t>84638556、84882960</w:t>
            </w:r>
            <w:r>
              <w:rPr>
                <w:rFonts w:hint="eastAsia" w:ascii="宋体" w:hAnsi="宋体" w:eastAsia="宋体" w:cs="宋体"/>
                <w:color w:val="auto"/>
                <w:szCs w:val="21"/>
                <w:highlight w:val="none"/>
              </w:rPr>
              <w:t>转663</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lang w:val="zh-CN"/>
              </w:rPr>
              <w:t>成都市高新区吉庆三路333号蜀都中心二期一号楼一单元401号</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邮编：610041</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注：①参照《中华人民共和国政府采购法》等法律法规规定，供应商质疑应当有明确的请求和必要的证明材料，须符合《政府采购质疑和投诉办法》(财政部第94号令)规定，并使用财政部下发《质疑函》范本。</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明确的请求是指：供应商对采购文件还是对采购过程还是对中标、成交结果提出质疑；想要达到的结果，如中标成交无效、废标、重新组织采购、赔偿、追究法律责任等；</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zh-CN"/>
              </w:rPr>
              <w:t>供应商</w:t>
            </w:r>
            <w:r>
              <w:rPr>
                <w:rFonts w:hint="eastAsia" w:ascii="宋体" w:hAnsi="宋体" w:eastAsia="宋体" w:cs="宋体"/>
                <w:color w:val="auto"/>
                <w:szCs w:val="21"/>
                <w:highlight w:val="none"/>
              </w:rPr>
              <w:t>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供应商投诉</w:t>
            </w:r>
          </w:p>
        </w:tc>
        <w:tc>
          <w:tcPr>
            <w:tcW w:w="7061" w:type="dxa"/>
          </w:tcPr>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投诉受理部门：</w:t>
            </w:r>
            <w:r>
              <w:rPr>
                <w:rFonts w:hint="eastAsia" w:ascii="宋体" w:hAnsi="宋体" w:eastAsia="宋体" w:cs="宋体"/>
                <w:color w:val="auto"/>
                <w:highlight w:val="none"/>
                <w:lang w:eastAsia="zh-CN"/>
              </w:rPr>
              <w:t>成都市技师学院</w:t>
            </w:r>
            <w:r>
              <w:rPr>
                <w:rFonts w:hint="eastAsia" w:ascii="宋体" w:hAnsi="宋体" w:eastAsia="宋体" w:cs="宋体"/>
                <w:color w:val="auto"/>
                <w:szCs w:val="21"/>
                <w:highlight w:val="none"/>
              </w:rPr>
              <w:t>纪检监察处</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联系电话：028-64907543</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地址：成都市郫都区港通北3路1899号</w:t>
            </w:r>
          </w:p>
          <w:p>
            <w:pPr>
              <w:pStyle w:val="42"/>
              <w:ind w:left="24" w:leftChars="10" w:right="24" w:rightChars="1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邮编：611700</w:t>
            </w:r>
          </w:p>
          <w:p>
            <w:pPr>
              <w:pStyle w:val="42"/>
              <w:ind w:left="24" w:leftChars="10" w:right="24" w:rightChars="10"/>
              <w:textAlignment w:val="baseline"/>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rPr>
            </w:pPr>
          </w:p>
        </w:tc>
        <w:tc>
          <w:tcPr>
            <w:tcW w:w="2020" w:type="dxa"/>
            <w:vAlign w:val="center"/>
          </w:tcPr>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竞争性磋商费用</w:t>
            </w:r>
          </w:p>
          <w:p>
            <w:pPr>
              <w:pStyle w:val="45"/>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w:t>
            </w:r>
          </w:p>
        </w:tc>
        <w:tc>
          <w:tcPr>
            <w:tcW w:w="7061" w:type="dxa"/>
            <w:vAlign w:val="center"/>
          </w:tcPr>
          <w:p>
            <w:pPr>
              <w:pStyle w:val="42"/>
              <w:ind w:left="24" w:leftChars="10" w:right="24"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无论竞争性磋商的结果如何，供应商自行承担所有与参加竞争性磋商有关的全部费用。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声明承诺提醒</w:t>
            </w:r>
          </w:p>
        </w:tc>
        <w:tc>
          <w:tcPr>
            <w:tcW w:w="7061" w:type="dxa"/>
            <w:vAlign w:val="center"/>
          </w:tcPr>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供应商响应文件中提供的各种声明和承诺应当真实有效，无效声明和承诺、虚假声明和承诺将由供应商</w:t>
            </w:r>
            <w:r>
              <w:rPr>
                <w:rFonts w:hint="eastAsia" w:ascii="宋体" w:hAnsi="宋体" w:eastAsia="宋体" w:cs="宋体"/>
                <w:color w:val="auto"/>
                <w:szCs w:val="21"/>
                <w:highlight w:val="none"/>
              </w:rPr>
              <w:t>自行</w:t>
            </w:r>
            <w:r>
              <w:rPr>
                <w:rFonts w:hint="eastAsia" w:ascii="宋体" w:hAnsi="宋体" w:eastAsia="宋体" w:cs="宋体"/>
                <w:color w:val="auto"/>
                <w:szCs w:val="21"/>
                <w:highlight w:val="none"/>
                <w:lang w:val="zh-CN"/>
              </w:rPr>
              <w:t>承担由此带来的</w:t>
            </w:r>
            <w:r>
              <w:rPr>
                <w:rFonts w:hint="eastAsia" w:ascii="宋体" w:hAnsi="宋体" w:eastAsia="宋体" w:cs="宋体"/>
                <w:color w:val="auto"/>
                <w:szCs w:val="21"/>
                <w:highlight w:val="none"/>
              </w:rPr>
              <w:t>一切</w:t>
            </w:r>
            <w:r>
              <w:rPr>
                <w:rFonts w:hint="eastAsia" w:ascii="宋体" w:hAnsi="宋体" w:eastAsia="宋体" w:cs="宋体"/>
                <w:color w:val="auto"/>
                <w:szCs w:val="21"/>
                <w:highlight w:val="none"/>
                <w:lang w:val="zh-CN"/>
              </w:rPr>
              <w:t>不利后果，</w:t>
            </w: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val="zh-CN"/>
              </w:rPr>
              <w:t>还将报告监管部门追究</w:t>
            </w:r>
            <w:r>
              <w:rPr>
                <w:rFonts w:hint="eastAsia" w:ascii="宋体" w:hAnsi="宋体" w:eastAsia="宋体" w:cs="宋体"/>
                <w:color w:val="auto"/>
                <w:szCs w:val="21"/>
                <w:highlight w:val="none"/>
              </w:rPr>
              <w:t>其</w:t>
            </w:r>
            <w:r>
              <w:rPr>
                <w:rFonts w:hint="eastAsia" w:ascii="宋体" w:hAnsi="宋体" w:eastAsia="宋体" w:cs="宋体"/>
                <w:color w:val="auto"/>
                <w:szCs w:val="21"/>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5"/>
              <w:numPr>
                <w:ilvl w:val="0"/>
                <w:numId w:val="8"/>
              </w:numPr>
              <w:ind w:left="24" w:leftChars="10" w:right="24" w:rightChars="10"/>
              <w:rPr>
                <w:rFonts w:hint="eastAsia" w:ascii="宋体" w:hAnsi="宋体" w:eastAsia="宋体" w:cs="宋体"/>
                <w:color w:val="auto"/>
                <w:szCs w:val="21"/>
                <w:highlight w:val="none"/>
              </w:rPr>
            </w:pPr>
          </w:p>
        </w:tc>
        <w:tc>
          <w:tcPr>
            <w:tcW w:w="2020" w:type="dxa"/>
            <w:vAlign w:val="center"/>
          </w:tcPr>
          <w:p>
            <w:pPr>
              <w:pStyle w:val="45"/>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备注</w:t>
            </w:r>
          </w:p>
        </w:tc>
        <w:tc>
          <w:tcPr>
            <w:tcW w:w="7061" w:type="dxa"/>
            <w:vAlign w:val="center"/>
          </w:tcPr>
          <w:p>
            <w:pPr>
              <w:pStyle w:val="42"/>
              <w:ind w:left="24" w:leftChars="10" w:right="24" w:rightChars="1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若竞争性磋商文件中其他内容与磋商须知前附表内容不一致的，以磋商须知前附表为准。</w:t>
            </w:r>
          </w:p>
        </w:tc>
      </w:tr>
    </w:tbl>
    <w:p>
      <w:pPr>
        <w:pStyle w:val="35"/>
        <w:spacing w:before="120" w:beforeLines="50" w:after="120" w:afterLines="50"/>
        <w:ind w:firstLine="0" w:firstLineChars="0"/>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21" w:name="_Toc12566"/>
      <w:bookmarkStart w:id="22" w:name="_Toc29115"/>
      <w:r>
        <w:rPr>
          <w:rFonts w:hint="eastAsia" w:ascii="宋体" w:hAnsi="宋体" w:eastAsia="宋体" w:cs="宋体"/>
          <w:color w:val="auto"/>
          <w:sz w:val="36"/>
          <w:szCs w:val="36"/>
          <w:highlight w:val="none"/>
        </w:rPr>
        <w:t>总则</w:t>
      </w:r>
      <w:bookmarkEnd w:id="21"/>
      <w:bookmarkEnd w:id="22"/>
    </w:p>
    <w:tbl>
      <w:tblPr>
        <w:tblStyle w:val="23"/>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序号</w:t>
            </w:r>
          </w:p>
        </w:tc>
        <w:tc>
          <w:tcPr>
            <w:tcW w:w="1753" w:type="dxa"/>
            <w:vAlign w:val="center"/>
          </w:tcPr>
          <w:p>
            <w:pPr>
              <w:pStyle w:val="45"/>
              <w:ind w:left="24" w:leftChars="10" w:right="240" w:rightChars="10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事项</w:t>
            </w:r>
          </w:p>
        </w:tc>
        <w:tc>
          <w:tcPr>
            <w:tcW w:w="7328" w:type="dxa"/>
            <w:vAlign w:val="center"/>
          </w:tcPr>
          <w:p>
            <w:pPr>
              <w:pStyle w:val="45"/>
              <w:ind w:left="24" w:leftChars="10" w:right="240" w:rightChars="100"/>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753" w:type="dxa"/>
            <w:vAlign w:val="center"/>
          </w:tcPr>
          <w:p>
            <w:pPr>
              <w:pStyle w:val="45"/>
              <w:ind w:left="24" w:leftChars="10" w:right="240" w:right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适用范围</w:t>
            </w:r>
          </w:p>
        </w:tc>
        <w:tc>
          <w:tcPr>
            <w:tcW w:w="7328" w:type="dxa"/>
            <w:vAlign w:val="center"/>
          </w:tcPr>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本竞争性磋商文件(亦</w:t>
            </w:r>
            <w:r>
              <w:rPr>
                <w:rFonts w:hint="eastAsia" w:ascii="宋体" w:hAnsi="宋体" w:eastAsia="宋体" w:cs="宋体"/>
                <w:color w:val="auto"/>
                <w:szCs w:val="21"/>
                <w:highlight w:val="none"/>
              </w:rPr>
              <w:t>简称“磋商文件”或“采购文件”</w:t>
            </w:r>
            <w:r>
              <w:rPr>
                <w:rFonts w:hint="eastAsia" w:ascii="宋体" w:hAnsi="宋体" w:eastAsia="宋体" w:cs="宋体"/>
                <w:color w:val="auto"/>
                <w:szCs w:val="21"/>
                <w:highlight w:val="none"/>
                <w:lang w:val="zh-CN"/>
              </w:rPr>
              <w:t>)仅适用于</w:t>
            </w:r>
            <w:r>
              <w:rPr>
                <w:rFonts w:hint="eastAsia" w:ascii="宋体" w:hAnsi="宋体" w:eastAsia="宋体" w:cs="宋体"/>
                <w:color w:val="auto"/>
                <w:szCs w:val="21"/>
                <w:highlight w:val="none"/>
              </w:rPr>
              <w:t>本次磋商</w:t>
            </w:r>
            <w:r>
              <w:rPr>
                <w:rFonts w:hint="eastAsia" w:ascii="宋体" w:hAnsi="宋体" w:eastAsia="宋体" w:cs="宋体"/>
                <w:color w:val="auto"/>
                <w:szCs w:val="21"/>
                <w:highlight w:val="none"/>
                <w:lang w:val="zh-CN"/>
              </w:rPr>
              <w:t>采购</w:t>
            </w:r>
            <w:r>
              <w:rPr>
                <w:rFonts w:hint="eastAsia" w:ascii="宋体" w:hAnsi="宋体" w:eastAsia="宋体" w:cs="宋体"/>
                <w:color w:val="auto"/>
                <w:szCs w:val="21"/>
                <w:highlight w:val="none"/>
              </w:rPr>
              <w:t>项目。</w:t>
            </w:r>
          </w:p>
          <w:p>
            <w:pPr>
              <w:pStyle w:val="42"/>
              <w:ind w:left="24" w:leftChars="10" w:right="240" w:right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2.本竞争性</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val="zh-CN"/>
              </w:rPr>
              <w:t>文件中的</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val="zh-CN"/>
              </w:rPr>
              <w:t>，仅适用于本采购项目。</w:t>
            </w:r>
          </w:p>
          <w:p>
            <w:pPr>
              <w:pStyle w:val="42"/>
              <w:ind w:left="24" w:leftChars="10" w:right="240" w:rightChars="1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本竞争性</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val="zh-CN"/>
              </w:rPr>
              <w:t>文件中的</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val="zh-CN"/>
              </w:rPr>
              <w:t>小组(亦可称为“评审委员会”)，仅适用于本采购项目。</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.本</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val="zh-CN"/>
              </w:rPr>
              <w:t>文件的解释权归采购人和采购代理机构所有。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753"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采购主体</w:t>
            </w:r>
          </w:p>
        </w:tc>
        <w:tc>
          <w:tcPr>
            <w:tcW w:w="7328" w:type="dxa"/>
            <w:vAlign w:val="center"/>
          </w:tcPr>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1.“采购人”系指</w:t>
            </w:r>
            <w:r>
              <w:rPr>
                <w:rFonts w:hint="eastAsia" w:ascii="宋体" w:hAnsi="宋体" w:eastAsia="宋体" w:cs="宋体"/>
                <w:color w:val="auto"/>
                <w:szCs w:val="21"/>
                <w:highlight w:val="none"/>
                <w:lang w:eastAsia="zh-CN"/>
              </w:rPr>
              <w:t>成都市技师学院</w:t>
            </w:r>
            <w:r>
              <w:rPr>
                <w:rFonts w:hint="eastAsia" w:ascii="宋体" w:hAnsi="宋体" w:eastAsia="宋体" w:cs="宋体"/>
                <w:color w:val="auto"/>
                <w:szCs w:val="21"/>
                <w:highlight w:val="none"/>
              </w:rPr>
              <w:t>。</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2.“供应商”系指获取了竞争性磋商文件拟参加磋商和向采购人提供相应服务的法人、其他组织或者自然人。</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53"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合格供应商条件</w:t>
            </w:r>
          </w:p>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w:t>
            </w:r>
          </w:p>
        </w:tc>
        <w:tc>
          <w:tcPr>
            <w:tcW w:w="7328" w:type="dxa"/>
            <w:vAlign w:val="center"/>
          </w:tcPr>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1.不属于禁止参加本项目采购活动的供应商。</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2.遵守国家有关的法律、法规、规章和其他政策制度。</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3.依法通过采购代理机构获取了磋商文件并完成报名登记。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53"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充分、公平竞争保障措施</w:t>
            </w:r>
          </w:p>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w:t>
            </w:r>
          </w:p>
        </w:tc>
        <w:tc>
          <w:tcPr>
            <w:tcW w:w="7328" w:type="dxa"/>
            <w:vAlign w:val="center"/>
          </w:tcPr>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照《关于在政府采购活动中查询及使用信用记录有关问题的通知》(财库〔2016〕125号)等文件要求，采购代理机构将通过“信用中国”网站(www.creditchina.gov.cn)、“中国政府采购网”网站(www.ccgp.gov.cn)等渠道查询供应商的信用记录并保存信用记录结果网页截图，拒绝列入失信被执行人名单、重大税收违法案件当事人名单(重大税收违法失信主体)、政府采购严重违法失信行为记录名单中的供应商参加本项目的采购活动。</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2.利害关系供应商处理。单位负责人为同一人或者存在直接控股、管理关系的不同供应商不得参加同一合同项下的采购活动。</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前期参与供应商处理。为采购项目提供整体设计、规范编制或者项目管理、监理、检测等服务的供应商，不得再参加该采购项目的其他采购活动。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pStyle w:val="42"/>
              <w:ind w:left="24" w:leftChars="10" w:right="240" w:rightChars="1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注：本项目无符合本条规定的供应商。</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4.利害关系代理人处理。2家以上的供应商不得在同一合同项下的采购项目中，同时委托同一个自然人、同一家庭的人员、同一单位的人员作为其代理人，否则，其响应文件作为无效处理。</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5.供应商实际控制人或者中高级管理人员，同时是采购代理机构工作人员，不得参与本项目采购活动。</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6.同一母公司的两家以上的子公司只能组成联合体参加本项目同一合同项下的采购活动，不得以不同供应商身份同时参加本项目同一合同项下的采购活动。</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7.供应商与采购代理机构存在关联关系，或者是采购代理机构的母公司或子公司，不得参加本项目采购活动。</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8.回避。采购活动中，采购人员及相关人员与供应商有下列利害关系之一的，应当回避：</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(5)与供应商有其他可能影响采购活动公平、公正进行的关系。</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753"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磋商有效期</w:t>
            </w:r>
          </w:p>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(实质性要求)</w:t>
            </w:r>
          </w:p>
        </w:tc>
        <w:tc>
          <w:tcPr>
            <w:tcW w:w="7328" w:type="dxa"/>
            <w:vAlign w:val="center"/>
          </w:tcPr>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753" w:type="dxa"/>
            <w:vAlign w:val="center"/>
          </w:tcPr>
          <w:p>
            <w:pPr>
              <w:pStyle w:val="45"/>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7328" w:type="dxa"/>
            <w:vAlign w:val="center"/>
          </w:tcPr>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竞争性磋商文件各部分规定的期间以时、日、月、年计算。期间开始的时和日，不计算在期间内，从次日开始计算。期限的最后一日是国家法定节假日的，顺延到节假日后的次日为期限的最后一日。采购文件涉及的法律法规中所称的“以上”、“以下”、“内”、“以内”，包括本数；所称的“不足”，不包括本数。</w:t>
            </w:r>
          </w:p>
          <w:p>
            <w:pPr>
              <w:pStyle w:val="42"/>
              <w:ind w:left="24" w:leftChars="10" w:right="240" w:right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2.本竞争性磋商文件各部分规定的时间均以北京时间为准。</w:t>
            </w:r>
          </w:p>
        </w:tc>
      </w:tr>
    </w:tbl>
    <w:p>
      <w:pPr>
        <w:rPr>
          <w:rFonts w:hint="eastAsia" w:ascii="宋体" w:hAnsi="宋体" w:eastAsia="宋体" w:cs="宋体"/>
          <w:color w:val="auto"/>
          <w:sz w:val="36"/>
          <w:szCs w:val="36"/>
          <w:highlight w:val="none"/>
        </w:rPr>
      </w:pPr>
      <w:bookmarkStart w:id="23" w:name="_Toc4011"/>
      <w:bookmarkStart w:id="24" w:name="_Toc2042"/>
      <w:bookmarkStart w:id="25" w:name="_Toc23295"/>
      <w:bookmarkStart w:id="26" w:name="_Toc26593"/>
      <w:r>
        <w:rPr>
          <w:rFonts w:hint="eastAsia" w:ascii="宋体" w:hAnsi="宋体" w:eastAsia="宋体" w:cs="宋体"/>
          <w:color w:val="auto"/>
          <w:highlight w:val="none"/>
        </w:rPr>
        <w:br w:type="page"/>
      </w:r>
    </w:p>
    <w:p>
      <w:pPr>
        <w:pStyle w:val="35"/>
        <w:spacing w:before="120" w:beforeLines="50" w:after="120" w:afterLines="50"/>
        <w:ind w:firstLine="0" w:firstLineChars="0"/>
        <w:jc w:val="center"/>
        <w:rPr>
          <w:rFonts w:hint="eastAsia" w:ascii="宋体" w:hAnsi="宋体" w:eastAsia="宋体" w:cs="宋体"/>
          <w:color w:val="auto"/>
          <w:sz w:val="36"/>
          <w:szCs w:val="36"/>
          <w:highlight w:val="none"/>
        </w:rPr>
      </w:pPr>
      <w:bookmarkStart w:id="27" w:name="_Toc5234"/>
      <w:bookmarkStart w:id="28" w:name="_Toc11812"/>
      <w:r>
        <w:rPr>
          <w:rFonts w:hint="eastAsia" w:ascii="宋体" w:hAnsi="宋体" w:eastAsia="宋体" w:cs="宋体"/>
          <w:color w:val="auto"/>
          <w:sz w:val="36"/>
          <w:szCs w:val="36"/>
          <w:highlight w:val="none"/>
        </w:rPr>
        <w:t>竞争性磋商文件</w:t>
      </w:r>
      <w:bookmarkEnd w:id="20"/>
      <w:bookmarkEnd w:id="23"/>
      <w:bookmarkEnd w:id="24"/>
      <w:bookmarkEnd w:id="25"/>
      <w:bookmarkEnd w:id="26"/>
      <w:bookmarkEnd w:id="27"/>
      <w:bookmarkEnd w:id="28"/>
    </w:p>
    <w:p>
      <w:pPr>
        <w:pStyle w:val="49"/>
        <w:spacing w:line="520" w:lineRule="exact"/>
        <w:ind w:firstLine="482"/>
        <w:rPr>
          <w:rFonts w:hint="eastAsia" w:ascii="宋体" w:hAnsi="宋体" w:eastAsia="宋体" w:cs="宋体"/>
          <w:color w:val="auto"/>
          <w:highlight w:val="none"/>
        </w:rPr>
      </w:pPr>
      <w:bookmarkStart w:id="29" w:name="_Toc22302"/>
      <w:bookmarkStart w:id="30" w:name="_Toc22917"/>
      <w:bookmarkStart w:id="31" w:name="_Toc15085"/>
      <w:bookmarkStart w:id="32" w:name="_Toc32648"/>
      <w:bookmarkStart w:id="33" w:name="_Toc217446034"/>
      <w:bookmarkStart w:id="34" w:name="_Toc308188129"/>
      <w:bookmarkStart w:id="35" w:name="_Toc12046"/>
      <w:bookmarkStart w:id="36" w:name="_Toc29532"/>
      <w:bookmarkStart w:id="37" w:name="_Toc307564829"/>
      <w:bookmarkStart w:id="38" w:name="_Toc32483"/>
      <w:bookmarkStart w:id="39" w:name="_Toc10311"/>
      <w:bookmarkStart w:id="40" w:name="_Toc319440119"/>
      <w:bookmarkStart w:id="41" w:name="_Toc28450"/>
      <w:bookmarkStart w:id="42" w:name="_Toc327196263"/>
      <w:bookmarkStart w:id="43" w:name="_Toc307501086"/>
      <w:bookmarkStart w:id="44" w:name="_Toc3601"/>
      <w:bookmarkStart w:id="45" w:name="_Toc309897492"/>
      <w:bookmarkStart w:id="46" w:name="_Toc23796"/>
      <w:bookmarkStart w:id="47" w:name="_Toc308084574"/>
      <w:bookmarkStart w:id="48" w:name="_Toc31870"/>
      <w:bookmarkStart w:id="49" w:name="_Toc319439877"/>
      <w:bookmarkStart w:id="50" w:name="_Toc5790"/>
      <w:bookmarkStart w:id="51" w:name="_Toc20769"/>
      <w:r>
        <w:rPr>
          <w:rFonts w:hint="eastAsia" w:ascii="宋体" w:hAnsi="宋体" w:eastAsia="宋体" w:cs="宋体"/>
          <w:color w:val="auto"/>
          <w:highlight w:val="none"/>
        </w:rPr>
        <w:t>竞争性磋商文件的构成</w:t>
      </w:r>
      <w:bookmarkEnd w:id="29"/>
      <w:r>
        <w:rPr>
          <w:rFonts w:hint="eastAsia" w:ascii="宋体" w:hAnsi="宋体" w:eastAsia="宋体" w:cs="宋体"/>
          <w:color w:val="auto"/>
          <w:highlight w:val="none"/>
        </w:rPr>
        <w:t>(实质性要求)</w:t>
      </w:r>
      <w:bookmarkEnd w:id="30"/>
      <w:bookmarkEnd w:id="31"/>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竞争性磋商文件是供应商准备响应文件和参加竞争性磋商的依据，同时也是评审的重要依据，具有准法律文件性质。竞争性磋商文件用以阐明磋商项目所需的资质、技术、服务及报价等要求、磋商程序、有关规定和注意事项以及</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合同条款等。</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9"/>
        <w:spacing w:line="520" w:lineRule="exact"/>
        <w:ind w:firstLine="482"/>
        <w:rPr>
          <w:rFonts w:hint="eastAsia" w:ascii="宋体" w:hAnsi="宋体" w:eastAsia="宋体" w:cs="宋体"/>
          <w:color w:val="auto"/>
          <w:highlight w:val="none"/>
        </w:rPr>
      </w:pPr>
      <w:bookmarkStart w:id="52" w:name="_Toc11074"/>
      <w:bookmarkStart w:id="53" w:name="_Toc14193"/>
      <w:bookmarkStart w:id="54" w:name="_Toc2367"/>
      <w:r>
        <w:rPr>
          <w:rFonts w:hint="eastAsia" w:ascii="宋体" w:hAnsi="宋体" w:eastAsia="宋体" w:cs="宋体"/>
          <w:color w:val="auto"/>
          <w:highlight w:val="none"/>
        </w:rPr>
        <w:t>竞争性磋商文件包含内容</w:t>
      </w:r>
      <w:bookmarkEnd w:id="52"/>
      <w:bookmarkEnd w:id="53"/>
      <w:bookmarkEnd w:id="54"/>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资格条件、采购邀请、采购方式、采购预算、采购需求、参照执行的政府采购政策要求、评审程序、评审方法、评审标准、价格构成或者报价要求、响应文件编制要求、保证金交纳数额和形式以及不予退还的情形、磋商过程中可能实质性变动的内容、响应文件提交的截止时间、开启时间及地点以及采购合同条款等。本竞争性磋商文件包括以下内容：</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竞争性磋商邀请；</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磋商须知；</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供应商资格条件；</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采购需求；</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参照执行的政府采购政策要求；</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评审程序、评审方法、评审标准；</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报价要求；</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响应文件编制要求；</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磋商过程中可能实质性变动的内容；</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采购合同条款；</w:t>
      </w:r>
    </w:p>
    <w:p>
      <w:pPr>
        <w:pStyle w:val="36"/>
        <w:numPr>
          <w:ilvl w:val="0"/>
          <w:numId w:val="14"/>
        </w:numPr>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磋商过程中形成的书面澄清、说明、更正。</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供应商应详细阅读竞争性磋商文件的全部内容，并实质性响应竞争性磋商文件的要求，供应商未对竞争性磋商文件全面做出实质性响应是供应商的风险。</w:t>
      </w:r>
    </w:p>
    <w:p>
      <w:pPr>
        <w:pStyle w:val="49"/>
        <w:spacing w:line="520" w:lineRule="exact"/>
        <w:ind w:firstLine="482"/>
        <w:rPr>
          <w:rFonts w:hint="eastAsia" w:ascii="宋体" w:hAnsi="宋体" w:eastAsia="宋体" w:cs="宋体"/>
          <w:color w:val="auto"/>
          <w:highlight w:val="none"/>
        </w:rPr>
      </w:pPr>
      <w:bookmarkStart w:id="55" w:name="_Toc17499"/>
      <w:bookmarkStart w:id="56" w:name="_Toc18396"/>
      <w:bookmarkStart w:id="57" w:name="_Toc24183"/>
      <w:r>
        <w:rPr>
          <w:rFonts w:hint="eastAsia" w:ascii="宋体" w:hAnsi="宋体" w:eastAsia="宋体" w:cs="宋体"/>
          <w:color w:val="auto"/>
          <w:highlight w:val="none"/>
        </w:rPr>
        <w:t>竞争性磋商文件的澄清和修改</w:t>
      </w:r>
      <w:bookmarkEnd w:id="55"/>
      <w:bookmarkEnd w:id="56"/>
      <w:bookmarkEnd w:id="57"/>
    </w:p>
    <w:p>
      <w:pPr>
        <w:pStyle w:val="33"/>
        <w:numPr>
          <w:ilvl w:val="1"/>
          <w:numId w:val="0"/>
        </w:numPr>
        <w:spacing w:line="520" w:lineRule="exact"/>
        <w:ind w:firstLine="480" w:firstLineChars="200"/>
        <w:rPr>
          <w:rFonts w:hint="eastAsia" w:ascii="宋体" w:hAnsi="宋体" w:eastAsia="宋体" w:cs="宋体"/>
          <w:color w:val="auto"/>
          <w:highlight w:val="none"/>
        </w:rPr>
      </w:pPr>
      <w:bookmarkStart w:id="58" w:name="_Toc21821"/>
      <w:r>
        <w:rPr>
          <w:rFonts w:hint="eastAsia" w:ascii="宋体" w:hAnsi="宋体" w:eastAsia="宋体" w:cs="宋体"/>
          <w:color w:val="auto"/>
          <w:highlight w:val="none"/>
        </w:rPr>
        <w:t>1.提交首次响应文件截止之日前，采购人、采购代理机构或者磋商小组可以对已发出的磋商文件进行必要的澄清或者修改，澄清或者修改的内容作为磋商文件的组成部分。</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2.采购代理机构将通过“中国招标投标公共服务平台”将澄清或者修改的内容通知所有按照规定获得了磋商文件的供应商，同时在</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发布更正公告。</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澄清或者修改的内容可能影响响应文件编制的，采购人、采购代理机构应当在提交首次响应文件截止时间至少5日前，发布公告通知所有获取磋商文件的供应商；不足5日的，采购人、采购代理机构应当顺延提交首次响应文件截止时间。</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4.供应商应于递交响应文件截止前，在</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查询本项目的更正公告，以保证其对磋商文件做出正确的响应。供应商未及时关注更正公告的信息造成的不利后果，其责任由供应商自行负责。</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7.评审委员会应当积极履行澄清、说明或者更正的职责，不得滥用权力。供应商的响应文件可以要求澄清、说明或者更正的，不得未经澄清、说明或者更正而直接作无效处理。</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8.供应商认为采购代理机构需要对磋商文件进行澄清或者修改的，可以在响应文件递交的截止时间前以书面形式向采购代理机构提出申请，由采购代理机构决定是否采纳供应商的申请事项。</w:t>
      </w:r>
    </w:p>
    <w:p>
      <w:pPr>
        <w:pStyle w:val="49"/>
        <w:spacing w:line="520" w:lineRule="exact"/>
        <w:ind w:firstLine="482"/>
        <w:rPr>
          <w:rFonts w:hint="eastAsia" w:ascii="宋体" w:hAnsi="宋体" w:eastAsia="宋体" w:cs="宋体"/>
          <w:color w:val="auto"/>
          <w:highlight w:val="none"/>
        </w:rPr>
      </w:pPr>
      <w:bookmarkStart w:id="59" w:name="_Toc17442"/>
      <w:bookmarkStart w:id="60" w:name="_Toc7821"/>
      <w:r>
        <w:rPr>
          <w:rFonts w:hint="eastAsia" w:ascii="宋体" w:hAnsi="宋体" w:eastAsia="宋体" w:cs="宋体"/>
          <w:color w:val="auto"/>
          <w:highlight w:val="none"/>
        </w:rPr>
        <w:t>实质性变动</w:t>
      </w:r>
      <w:bookmarkEnd w:id="58"/>
      <w:bookmarkEnd w:id="59"/>
      <w:bookmarkEnd w:id="60"/>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磋商小组对磋商文件作出的实质性变动是磋商文件的有效组成部分，磋商小组应当及时以书面形式同时通知所有参加磋商的供应商。</w:t>
      </w:r>
    </w:p>
    <w:p>
      <w:pPr>
        <w:pStyle w:val="49"/>
        <w:spacing w:line="520" w:lineRule="exact"/>
        <w:ind w:firstLine="482"/>
        <w:rPr>
          <w:rFonts w:hint="eastAsia" w:ascii="宋体" w:hAnsi="宋体" w:eastAsia="宋体" w:cs="宋体"/>
          <w:color w:val="auto"/>
          <w:highlight w:val="none"/>
        </w:rPr>
      </w:pPr>
      <w:bookmarkStart w:id="61" w:name="_Toc12702"/>
      <w:bookmarkStart w:id="62" w:name="_Toc30694"/>
      <w:bookmarkStart w:id="63" w:name="_Toc12073"/>
      <w:r>
        <w:rPr>
          <w:rFonts w:hint="eastAsia" w:ascii="宋体" w:hAnsi="宋体" w:eastAsia="宋体" w:cs="宋体"/>
          <w:color w:val="auto"/>
          <w:highlight w:val="none"/>
        </w:rPr>
        <w:t>答疑会和现场考察</w:t>
      </w:r>
      <w:bookmarkEnd w:id="61"/>
      <w:bookmarkEnd w:id="62"/>
      <w:bookmarkEnd w:id="63"/>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根据采购项目和具体情况，采购人、采购代理机构认为有必要，可以在磋商文件提供期限截止后响应文件提交截止前，组织已获取磋商文件的潜在供应商现场考察或者召开答疑会。</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供应商考察现场或者参加答疑会所发生的一切费用由供应商自行承担。</w:t>
      </w:r>
    </w:p>
    <w:p>
      <w:pPr>
        <w:pStyle w:val="35"/>
        <w:spacing w:before="120" w:beforeLines="50" w:after="120" w:afterLines="50" w:line="520" w:lineRule="exact"/>
        <w:ind w:firstLine="0" w:firstLineChars="0"/>
        <w:jc w:val="center"/>
        <w:rPr>
          <w:rFonts w:hint="eastAsia" w:ascii="宋体" w:hAnsi="宋体" w:eastAsia="宋体" w:cs="宋体"/>
          <w:color w:val="auto"/>
          <w:sz w:val="36"/>
          <w:szCs w:val="36"/>
          <w:highlight w:val="none"/>
        </w:rPr>
      </w:pPr>
      <w:bookmarkStart w:id="64" w:name="_Toc16804"/>
      <w:bookmarkStart w:id="65" w:name="_Toc12477"/>
      <w:r>
        <w:rPr>
          <w:rFonts w:hint="eastAsia" w:ascii="宋体" w:hAnsi="宋体" w:eastAsia="宋体" w:cs="宋体"/>
          <w:color w:val="auto"/>
          <w:sz w:val="36"/>
          <w:szCs w:val="36"/>
          <w:highlight w:val="none"/>
        </w:rPr>
        <w:t>响应文件</w:t>
      </w:r>
      <w:bookmarkEnd w:id="64"/>
      <w:bookmarkEnd w:id="65"/>
    </w:p>
    <w:p>
      <w:pPr>
        <w:pStyle w:val="49"/>
        <w:spacing w:line="520" w:lineRule="exact"/>
        <w:ind w:firstLine="482"/>
        <w:rPr>
          <w:rFonts w:hint="eastAsia" w:ascii="宋体" w:hAnsi="宋体" w:eastAsia="宋体" w:cs="宋体"/>
          <w:color w:val="auto"/>
          <w:highlight w:val="none"/>
        </w:rPr>
      </w:pPr>
      <w:bookmarkStart w:id="66" w:name="_Toc9698"/>
      <w:bookmarkStart w:id="67" w:name="_Toc11344"/>
      <w:bookmarkStart w:id="68" w:name="_Toc32122"/>
      <w:bookmarkStart w:id="69" w:name="_Toc1594"/>
      <w:bookmarkStart w:id="70" w:name="_Toc32601"/>
      <w:bookmarkStart w:id="71" w:name="_Toc7367"/>
      <w:r>
        <w:rPr>
          <w:rFonts w:hint="eastAsia" w:ascii="宋体" w:hAnsi="宋体" w:eastAsia="宋体" w:cs="宋体"/>
          <w:color w:val="auto"/>
          <w:highlight w:val="none"/>
        </w:rPr>
        <w:t>响应文件的语言(实质性要求)</w:t>
      </w:r>
      <w:bookmarkEnd w:id="66"/>
      <w:bookmarkEnd w:id="67"/>
      <w:bookmarkEnd w:id="68"/>
    </w:p>
    <w:p>
      <w:pPr>
        <w:pStyle w:val="33"/>
        <w:numPr>
          <w:ilvl w:val="1"/>
          <w:numId w:val="0"/>
        </w:numPr>
        <w:spacing w:line="520" w:lineRule="exact"/>
        <w:ind w:firstLine="480" w:firstLineChars="200"/>
        <w:rPr>
          <w:rFonts w:hint="eastAsia" w:ascii="宋体" w:hAnsi="宋体" w:eastAsia="宋体" w:cs="宋体"/>
          <w:color w:val="auto"/>
          <w:highlight w:val="none"/>
        </w:rPr>
      </w:pPr>
      <w:bookmarkStart w:id="72" w:name="_Toc21182"/>
      <w:r>
        <w:rPr>
          <w:rFonts w:hint="eastAsia" w:ascii="宋体" w:hAnsi="宋体" w:eastAsia="宋体" w:cs="宋体"/>
          <w:color w:val="auto"/>
          <w:highlight w:val="none"/>
        </w:rPr>
        <w:t>1.供应商提交的响应文件以及供应商与招标采购单位就有关磋商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2.翻译的中文资料与外文资料如果出现差异和矛盾时，以中文为准。涉嫌提供虚假材料的按照相关法律法规处理。</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3.如因未翻译而造成对供应商的不利后果，由供应商承担。</w:t>
      </w:r>
    </w:p>
    <w:p>
      <w:pPr>
        <w:pStyle w:val="49"/>
        <w:spacing w:line="520" w:lineRule="exact"/>
        <w:ind w:firstLine="482"/>
        <w:rPr>
          <w:rFonts w:hint="eastAsia" w:ascii="宋体" w:hAnsi="宋体" w:eastAsia="宋体" w:cs="宋体"/>
          <w:color w:val="auto"/>
          <w:highlight w:val="none"/>
        </w:rPr>
      </w:pPr>
      <w:bookmarkStart w:id="73" w:name="_Toc8134"/>
      <w:bookmarkStart w:id="74" w:name="_Toc28546"/>
      <w:r>
        <w:rPr>
          <w:rFonts w:hint="eastAsia" w:ascii="宋体" w:hAnsi="宋体" w:eastAsia="宋体" w:cs="宋体"/>
          <w:color w:val="auto"/>
          <w:highlight w:val="none"/>
        </w:rPr>
        <w:t>计量单位(实质性要求)</w:t>
      </w:r>
      <w:bookmarkEnd w:id="72"/>
      <w:bookmarkEnd w:id="73"/>
      <w:bookmarkEnd w:id="74"/>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除采购需求中另有规定外，本采购项下的磋商均采用国家法定的计量单位。</w:t>
      </w:r>
    </w:p>
    <w:p>
      <w:pPr>
        <w:pStyle w:val="49"/>
        <w:spacing w:line="520" w:lineRule="exact"/>
        <w:ind w:firstLine="482"/>
        <w:rPr>
          <w:rFonts w:hint="eastAsia" w:ascii="宋体" w:hAnsi="宋体" w:eastAsia="宋体" w:cs="宋体"/>
          <w:color w:val="auto"/>
          <w:highlight w:val="none"/>
        </w:rPr>
      </w:pPr>
      <w:bookmarkStart w:id="75" w:name="_Toc9568"/>
      <w:bookmarkStart w:id="76" w:name="_Toc25084"/>
      <w:bookmarkStart w:id="77" w:name="_Toc26768"/>
      <w:r>
        <w:rPr>
          <w:rFonts w:hint="eastAsia" w:ascii="宋体" w:hAnsi="宋体" w:eastAsia="宋体" w:cs="宋体"/>
          <w:color w:val="auto"/>
          <w:highlight w:val="none"/>
        </w:rPr>
        <w:t>知识产权(实质性要求)</w:t>
      </w:r>
      <w:bookmarkEnd w:id="75"/>
      <w:bookmarkEnd w:id="76"/>
      <w:bookmarkEnd w:id="77"/>
    </w:p>
    <w:p>
      <w:pPr>
        <w:pStyle w:val="63"/>
        <w:spacing w:line="520" w:lineRule="exact"/>
        <w:ind w:firstLine="480"/>
        <w:rPr>
          <w:rFonts w:hint="eastAsia" w:ascii="宋体" w:hAnsi="宋体" w:eastAsia="宋体" w:cs="宋体"/>
          <w:color w:val="auto"/>
          <w:highlight w:val="none"/>
        </w:rPr>
      </w:pPr>
      <w:bookmarkStart w:id="78" w:name="_Toc23820"/>
      <w:r>
        <w:rPr>
          <w:rFonts w:hint="eastAsia" w:ascii="宋体" w:hAnsi="宋体" w:eastAsia="宋体" w:cs="宋体"/>
          <w:color w:val="auto"/>
          <w:highlight w:val="none"/>
        </w:rPr>
        <w:t>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Hans"/>
        </w:rPr>
        <w:t>采购人享有本项目实施过程中产生的知识成果及知识产权，并依据实际情况对采购标的涉及的知识产权进行处理</w:t>
      </w:r>
      <w:r>
        <w:rPr>
          <w:rFonts w:hint="eastAsia" w:ascii="宋体" w:hAnsi="宋体" w:eastAsia="宋体" w:cs="宋体"/>
          <w:color w:val="auto"/>
          <w:highlight w:val="none"/>
        </w:rPr>
        <w:t>。</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lang w:eastAsia="zh-Hans"/>
        </w:rPr>
        <w:t>如欲在项目实施过程中采用自有知识成果，需提供相关技术文档，并承诺提供无限期技术支持，采购人享有永久使用权</w:t>
      </w:r>
      <w:r>
        <w:rPr>
          <w:rFonts w:hint="eastAsia" w:ascii="宋体" w:hAnsi="宋体" w:eastAsia="宋体" w:cs="宋体"/>
          <w:color w:val="auto"/>
          <w:highlight w:val="none"/>
        </w:rPr>
        <w:t>，且</w:t>
      </w:r>
      <w:r>
        <w:rPr>
          <w:rFonts w:hint="eastAsia" w:ascii="宋体" w:hAnsi="宋体" w:eastAsia="宋体" w:cs="宋体"/>
          <w:color w:val="auto"/>
          <w:highlight w:val="none"/>
          <w:lang w:eastAsia="zh-Hans"/>
        </w:rPr>
        <w:t>不承担该知识产权的相关费用</w:t>
      </w:r>
      <w:r>
        <w:rPr>
          <w:rFonts w:hint="eastAsia" w:ascii="宋体" w:hAnsi="宋体" w:eastAsia="宋体" w:cs="宋体"/>
          <w:color w:val="auto"/>
          <w:highlight w:val="none"/>
        </w:rPr>
        <w:t>。否则视为供应商未在本项目实施过程中采用自有知识成果，不影响有效性。</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Hans"/>
        </w:rPr>
        <w:t>如采用</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Hans"/>
        </w:rPr>
        <w:t>所不拥有的知识产权，仍需提供相关技术文档，并承诺提供无限期技术支持，采购人享有永久合法使用的使用权，且不承担该知识产权的相关费用</w:t>
      </w:r>
      <w:r>
        <w:rPr>
          <w:rFonts w:hint="eastAsia" w:ascii="宋体" w:hAnsi="宋体" w:eastAsia="宋体" w:cs="宋体"/>
          <w:color w:val="auto"/>
          <w:highlight w:val="none"/>
        </w:rPr>
        <w:t>。</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lang w:eastAsia="zh-Hans"/>
        </w:rPr>
        <w:t>若项目实施过程形成了新的技术成果或知识产权</w:t>
      </w:r>
      <w:r>
        <w:rPr>
          <w:rFonts w:hint="eastAsia" w:ascii="宋体" w:hAnsi="宋体" w:eastAsia="宋体" w:cs="宋体"/>
          <w:color w:val="auto"/>
          <w:highlight w:val="none"/>
        </w:rPr>
        <w:t>(</w:t>
      </w:r>
      <w:r>
        <w:rPr>
          <w:rFonts w:hint="eastAsia" w:ascii="宋体" w:hAnsi="宋体" w:eastAsia="宋体" w:cs="宋体"/>
          <w:color w:val="auto"/>
          <w:highlight w:val="none"/>
          <w:lang w:eastAsia="zh-Hans"/>
        </w:rPr>
        <w:t>包括但不限于新开发的计算机软件、在原有软件基础上修改软件架构或增加新功能等的技术改进、新功能开发过程中形成的技术文件等</w:t>
      </w:r>
      <w:r>
        <w:rPr>
          <w:rFonts w:hint="eastAsia" w:ascii="宋体" w:hAnsi="宋体" w:eastAsia="宋体" w:cs="宋体"/>
          <w:color w:val="auto"/>
          <w:highlight w:val="none"/>
        </w:rPr>
        <w:t>)</w:t>
      </w:r>
      <w:r>
        <w:rPr>
          <w:rFonts w:hint="eastAsia" w:ascii="宋体" w:hAnsi="宋体" w:eastAsia="宋体" w:cs="宋体"/>
          <w:color w:val="auto"/>
          <w:highlight w:val="none"/>
          <w:lang w:eastAsia="zh-Hans"/>
        </w:rPr>
        <w:t>，应由采购人和</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Hans"/>
        </w:rPr>
        <w:t>共同所有前述科技成果权利或知识产权，</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Hans"/>
        </w:rPr>
        <w:t>承诺采购人享有前述成果权利或知识产权永久合法使用的使用权，且</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Hans"/>
        </w:rPr>
        <w:t>承诺额外承担任何与之有关的费用</w:t>
      </w:r>
      <w:r>
        <w:rPr>
          <w:rFonts w:hint="eastAsia" w:ascii="宋体" w:hAnsi="宋体" w:eastAsia="宋体" w:cs="宋体"/>
          <w:color w:val="auto"/>
          <w:highlight w:val="none"/>
        </w:rPr>
        <w:t>。</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如采用供应商所不拥有的知识产权，则在磋商报价中必须包括合法获取该知识产权的相关费用。 </w:t>
      </w:r>
    </w:p>
    <w:p>
      <w:pPr>
        <w:pStyle w:val="49"/>
        <w:spacing w:line="520" w:lineRule="exact"/>
        <w:ind w:firstLine="482"/>
        <w:rPr>
          <w:rFonts w:hint="eastAsia" w:ascii="宋体" w:hAnsi="宋体" w:eastAsia="宋体" w:cs="宋体"/>
          <w:color w:val="auto"/>
          <w:highlight w:val="none"/>
        </w:rPr>
      </w:pPr>
      <w:bookmarkStart w:id="79" w:name="_Toc25494"/>
      <w:bookmarkStart w:id="80" w:name="_Toc17743"/>
      <w:r>
        <w:rPr>
          <w:rFonts w:hint="eastAsia" w:ascii="宋体" w:hAnsi="宋体" w:eastAsia="宋体" w:cs="宋体"/>
          <w:color w:val="auto"/>
          <w:highlight w:val="none"/>
        </w:rPr>
        <w:t>响应文件格式要求</w:t>
      </w:r>
      <w:bookmarkEnd w:id="78"/>
      <w:bookmarkEnd w:id="79"/>
      <w:bookmarkEnd w:id="80"/>
    </w:p>
    <w:p>
      <w:pPr>
        <w:pStyle w:val="33"/>
        <w:numPr>
          <w:ilvl w:val="1"/>
          <w:numId w:val="0"/>
        </w:numPr>
        <w:spacing w:line="520" w:lineRule="exact"/>
        <w:ind w:left="480" w:leftChars="200"/>
        <w:rPr>
          <w:rFonts w:hint="eastAsia" w:ascii="宋体" w:hAnsi="宋体" w:eastAsia="宋体" w:cs="宋体"/>
          <w:color w:val="auto"/>
          <w:highlight w:val="none"/>
        </w:rPr>
      </w:pPr>
      <w:bookmarkStart w:id="81" w:name="_Toc13765"/>
      <w:r>
        <w:rPr>
          <w:rFonts w:hint="eastAsia" w:ascii="宋体" w:hAnsi="宋体" w:eastAsia="宋体" w:cs="宋体"/>
          <w:color w:val="auto"/>
          <w:highlight w:val="none"/>
        </w:rPr>
        <w:t>1.供应商应按照磋商文件第三章中提供的“响应文件格式”编制相关内容。</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2.对于磋商文件没有格式要求的由供应商自行编写。</w:t>
      </w:r>
    </w:p>
    <w:p>
      <w:pPr>
        <w:pStyle w:val="49"/>
        <w:spacing w:line="520" w:lineRule="exact"/>
        <w:ind w:firstLine="482"/>
        <w:rPr>
          <w:rFonts w:hint="eastAsia" w:ascii="宋体" w:hAnsi="宋体" w:eastAsia="宋体" w:cs="宋体"/>
          <w:color w:val="auto"/>
          <w:highlight w:val="none"/>
        </w:rPr>
      </w:pPr>
      <w:bookmarkStart w:id="82" w:name="_Toc24126"/>
      <w:bookmarkStart w:id="83" w:name="_Toc1285"/>
      <w:r>
        <w:rPr>
          <w:rFonts w:hint="eastAsia" w:ascii="宋体" w:hAnsi="宋体" w:eastAsia="宋体" w:cs="宋体"/>
          <w:color w:val="auto"/>
          <w:highlight w:val="none"/>
        </w:rPr>
        <w:t>磋商有效期(实质性要求)</w:t>
      </w:r>
      <w:bookmarkEnd w:id="81"/>
      <w:bookmarkEnd w:id="82"/>
      <w:bookmarkEnd w:id="83"/>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9"/>
        <w:spacing w:line="520" w:lineRule="exact"/>
        <w:ind w:firstLine="482"/>
        <w:rPr>
          <w:rFonts w:hint="eastAsia" w:ascii="宋体" w:hAnsi="宋体" w:eastAsia="宋体" w:cs="宋体"/>
          <w:color w:val="auto"/>
          <w:highlight w:val="none"/>
        </w:rPr>
      </w:pPr>
      <w:bookmarkStart w:id="84" w:name="_Toc16657"/>
      <w:bookmarkStart w:id="85" w:name="_Toc12587"/>
      <w:bookmarkStart w:id="86" w:name="_Toc28963"/>
      <w:r>
        <w:rPr>
          <w:rFonts w:hint="eastAsia" w:ascii="宋体" w:hAnsi="宋体" w:eastAsia="宋体" w:cs="宋体"/>
          <w:color w:val="auto"/>
          <w:highlight w:val="none"/>
        </w:rPr>
        <w:t>联合体磋商</w:t>
      </w:r>
      <w:bookmarkEnd w:id="84"/>
      <w:r>
        <w:rPr>
          <w:rFonts w:hint="eastAsia" w:ascii="宋体" w:hAnsi="宋体" w:eastAsia="宋体" w:cs="宋体"/>
          <w:color w:val="auto"/>
          <w:highlight w:val="none"/>
          <w:lang w:val="zh-CN"/>
        </w:rPr>
        <w:t>(实质性要求)</w:t>
      </w:r>
      <w:bookmarkEnd w:id="85"/>
      <w:bookmarkEnd w:id="86"/>
    </w:p>
    <w:p>
      <w:pPr>
        <w:pStyle w:val="43"/>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本项目不接受联合体参加本次采购活动。</w:t>
      </w:r>
      <w:bookmarkStart w:id="87" w:name="_Toc24757"/>
      <w:bookmarkStart w:id="88" w:name="_Toc25526"/>
    </w:p>
    <w:p>
      <w:pPr>
        <w:pStyle w:val="49"/>
        <w:spacing w:line="520" w:lineRule="exact"/>
        <w:ind w:firstLine="482"/>
        <w:rPr>
          <w:rFonts w:hint="eastAsia" w:ascii="宋体" w:hAnsi="宋体" w:eastAsia="宋体" w:cs="宋体"/>
          <w:color w:val="auto"/>
          <w:highlight w:val="none"/>
        </w:rPr>
      </w:pPr>
      <w:bookmarkStart w:id="89" w:name="_Toc27618"/>
      <w:r>
        <w:rPr>
          <w:rFonts w:hint="eastAsia" w:ascii="宋体" w:hAnsi="宋体" w:eastAsia="宋体" w:cs="宋体"/>
          <w:color w:val="auto"/>
          <w:highlight w:val="none"/>
        </w:rPr>
        <w:t>响应文件</w:t>
      </w:r>
      <w:bookmarkEnd w:id="69"/>
      <w:bookmarkEnd w:id="70"/>
      <w:bookmarkEnd w:id="71"/>
      <w:r>
        <w:rPr>
          <w:rFonts w:hint="eastAsia" w:ascii="宋体" w:hAnsi="宋体" w:eastAsia="宋体" w:cs="宋体"/>
          <w:color w:val="auto"/>
          <w:highlight w:val="none"/>
        </w:rPr>
        <w:t>组成(实质性要求)</w:t>
      </w:r>
      <w:bookmarkEnd w:id="87"/>
      <w:bookmarkEnd w:id="88"/>
      <w:bookmarkEnd w:id="89"/>
    </w:p>
    <w:p>
      <w:pPr>
        <w:pStyle w:val="63"/>
        <w:spacing w:line="520" w:lineRule="exact"/>
        <w:ind w:firstLine="480"/>
        <w:rPr>
          <w:rStyle w:val="67"/>
          <w:rFonts w:hint="eastAsia" w:ascii="宋体" w:hAnsi="宋体" w:eastAsia="宋体" w:cs="宋体"/>
          <w:color w:val="auto"/>
          <w:highlight w:val="none"/>
        </w:rPr>
      </w:pPr>
      <w:r>
        <w:rPr>
          <w:rStyle w:val="67"/>
          <w:rFonts w:hint="eastAsia" w:ascii="宋体" w:hAnsi="宋体" w:eastAsia="宋体" w:cs="宋体"/>
          <w:color w:val="auto"/>
          <w:highlight w:val="none"/>
        </w:rPr>
        <w:t>供应商须按竞争性磋商文件的要求编写响应文件，对竞争性磋商文件提出的要求和条件做出实质性响应。响应文件应包括但不限于下列内容：</w:t>
      </w:r>
    </w:p>
    <w:p>
      <w:pPr>
        <w:pStyle w:val="36"/>
        <w:numPr>
          <w:ilvl w:val="0"/>
          <w:numId w:val="15"/>
        </w:numPr>
        <w:adjustRightInd/>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文件一：资格、资质性及其他类似效力响应文件</w:t>
      </w:r>
    </w:p>
    <w:p>
      <w:pPr>
        <w:pStyle w:val="46"/>
        <w:adjustRightInd/>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包括但不限于竞争性磋商文件第四章规定的资格证明材料。</w:t>
      </w:r>
    </w:p>
    <w:p>
      <w:pPr>
        <w:pStyle w:val="36"/>
        <w:numPr>
          <w:ilvl w:val="0"/>
          <w:numId w:val="15"/>
        </w:numPr>
        <w:adjustRightInd/>
        <w:spacing w:line="520" w:lineRule="exact"/>
        <w:ind w:left="0" w:firstLine="480"/>
        <w:rPr>
          <w:rFonts w:hint="eastAsia" w:ascii="宋体" w:hAnsi="宋体" w:eastAsia="宋体" w:cs="宋体"/>
          <w:color w:val="auto"/>
          <w:highlight w:val="none"/>
        </w:rPr>
      </w:pPr>
      <w:r>
        <w:rPr>
          <w:rFonts w:hint="eastAsia" w:ascii="宋体" w:hAnsi="宋体" w:eastAsia="宋体" w:cs="宋体"/>
          <w:color w:val="auto"/>
          <w:highlight w:val="none"/>
        </w:rPr>
        <w:t>文件二：其他响应文件</w:t>
      </w:r>
    </w:p>
    <w:p>
      <w:pPr>
        <w:pStyle w:val="46"/>
        <w:adjustRightInd/>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包括但不限于竞争性磋商文件第三章格式要求的内容。</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补充、修改的内容作为响应文件的组成部分。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最后报价是供应商响应文件的有效组成部分。</w:t>
      </w:r>
    </w:p>
    <w:p>
      <w:pPr>
        <w:pStyle w:val="49"/>
        <w:spacing w:line="520" w:lineRule="exact"/>
        <w:ind w:firstLine="482"/>
        <w:rPr>
          <w:rFonts w:hint="eastAsia" w:ascii="宋体" w:hAnsi="宋体" w:eastAsia="宋体" w:cs="宋体"/>
          <w:color w:val="auto"/>
          <w:highlight w:val="none"/>
        </w:rPr>
      </w:pPr>
      <w:bookmarkStart w:id="90" w:name="_Toc2322"/>
      <w:bookmarkStart w:id="91" w:name="_Toc8102"/>
      <w:bookmarkStart w:id="92" w:name="_Toc4939"/>
      <w:bookmarkStart w:id="93" w:name="_Toc30559"/>
      <w:bookmarkStart w:id="94" w:name="_Toc11946"/>
      <w:bookmarkStart w:id="95" w:name="_Toc15156"/>
      <w:r>
        <w:rPr>
          <w:rFonts w:hint="eastAsia" w:ascii="宋体" w:hAnsi="宋体" w:eastAsia="宋体" w:cs="宋体"/>
          <w:color w:val="auto"/>
          <w:highlight w:val="none"/>
        </w:rPr>
        <w:t>报价</w:t>
      </w:r>
      <w:bookmarkEnd w:id="90"/>
      <w:bookmarkEnd w:id="91"/>
      <w:bookmarkEnd w:id="92"/>
      <w:r>
        <w:rPr>
          <w:rFonts w:hint="eastAsia" w:ascii="宋体" w:hAnsi="宋体" w:eastAsia="宋体" w:cs="宋体"/>
          <w:color w:val="auto"/>
          <w:highlight w:val="none"/>
        </w:rPr>
        <w:t>要求(实质性要求)</w:t>
      </w:r>
      <w:bookmarkEnd w:id="93"/>
      <w:bookmarkEnd w:id="94"/>
      <w:bookmarkEnd w:id="95"/>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所有报价货币一律以人民币报价。采购人不接受任何非人民币币种的报价。</w:t>
      </w:r>
    </w:p>
    <w:p>
      <w:pPr>
        <w:pStyle w:val="63"/>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供应商在响应文件中可不提供报价，在磋商现场由评审委员会通知现场报价(报价表格式由采购代理机构现场提供，格式详见第三章)。</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本次磋商采购最后报价采用现场报价，通过资格审查及实质性审查的供应商按磋商小组要求进行报价。</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lang w:val="zh-CN"/>
        </w:rPr>
        <w:t>供应商报价(包括最后报价)应为完成本竞争性磋商文件中所要求的</w:t>
      </w:r>
      <w:r>
        <w:rPr>
          <w:rFonts w:hint="eastAsia" w:ascii="宋体" w:hAnsi="宋体" w:eastAsia="宋体" w:cs="宋体"/>
          <w:color w:val="auto"/>
          <w:highlight w:val="none"/>
        </w:rPr>
        <w:t>服务</w:t>
      </w:r>
      <w:r>
        <w:rPr>
          <w:rFonts w:hint="eastAsia" w:ascii="宋体" w:hAnsi="宋体" w:eastAsia="宋体" w:cs="宋体"/>
          <w:color w:val="auto"/>
          <w:highlight w:val="none"/>
          <w:lang w:val="zh-CN"/>
        </w:rPr>
        <w:t>所应包括内容的所有价格</w:t>
      </w:r>
      <w:r>
        <w:rPr>
          <w:rFonts w:hint="eastAsia" w:ascii="宋体" w:hAnsi="宋体" w:eastAsia="宋体" w:cs="宋体"/>
          <w:color w:val="auto"/>
          <w:highlight w:val="none"/>
        </w:rPr>
        <w:t>(含招标代理服务费)</w:t>
      </w:r>
      <w:r>
        <w:rPr>
          <w:rFonts w:hint="eastAsia" w:ascii="宋体" w:hAnsi="宋体" w:eastAsia="宋体" w:cs="宋体"/>
          <w:color w:val="auto"/>
          <w:highlight w:val="none"/>
          <w:lang w:val="zh-CN"/>
        </w:rPr>
        <w:t>。</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成交供应商的成交价是以最后报价表的报价为准，并以此作为结算的依据。</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供应商提交的</w:t>
      </w:r>
      <w:r>
        <w:rPr>
          <w:rFonts w:hint="eastAsia" w:ascii="宋体" w:hAnsi="宋体" w:eastAsia="宋体" w:cs="宋体"/>
          <w:color w:val="auto"/>
          <w:highlight w:val="none"/>
          <w:lang w:val="zh-CN"/>
        </w:rPr>
        <w:t>报价(包括最后报价)</w:t>
      </w:r>
      <w:r>
        <w:rPr>
          <w:rFonts w:hint="eastAsia" w:ascii="宋体" w:hAnsi="宋体" w:eastAsia="宋体" w:cs="宋体"/>
          <w:color w:val="auto"/>
          <w:highlight w:val="none"/>
        </w:rPr>
        <w:t>不得超过本项目采购预算，否则将被作为无效响应处理。</w:t>
      </w:r>
    </w:p>
    <w:p>
      <w:pPr>
        <w:pStyle w:val="49"/>
        <w:spacing w:line="520" w:lineRule="exact"/>
        <w:ind w:firstLine="482"/>
        <w:rPr>
          <w:rFonts w:hint="eastAsia" w:ascii="宋体" w:hAnsi="宋体" w:eastAsia="宋体" w:cs="宋体"/>
          <w:color w:val="auto"/>
          <w:highlight w:val="none"/>
        </w:rPr>
      </w:pPr>
      <w:bookmarkStart w:id="96" w:name="_Toc25616"/>
      <w:bookmarkStart w:id="97" w:name="_Toc20339"/>
      <w:bookmarkStart w:id="98" w:name="_Toc16650"/>
      <w:r>
        <w:rPr>
          <w:rFonts w:hint="eastAsia" w:ascii="宋体" w:hAnsi="宋体" w:eastAsia="宋体" w:cs="宋体"/>
          <w:color w:val="auto"/>
          <w:highlight w:val="none"/>
        </w:rPr>
        <w:t>响应文件编制要求</w:t>
      </w:r>
      <w:bookmarkEnd w:id="96"/>
      <w:bookmarkEnd w:id="97"/>
      <w:bookmarkEnd w:id="98"/>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响应文件分</w:t>
      </w:r>
      <w:r>
        <w:rPr>
          <w:rFonts w:hint="eastAsia" w:ascii="宋体" w:hAnsi="宋体" w:eastAsia="宋体" w:cs="宋体"/>
          <w:b/>
          <w:bCs/>
          <w:color w:val="auto"/>
          <w:highlight w:val="none"/>
        </w:rPr>
        <w:t>《</w:t>
      </w:r>
      <w:r>
        <w:rPr>
          <w:rFonts w:hint="eastAsia" w:ascii="宋体" w:hAnsi="宋体" w:eastAsia="宋体" w:cs="宋体"/>
          <w:b/>
          <w:bCs/>
          <w:color w:val="auto"/>
          <w:highlight w:val="none"/>
          <w:u w:val="single"/>
        </w:rPr>
        <w:t>资格、资质性及其他类似效力响应文件</w:t>
      </w:r>
      <w:r>
        <w:rPr>
          <w:rFonts w:hint="eastAsia" w:ascii="宋体" w:hAnsi="宋体" w:eastAsia="宋体" w:cs="宋体"/>
          <w:b/>
          <w:bCs/>
          <w:color w:val="auto"/>
          <w:highlight w:val="none"/>
        </w:rPr>
        <w:t>》、《</w:t>
      </w:r>
      <w:r>
        <w:rPr>
          <w:rFonts w:hint="eastAsia" w:ascii="宋体" w:hAnsi="宋体" w:eastAsia="宋体" w:cs="宋体"/>
          <w:b/>
          <w:bCs/>
          <w:color w:val="auto"/>
          <w:highlight w:val="none"/>
          <w:u w:val="single"/>
        </w:rPr>
        <w:t>其他响应文件</w:t>
      </w:r>
      <w:r>
        <w:rPr>
          <w:rFonts w:hint="eastAsia" w:ascii="宋体" w:hAnsi="宋体" w:eastAsia="宋体" w:cs="宋体"/>
          <w:b/>
          <w:bCs/>
          <w:color w:val="auto"/>
          <w:highlight w:val="none"/>
        </w:rPr>
        <w:t>》</w:t>
      </w:r>
      <w:r>
        <w:rPr>
          <w:rFonts w:hint="eastAsia" w:ascii="宋体" w:hAnsi="宋体" w:eastAsia="宋体" w:cs="宋体"/>
          <w:color w:val="auto"/>
          <w:highlight w:val="none"/>
        </w:rPr>
        <w:t>两部分，分册装订，内容不得相互混装。</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本项目供应商只提供纸质响应文件。</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供应商递交的响应文件为一式叁份，其中</w:t>
      </w:r>
      <w:r>
        <w:rPr>
          <w:rFonts w:hint="eastAsia" w:ascii="宋体" w:hAnsi="宋体" w:eastAsia="宋体" w:cs="宋体"/>
          <w:b/>
          <w:bCs/>
          <w:color w:val="auto"/>
          <w:highlight w:val="none"/>
        </w:rPr>
        <w:t>正本壹份、副本贰份</w:t>
      </w:r>
      <w:r>
        <w:rPr>
          <w:rFonts w:hint="eastAsia" w:ascii="宋体" w:hAnsi="宋体" w:eastAsia="宋体" w:cs="宋体"/>
          <w:color w:val="auto"/>
          <w:highlight w:val="none"/>
        </w:rPr>
        <w:t>。</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响应文件正副本应用不褪色、不变质的墨水书写或打印，并装订成册。并在响应文件封面标明项目名称、项目编号、磋商日期、供应商名称以及“正本”、“副本”字样。</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响应文件正本和副本统一用A4幅面纸印制(图、表及证件可以除外)，逐页编目编码。响应文件副本可采用正本的复印件，若正本和副本有不一致的内容，以正本书面响应文件为准。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响应文件的正本和副本应采用左侧胶装，不得散装或不得采用活页夹等可随时拆换的方式装订，不得有零散页。</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若同一册的内容较多，可装订成若干分册，并在封面标明次序及册数。</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响应文件中的证明、证件及附件等复印件应集中紧附在相应正文内容后面，并尽量与前面正文部分的顺序相对应。</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竞争性磋商文件要求响应文件签字的应按竞争性磋商文件的规定和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ascii="宋体" w:hAnsi="宋体" w:eastAsia="宋体" w:cs="宋体"/>
          <w:b/>
          <w:bCs/>
          <w:color w:val="auto"/>
          <w:highlight w:val="none"/>
        </w:rPr>
        <w:t>(实质性要求)</w:t>
      </w:r>
      <w:r>
        <w:rPr>
          <w:rFonts w:hint="eastAsia" w:ascii="宋体" w:hAnsi="宋体" w:eastAsia="宋体" w:cs="宋体"/>
          <w:color w:val="auto"/>
          <w:highlight w:val="none"/>
        </w:rPr>
        <w:t>。</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本采购文件要求的复印件是指对图文进行复制后的文件，包括扫描、复印、影印等方式复制的材料。</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为加强采购项目档案的数字化管理，便于采购人后期项目监督、审计及检查，倡导各供应商在递交本项目响应文件时一并递交项目的</w:t>
      </w:r>
      <w:r>
        <w:rPr>
          <w:rFonts w:hint="eastAsia" w:ascii="宋体" w:hAnsi="宋体" w:eastAsia="宋体" w:cs="宋体"/>
          <w:b/>
          <w:bCs/>
          <w:color w:val="auto"/>
          <w:highlight w:val="none"/>
        </w:rPr>
        <w:t>电子文档一份</w:t>
      </w:r>
      <w:r>
        <w:rPr>
          <w:rFonts w:hint="eastAsia" w:ascii="宋体" w:hAnsi="宋体" w:eastAsia="宋体" w:cs="宋体"/>
          <w:color w:val="auto"/>
          <w:highlight w:val="none"/>
        </w:rPr>
        <w:t>。电子文档为PDF格式版本，保存介质采用USB闪存盘(U盘)。制作要求为按竞争性磋商文件要求制作完成并加盖供应商公章及签名的响应文件的扫描件。电子文档单独密封递交，外层标注供应商名称、电子文档、加盖供应商公章。如电子文档与书面的响应文件有不一致的内容，以书面响应文件正本为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补充、修改的响应文件的装订也应按以上要求办理。</w:t>
      </w:r>
    </w:p>
    <w:p>
      <w:pPr>
        <w:pStyle w:val="49"/>
        <w:spacing w:line="520" w:lineRule="exact"/>
        <w:ind w:firstLine="482"/>
        <w:rPr>
          <w:rFonts w:hint="eastAsia" w:ascii="宋体" w:hAnsi="宋体" w:eastAsia="宋体" w:cs="宋体"/>
          <w:color w:val="auto"/>
          <w:highlight w:val="none"/>
        </w:rPr>
      </w:pPr>
      <w:bookmarkStart w:id="99" w:name="_Toc15766"/>
      <w:bookmarkStart w:id="100" w:name="_Toc27421"/>
      <w:bookmarkStart w:id="101" w:name="_Toc26009"/>
      <w:bookmarkStart w:id="102" w:name="_Toc32589"/>
      <w:bookmarkStart w:id="103" w:name="_Toc27272"/>
      <w:bookmarkStart w:id="104" w:name="_Toc27391"/>
      <w:bookmarkStart w:id="105" w:name="_Toc6048"/>
      <w:r>
        <w:rPr>
          <w:rFonts w:hint="eastAsia" w:ascii="宋体" w:hAnsi="宋体" w:eastAsia="宋体" w:cs="宋体"/>
          <w:color w:val="auto"/>
          <w:highlight w:val="none"/>
        </w:rPr>
        <w:t>响应文件的密封和标注</w:t>
      </w:r>
      <w:bookmarkEnd w:id="99"/>
      <w:bookmarkEnd w:id="100"/>
      <w:bookmarkEnd w:id="101"/>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1.本项不属于本项目磋商小组评审范畴，由采购人、采购代理机构在接收响应文件时及时处理。</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2.响应文件可以单独密封包装，也可以将所有响应文件密封包装在一个密封袋内。</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3.响应文件密封袋的最外层应清楚地标明采购项目名称、项目编号、供应商名称、磋商日期。</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4.所有外层密封袋的封口处应粘贴牢固。</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5.未按以上要求进行密封和标注的响应文件，采购人、采购代理机构将拒收或者在响应文件递交截止时间前按照磋商文件要求修改完善后接收。</w:t>
      </w:r>
    </w:p>
    <w:p>
      <w:pPr>
        <w:pStyle w:val="49"/>
        <w:spacing w:line="520" w:lineRule="exact"/>
        <w:ind w:firstLine="482"/>
        <w:rPr>
          <w:rFonts w:hint="eastAsia" w:ascii="宋体" w:hAnsi="宋体" w:eastAsia="宋体" w:cs="宋体"/>
          <w:color w:val="auto"/>
          <w:highlight w:val="none"/>
        </w:rPr>
      </w:pPr>
      <w:bookmarkStart w:id="106" w:name="_Toc8572"/>
      <w:bookmarkStart w:id="107" w:name="_Toc21827"/>
      <w:r>
        <w:rPr>
          <w:rFonts w:hint="eastAsia" w:ascii="宋体" w:hAnsi="宋体" w:eastAsia="宋体" w:cs="宋体"/>
          <w:color w:val="auto"/>
          <w:highlight w:val="none"/>
        </w:rPr>
        <w:t>响应文件的递交</w:t>
      </w:r>
      <w:bookmarkEnd w:id="102"/>
      <w:bookmarkEnd w:id="103"/>
      <w:bookmarkEnd w:id="104"/>
      <w:bookmarkEnd w:id="105"/>
      <w:bookmarkEnd w:id="106"/>
      <w:bookmarkEnd w:id="107"/>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供应商应在竞争性磋商文件规定的响应文件递交截止时间前，将响应文件按磋商文件规定密封、签署、盖章后送达磋商地点。</w:t>
      </w:r>
      <w:r>
        <w:rPr>
          <w:rFonts w:hint="eastAsia" w:ascii="宋体" w:hAnsi="宋体" w:eastAsia="宋体" w:cs="宋体"/>
          <w:b/>
          <w:bCs/>
          <w:color w:val="auto"/>
          <w:highlight w:val="none"/>
        </w:rPr>
        <w:t>逾期送达的响应文件为无效文件</w:t>
      </w:r>
      <w:r>
        <w:rPr>
          <w:rFonts w:hint="eastAsia" w:ascii="宋体" w:hAnsi="宋体" w:eastAsia="宋体" w:cs="宋体"/>
          <w:color w:val="auto"/>
          <w:highlight w:val="none"/>
        </w:rPr>
        <w:t>，将被采购代理机构拒收。</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本次竞争性磋商不接收邮寄的响应文件。</w:t>
      </w:r>
    </w:p>
    <w:p>
      <w:pPr>
        <w:pStyle w:val="49"/>
        <w:spacing w:line="520" w:lineRule="exact"/>
        <w:ind w:firstLine="482"/>
        <w:rPr>
          <w:rFonts w:hint="eastAsia" w:ascii="宋体" w:hAnsi="宋体" w:eastAsia="宋体" w:cs="宋体"/>
          <w:color w:val="auto"/>
          <w:highlight w:val="none"/>
        </w:rPr>
      </w:pPr>
      <w:bookmarkStart w:id="108" w:name="_Toc31189"/>
      <w:bookmarkStart w:id="109" w:name="_Toc11511"/>
      <w:bookmarkStart w:id="110" w:name="_Toc7712"/>
      <w:r>
        <w:rPr>
          <w:rFonts w:hint="eastAsia" w:ascii="宋体" w:hAnsi="宋体" w:eastAsia="宋体" w:cs="宋体"/>
          <w:color w:val="auto"/>
          <w:highlight w:val="none"/>
        </w:rPr>
        <w:t>响应文件的修改和撤回</w:t>
      </w:r>
      <w:bookmarkEnd w:id="108"/>
      <w:bookmarkEnd w:id="109"/>
      <w:bookmarkEnd w:id="110"/>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磋商文件要求签署、盖章、密封后，作为响应文件的组成部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供应商的补充、修改或撤回申请书，应由其法定代表人/单位负责人或授权代表签署并盖单位公章。补充、修改应按磋商文件规定进行密封和标注，并在密封袋上标注“补充”、“修改”字样。</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在响应文件递交截止时间之后，供应商不得对其递交的响应文件进行撤回。</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供应商不得在递交截止时间起至响应文件有效期期满前撤销其响应文件，否则将认定其响应文件有效期的承诺为虚假承诺，并依法追究其法律责任。</w:t>
      </w:r>
    </w:p>
    <w:p>
      <w:pPr>
        <w:pStyle w:val="49"/>
        <w:spacing w:line="520" w:lineRule="exact"/>
        <w:ind w:firstLine="482"/>
        <w:rPr>
          <w:rFonts w:hint="eastAsia" w:ascii="宋体" w:hAnsi="宋体" w:eastAsia="宋体" w:cs="宋体"/>
          <w:color w:val="auto"/>
          <w:highlight w:val="none"/>
        </w:rPr>
      </w:pPr>
      <w:bookmarkStart w:id="111" w:name="_Toc21442"/>
      <w:bookmarkStart w:id="112" w:name="_Toc9598"/>
      <w:bookmarkStart w:id="113" w:name="_Toc17928"/>
      <w:bookmarkStart w:id="114" w:name="_Toc31639"/>
      <w:bookmarkStart w:id="115" w:name="_Toc20576"/>
      <w:r>
        <w:rPr>
          <w:rFonts w:hint="eastAsia" w:ascii="宋体" w:hAnsi="宋体" w:eastAsia="宋体" w:cs="宋体"/>
          <w:color w:val="auto"/>
          <w:highlight w:val="none"/>
        </w:rPr>
        <w:t>磋商保证金</w:t>
      </w:r>
      <w:bookmarkEnd w:id="111"/>
      <w:bookmarkEnd w:id="112"/>
      <w:bookmarkEnd w:id="113"/>
      <w:bookmarkEnd w:id="114"/>
      <w:r>
        <w:rPr>
          <w:rFonts w:hint="eastAsia" w:ascii="宋体" w:hAnsi="宋体" w:eastAsia="宋体" w:cs="宋体"/>
          <w:color w:val="auto"/>
          <w:highlight w:val="none"/>
        </w:rPr>
        <w:t>(实质性要求)</w:t>
      </w:r>
      <w:bookmarkEnd w:id="115"/>
    </w:p>
    <w:p>
      <w:pPr>
        <w:numPr>
          <w:ilvl w:val="3"/>
          <w:numId w:val="3"/>
        </w:numPr>
        <w:wordWrap w:val="0"/>
        <w:topLinePunct/>
        <w:spacing w:line="520" w:lineRule="exact"/>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供应商应按照竞争性磋商文件规定交纳磋商保证金。</w:t>
      </w:r>
    </w:p>
    <w:p>
      <w:pPr>
        <w:numPr>
          <w:ilvl w:val="3"/>
          <w:numId w:val="3"/>
        </w:numPr>
        <w:wordWrap w:val="0"/>
        <w:topLinePunct/>
        <w:spacing w:line="520" w:lineRule="exact"/>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供应商须将提交磋商保证金的银行回单复印件加盖供应商公章作为其磋商保证金有效凭证；若以保函方式提交磋商保证金的，提供加盖该供应商公章的保函原件作为有效凭证。</w:t>
      </w:r>
    </w:p>
    <w:p>
      <w:pPr>
        <w:numPr>
          <w:ilvl w:val="3"/>
          <w:numId w:val="3"/>
        </w:numPr>
        <w:wordWrap w:val="0"/>
        <w:topLinePunct/>
        <w:spacing w:line="520" w:lineRule="exact"/>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磋商保证金的交纳凭证应按磋商文件要求装订在响应文件中与响应文件同时递交。未按磋商文件要求在规定时间前交纳规定数额磋商保证金的响应文件无效。</w:t>
      </w:r>
    </w:p>
    <w:p>
      <w:pPr>
        <w:numPr>
          <w:ilvl w:val="3"/>
          <w:numId w:val="3"/>
        </w:numPr>
        <w:wordWrap w:val="0"/>
        <w:topLinePunct/>
        <w:spacing w:line="520" w:lineRule="exact"/>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供应商所交纳的磋商保证金不计利息。</w:t>
      </w:r>
    </w:p>
    <w:p>
      <w:pPr>
        <w:numPr>
          <w:ilvl w:val="3"/>
          <w:numId w:val="3"/>
        </w:numPr>
        <w:wordWrap w:val="0"/>
        <w:topLinePunct/>
        <w:spacing w:line="520" w:lineRule="exact"/>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未成交供应商的磋商保证金，将在成交通知书发出后五个工作日内全额退还。成交供应商的磋商保证金，在合同签订生效后五个工作日内全额退还，退还时请返还采购合同(原件)1份，到本采购代理机构财务部门办理。</w:t>
      </w:r>
    </w:p>
    <w:p>
      <w:pPr>
        <w:wordWrap w:val="0"/>
        <w:topLinePunct/>
        <w:spacing w:line="520" w:lineRule="exact"/>
        <w:ind w:firstLine="482" w:firstLineChars="200"/>
        <w:jc w:val="both"/>
        <w:rPr>
          <w:rFonts w:hint="eastAsia" w:ascii="宋体" w:hAnsi="宋体" w:eastAsia="宋体" w:cs="宋体"/>
          <w:b/>
          <w:color w:val="auto"/>
          <w:kern w:val="0"/>
          <w:highlight w:val="none"/>
        </w:rPr>
      </w:pPr>
      <w:r>
        <w:rPr>
          <w:rFonts w:hint="eastAsia" w:ascii="宋体" w:hAnsi="宋体" w:eastAsia="宋体" w:cs="宋体"/>
          <w:b/>
          <w:color w:val="auto"/>
          <w:kern w:val="0"/>
          <w:highlight w:val="none"/>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numPr>
          <w:ilvl w:val="3"/>
          <w:numId w:val="3"/>
        </w:numPr>
        <w:wordWrap w:val="0"/>
        <w:topLinePunct/>
        <w:spacing w:line="520" w:lineRule="exact"/>
        <w:ind w:firstLine="48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发生下列情形之一的，采购代理机构将不予退还磋商保证金：</w:t>
      </w:r>
    </w:p>
    <w:p>
      <w:pPr>
        <w:wordWrap w:val="0"/>
        <w:topLinePunct/>
        <w:spacing w:line="520" w:lineRule="exact"/>
        <w:ind w:firstLine="480" w:firstLineChars="200"/>
        <w:jc w:val="both"/>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6.1供应商在提交响应文件截止时间后撤回响应文件的；</w:t>
      </w:r>
    </w:p>
    <w:p>
      <w:pPr>
        <w:wordWrap w:val="0"/>
        <w:topLinePunct/>
        <w:spacing w:line="520" w:lineRule="exact"/>
        <w:ind w:firstLine="480" w:firstLineChars="200"/>
        <w:jc w:val="both"/>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6.2供应商在响应文件中提供虚假材料的；</w:t>
      </w:r>
    </w:p>
    <w:p>
      <w:pPr>
        <w:wordWrap w:val="0"/>
        <w:topLinePunct/>
        <w:spacing w:line="520" w:lineRule="exact"/>
        <w:ind w:firstLine="480" w:firstLineChars="200"/>
        <w:jc w:val="both"/>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6.3除因不可抗力或磋商文件认可的情形以外，成交供应商不与采购人签订合同的；</w:t>
      </w:r>
    </w:p>
    <w:p>
      <w:pPr>
        <w:wordWrap w:val="0"/>
        <w:topLinePunct/>
        <w:spacing w:line="520" w:lineRule="exact"/>
        <w:ind w:firstLine="480" w:firstLineChars="200"/>
        <w:jc w:val="both"/>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6.4供应商与采购人、其他供应商或者采购代理机构恶意串通的；</w:t>
      </w:r>
    </w:p>
    <w:p>
      <w:pPr>
        <w:wordWrap w:val="0"/>
        <w:topLinePunct/>
        <w:spacing w:line="520" w:lineRule="exact"/>
        <w:ind w:firstLine="480" w:firstLineChars="200"/>
        <w:jc w:val="both"/>
        <w:rPr>
          <w:rFonts w:hint="eastAsia" w:ascii="宋体" w:hAnsi="宋体" w:eastAsia="宋体" w:cs="宋体"/>
          <w:bCs/>
          <w:color w:val="auto"/>
          <w:highlight w:val="none"/>
        </w:rPr>
      </w:pPr>
      <w:r>
        <w:rPr>
          <w:rFonts w:hint="eastAsia" w:ascii="宋体" w:hAnsi="宋体" w:eastAsia="宋体" w:cs="宋体"/>
          <w:bCs/>
          <w:color w:val="auto"/>
          <w:kern w:val="0"/>
          <w:highlight w:val="none"/>
        </w:rPr>
        <w:t>6.5磋商文件规定的其他情形</w:t>
      </w:r>
      <w:r>
        <w:rPr>
          <w:rFonts w:hint="eastAsia" w:ascii="宋体" w:hAnsi="宋体" w:eastAsia="宋体" w:cs="宋体"/>
          <w:bCs/>
          <w:color w:val="auto"/>
          <w:highlight w:val="none"/>
        </w:rPr>
        <w:t>。</w:t>
      </w:r>
    </w:p>
    <w:p>
      <w:pPr>
        <w:pStyle w:val="35"/>
        <w:spacing w:before="120" w:beforeLines="50" w:after="120" w:afterLines="50" w:line="520" w:lineRule="exact"/>
        <w:ind w:firstLine="0" w:firstLineChars="0"/>
        <w:jc w:val="center"/>
        <w:rPr>
          <w:rFonts w:hint="eastAsia" w:ascii="宋体" w:hAnsi="宋体" w:eastAsia="宋体" w:cs="宋体"/>
          <w:color w:val="auto"/>
          <w:sz w:val="36"/>
          <w:szCs w:val="36"/>
          <w:highlight w:val="none"/>
        </w:rPr>
      </w:pPr>
      <w:bookmarkStart w:id="116" w:name="_Toc7562"/>
      <w:bookmarkStart w:id="117" w:name="_Toc23809"/>
      <w:bookmarkStart w:id="118" w:name="_Toc29699"/>
      <w:bookmarkStart w:id="119" w:name="_Toc6138"/>
      <w:bookmarkStart w:id="120" w:name="_Toc5914"/>
      <w:bookmarkStart w:id="121" w:name="_Toc6947"/>
      <w:r>
        <w:rPr>
          <w:rFonts w:hint="eastAsia" w:ascii="宋体" w:hAnsi="宋体" w:eastAsia="宋体" w:cs="宋体"/>
          <w:color w:val="auto"/>
          <w:sz w:val="36"/>
          <w:szCs w:val="36"/>
          <w:highlight w:val="none"/>
        </w:rPr>
        <w:t>磋商会</w:t>
      </w:r>
      <w:bookmarkEnd w:id="116"/>
      <w:bookmarkEnd w:id="117"/>
      <w:bookmarkEnd w:id="118"/>
    </w:p>
    <w:p>
      <w:pPr>
        <w:pStyle w:val="33"/>
        <w:numPr>
          <w:ilvl w:val="1"/>
          <w:numId w:val="16"/>
        </w:numPr>
        <w:spacing w:line="520" w:lineRule="exact"/>
        <w:ind w:firstLine="482"/>
        <w:outlineLvl w:val="2"/>
        <w:rPr>
          <w:rFonts w:hint="eastAsia" w:ascii="宋体" w:hAnsi="宋体" w:eastAsia="宋体" w:cs="宋体"/>
          <w:b/>
          <w:bCs/>
          <w:color w:val="auto"/>
          <w:highlight w:val="none"/>
        </w:rPr>
      </w:pPr>
      <w:bookmarkStart w:id="122" w:name="_Toc13563"/>
      <w:bookmarkStart w:id="123" w:name="_Toc29277"/>
      <w:r>
        <w:rPr>
          <w:rFonts w:hint="eastAsia" w:ascii="宋体" w:hAnsi="宋体" w:eastAsia="宋体" w:cs="宋体"/>
          <w:b/>
          <w:bCs/>
          <w:color w:val="auto"/>
          <w:highlight w:val="none"/>
        </w:rPr>
        <w:t>磋商会人员</w:t>
      </w:r>
      <w:bookmarkEnd w:id="122"/>
      <w:bookmarkEnd w:id="123"/>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采购代理机构在竞争性磋商文件规定的时间和地点组织磋商，采购人、供应商须派授权代表参加并签到以证明其出席，磋商会由采购代理机构主持。</w:t>
      </w:r>
    </w:p>
    <w:p>
      <w:pPr>
        <w:pStyle w:val="33"/>
        <w:numPr>
          <w:ilvl w:val="1"/>
          <w:numId w:val="16"/>
        </w:numPr>
        <w:spacing w:line="520" w:lineRule="exact"/>
        <w:ind w:firstLine="482"/>
        <w:outlineLvl w:val="2"/>
        <w:rPr>
          <w:rFonts w:hint="eastAsia" w:ascii="宋体" w:hAnsi="宋体" w:eastAsia="宋体" w:cs="宋体"/>
          <w:b/>
          <w:bCs/>
          <w:color w:val="auto"/>
          <w:highlight w:val="none"/>
        </w:rPr>
      </w:pPr>
      <w:bookmarkStart w:id="124" w:name="_Toc31855"/>
      <w:bookmarkStart w:id="125" w:name="_Toc12747"/>
      <w:r>
        <w:rPr>
          <w:rFonts w:hint="eastAsia" w:ascii="宋体" w:hAnsi="宋体" w:eastAsia="宋体" w:cs="宋体"/>
          <w:b/>
          <w:bCs/>
          <w:color w:val="auto"/>
          <w:highlight w:val="none"/>
        </w:rPr>
        <w:t>磋商会内容</w:t>
      </w:r>
      <w:bookmarkEnd w:id="124"/>
      <w:bookmarkEnd w:id="125"/>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磋商会主持人按照磋商文件规定宣布响应文件递交截止时间，按照规定主持磋商会。将按以下程序进行：</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宣布磋商会开始。响应文件递交截止时间已到，主持人宣布磋商会开始并致辞；</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宣布会场纪律和有关注意事项；</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供应商或者其推选的代表需现场对磋商会议记录进行签字确认经确认无误后，由采购代理机构工作人员宣布磋商纪律，并由供应商签字确认；</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供应商不足3家的，终止采购活动，并退回响应文件；</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查询。</w:t>
      </w:r>
    </w:p>
    <w:bookmarkEnd w:id="119"/>
    <w:bookmarkEnd w:id="120"/>
    <w:bookmarkEnd w:id="121"/>
    <w:p>
      <w:pPr>
        <w:pStyle w:val="33"/>
        <w:numPr>
          <w:ilvl w:val="1"/>
          <w:numId w:val="16"/>
        </w:numPr>
        <w:spacing w:line="520" w:lineRule="exact"/>
        <w:ind w:firstLine="482"/>
        <w:outlineLvl w:val="2"/>
        <w:rPr>
          <w:rFonts w:hint="eastAsia" w:ascii="宋体" w:hAnsi="宋体" w:eastAsia="宋体" w:cs="宋体"/>
          <w:b/>
          <w:bCs/>
          <w:color w:val="auto"/>
          <w:highlight w:val="none"/>
        </w:rPr>
      </w:pPr>
      <w:bookmarkStart w:id="126" w:name="_Toc10103"/>
      <w:bookmarkStart w:id="127" w:name="_Toc10036"/>
      <w:bookmarkStart w:id="128" w:name="_Toc29221"/>
      <w:r>
        <w:rPr>
          <w:rFonts w:hint="eastAsia" w:ascii="宋体" w:hAnsi="宋体" w:eastAsia="宋体" w:cs="宋体"/>
          <w:b/>
          <w:bCs/>
          <w:color w:val="auto"/>
          <w:highlight w:val="none"/>
        </w:rPr>
        <w:t>电子监控档案</w:t>
      </w:r>
      <w:bookmarkEnd w:id="126"/>
      <w:bookmarkEnd w:id="127"/>
      <w:bookmarkEnd w:id="128"/>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本项目磋商会和评审过程进行全过程电子监控，并将电子监控资料存储介质留存归档。</w:t>
      </w:r>
    </w:p>
    <w:p>
      <w:pPr>
        <w:pStyle w:val="35"/>
        <w:spacing w:before="120" w:beforeLines="50" w:after="120" w:afterLines="50" w:line="520" w:lineRule="exact"/>
        <w:ind w:firstLine="0" w:firstLineChars="0"/>
        <w:jc w:val="center"/>
        <w:rPr>
          <w:rFonts w:hint="eastAsia" w:ascii="宋体" w:hAnsi="宋体" w:eastAsia="宋体" w:cs="宋体"/>
          <w:color w:val="auto"/>
          <w:sz w:val="36"/>
          <w:szCs w:val="36"/>
          <w:highlight w:val="none"/>
        </w:rPr>
      </w:pPr>
      <w:bookmarkStart w:id="129" w:name="_Toc5015"/>
      <w:bookmarkStart w:id="130" w:name="_Toc19498"/>
      <w:bookmarkStart w:id="131" w:name="_Toc31404"/>
      <w:bookmarkStart w:id="132" w:name="_Toc8117"/>
      <w:bookmarkStart w:id="133" w:name="_Toc14786"/>
      <w:bookmarkStart w:id="134" w:name="_Toc11904"/>
      <w:bookmarkStart w:id="135" w:name="_Toc12604"/>
      <w:r>
        <w:rPr>
          <w:rFonts w:hint="eastAsia" w:ascii="宋体" w:hAnsi="宋体" w:eastAsia="宋体" w:cs="宋体"/>
          <w:color w:val="auto"/>
          <w:sz w:val="36"/>
          <w:szCs w:val="36"/>
          <w:highlight w:val="none"/>
        </w:rPr>
        <w:t>成交事项</w:t>
      </w:r>
      <w:bookmarkEnd w:id="129"/>
      <w:bookmarkEnd w:id="130"/>
      <w:bookmarkEnd w:id="131"/>
    </w:p>
    <w:bookmarkEnd w:id="132"/>
    <w:bookmarkEnd w:id="133"/>
    <w:bookmarkEnd w:id="134"/>
    <w:bookmarkEnd w:id="135"/>
    <w:p>
      <w:pPr>
        <w:pStyle w:val="49"/>
        <w:spacing w:line="520" w:lineRule="exact"/>
        <w:ind w:firstLine="482"/>
        <w:rPr>
          <w:rFonts w:hint="eastAsia" w:ascii="宋体" w:hAnsi="宋体" w:eastAsia="宋体" w:cs="宋体"/>
          <w:color w:val="auto"/>
          <w:highlight w:val="none"/>
        </w:rPr>
      </w:pPr>
      <w:bookmarkStart w:id="136" w:name="_Toc16799"/>
      <w:bookmarkStart w:id="137" w:name="_Toc27841"/>
      <w:bookmarkStart w:id="138" w:name="_Toc28301"/>
      <w:r>
        <w:rPr>
          <w:rFonts w:hint="eastAsia" w:ascii="宋体" w:hAnsi="宋体" w:eastAsia="宋体" w:cs="宋体"/>
          <w:color w:val="auto"/>
          <w:highlight w:val="none"/>
        </w:rPr>
        <w:t>确定成交</w:t>
      </w:r>
      <w:bookmarkEnd w:id="136"/>
      <w:r>
        <w:rPr>
          <w:rFonts w:hint="eastAsia" w:ascii="宋体" w:hAnsi="宋体" w:eastAsia="宋体" w:cs="宋体"/>
          <w:color w:val="auto"/>
          <w:highlight w:val="none"/>
        </w:rPr>
        <w:t>供应商</w:t>
      </w:r>
      <w:bookmarkEnd w:id="137"/>
      <w:bookmarkEnd w:id="138"/>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采购代理机构应当在评审结束后2个工作日内将评审报告送采购人确认。</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购人根据磋商小组推荐的成交候选人名单，按顺序确定成交供应商。如果成交候选人及其现任法定代表人、主要负责人存在行贿犯罪记录，采购人将不确定其为成交供应商。采购人在确认成交供应商前，应到中国裁判文书网(https://wenshu.court.gov.cn)查询成交候选供应商及其现任法定代表人、主要负责人是否存在行贿犯罪记录。</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采购人不确定排序前一位成交候选供应商为成交供应商的，应当将不确定的理由书面告知该成交候选供应商，并在</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公告。</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采购人依法确定不出成交供应商的，应当重新组织采购，书面告知成交候选供应商，说明理由，并在</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公告。</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采购人确定成交供应商过程中，发现成交候选供应商有下列情形之一的，不予确定其为成交供应商：</w:t>
      </w:r>
    </w:p>
    <w:p>
      <w:pPr>
        <w:pStyle w:val="63"/>
        <w:numPr>
          <w:ilvl w:val="3"/>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6.1成交候选供应商属于禁止参加本项目采购活动的；</w:t>
      </w:r>
    </w:p>
    <w:p>
      <w:pPr>
        <w:pStyle w:val="63"/>
        <w:numPr>
          <w:ilvl w:val="3"/>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6.2成交候选供应商因不可抗力，不能继续参加采购活动；</w:t>
      </w:r>
    </w:p>
    <w:p>
      <w:pPr>
        <w:pStyle w:val="63"/>
        <w:numPr>
          <w:ilvl w:val="3"/>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6.3成交候选供应商无偿赠与或者低于成本价竞争；</w:t>
      </w:r>
    </w:p>
    <w:p>
      <w:pPr>
        <w:pStyle w:val="63"/>
        <w:numPr>
          <w:ilvl w:val="3"/>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6.4成交候选供应商提供虚假材料；</w:t>
      </w:r>
    </w:p>
    <w:p>
      <w:pPr>
        <w:pStyle w:val="63"/>
        <w:numPr>
          <w:ilvl w:val="3"/>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6.5成交候选供应商恶意串通。</w:t>
      </w:r>
    </w:p>
    <w:p>
      <w:pPr>
        <w:pStyle w:val="49"/>
        <w:spacing w:line="520" w:lineRule="exact"/>
        <w:ind w:firstLine="482"/>
        <w:rPr>
          <w:rFonts w:hint="eastAsia" w:ascii="宋体" w:hAnsi="宋体" w:eastAsia="宋体" w:cs="宋体"/>
          <w:color w:val="auto"/>
          <w:highlight w:val="none"/>
        </w:rPr>
      </w:pPr>
      <w:bookmarkStart w:id="139" w:name="_Toc6422"/>
      <w:bookmarkStart w:id="140" w:name="_Toc17698"/>
      <w:bookmarkStart w:id="141" w:name="_Toc12543"/>
      <w:r>
        <w:rPr>
          <w:rFonts w:hint="eastAsia" w:ascii="宋体" w:hAnsi="宋体" w:eastAsia="宋体" w:cs="宋体"/>
          <w:color w:val="auto"/>
          <w:highlight w:val="none"/>
        </w:rPr>
        <w:t>成交结果</w:t>
      </w:r>
      <w:bookmarkEnd w:id="139"/>
      <w:bookmarkEnd w:id="140"/>
      <w:bookmarkEnd w:id="141"/>
    </w:p>
    <w:p>
      <w:pPr>
        <w:pStyle w:val="63"/>
        <w:numPr>
          <w:ilvl w:val="0"/>
          <w:numId w:val="17"/>
        </w:numPr>
        <w:tabs>
          <w:tab w:val="clear" w:pos="312"/>
        </w:tabs>
        <w:spacing w:line="520" w:lineRule="exact"/>
        <w:ind w:firstLine="480"/>
        <w:rPr>
          <w:rFonts w:hint="eastAsia" w:ascii="宋体" w:hAnsi="宋体" w:eastAsia="宋体" w:cs="宋体"/>
          <w:color w:val="auto"/>
          <w:highlight w:val="none"/>
        </w:rPr>
      </w:pPr>
      <w:bookmarkStart w:id="142" w:name="_Toc7224"/>
      <w:r>
        <w:rPr>
          <w:rFonts w:hint="eastAsia" w:ascii="宋体" w:hAnsi="宋体" w:eastAsia="宋体" w:cs="宋体"/>
          <w:color w:val="auto"/>
          <w:highlight w:val="none"/>
        </w:rPr>
        <w:t>采购代理机构在成交供应商确定后2个工作日内，在</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发布成交公告，同时采购代理机构将成交通知书发至成交供应商。</w:t>
      </w:r>
    </w:p>
    <w:p>
      <w:pPr>
        <w:pStyle w:val="63"/>
        <w:numPr>
          <w:ilvl w:val="3"/>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2.采购项目需要交纳履约保证金的，成交供应商应当按照规定和要求及时向采购人交纳。</w:t>
      </w:r>
    </w:p>
    <w:p>
      <w:pPr>
        <w:pStyle w:val="49"/>
        <w:spacing w:line="520" w:lineRule="exact"/>
        <w:ind w:firstLine="482"/>
        <w:rPr>
          <w:rFonts w:hint="eastAsia" w:ascii="宋体" w:hAnsi="宋体" w:eastAsia="宋体" w:cs="宋体"/>
          <w:color w:val="auto"/>
          <w:highlight w:val="none"/>
        </w:rPr>
      </w:pPr>
      <w:bookmarkStart w:id="143" w:name="_Toc31754"/>
      <w:bookmarkStart w:id="144" w:name="_Toc31562"/>
      <w:r>
        <w:rPr>
          <w:rFonts w:hint="eastAsia" w:ascii="宋体" w:hAnsi="宋体" w:eastAsia="宋体" w:cs="宋体"/>
          <w:color w:val="auto"/>
          <w:highlight w:val="none"/>
        </w:rPr>
        <w:t>成交通知书</w:t>
      </w:r>
      <w:bookmarkEnd w:id="142"/>
      <w:bookmarkEnd w:id="143"/>
      <w:bookmarkEnd w:id="144"/>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成交通知书为签订采购合同的依据之一，是合同的有效组成部分。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成交通知书对采购人和成交供应商均具有法律效力。成交通知书发出后，采购人改变成交结果，或者成交供应商无正当理由放弃成交的，应当承担相应的法律责任。</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供应商的响应文件本应作为无效响应处理或者有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供应商应主动关注</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公告信息</w:t>
      </w:r>
      <w:r>
        <w:rPr>
          <w:rFonts w:hint="eastAsia" w:ascii="宋体" w:hAnsi="宋体" w:eastAsia="宋体" w:cs="宋体"/>
          <w:color w:val="auto"/>
          <w:highlight w:val="none"/>
          <w:lang w:val="zh-CN"/>
        </w:rPr>
        <w:t>，</w:t>
      </w:r>
      <w:r>
        <w:rPr>
          <w:rFonts w:hint="eastAsia" w:ascii="宋体" w:hAnsi="宋体" w:eastAsia="宋体" w:cs="宋体"/>
          <w:color w:val="auto"/>
          <w:highlight w:val="none"/>
        </w:rPr>
        <w:t>积极配合代理机构办理成交通知书事宜。逾期未主动领取成交</w:t>
      </w:r>
      <w:r>
        <w:rPr>
          <w:rFonts w:hint="eastAsia" w:ascii="宋体" w:hAnsi="宋体" w:eastAsia="宋体" w:cs="宋体"/>
          <w:color w:val="auto"/>
          <w:highlight w:val="none"/>
          <w:lang w:val="zh-CN"/>
        </w:rPr>
        <w:t>通知书</w:t>
      </w:r>
      <w:r>
        <w:rPr>
          <w:rFonts w:hint="eastAsia" w:ascii="宋体" w:hAnsi="宋体" w:eastAsia="宋体" w:cs="宋体"/>
          <w:color w:val="auto"/>
          <w:highlight w:val="none"/>
        </w:rPr>
        <w:t>或不配合代理机构发出成交通知书</w:t>
      </w:r>
      <w:r>
        <w:rPr>
          <w:rFonts w:hint="eastAsia" w:ascii="宋体" w:hAnsi="宋体" w:eastAsia="宋体" w:cs="宋体"/>
          <w:color w:val="auto"/>
          <w:highlight w:val="none"/>
          <w:lang w:val="zh-CN"/>
        </w:rPr>
        <w:t>的</w:t>
      </w:r>
      <w:r>
        <w:rPr>
          <w:rFonts w:hint="eastAsia" w:ascii="宋体" w:hAnsi="宋体" w:eastAsia="宋体" w:cs="宋体"/>
          <w:color w:val="auto"/>
          <w:highlight w:val="none"/>
        </w:rPr>
        <w:t>一切不利后果由成交供应商自行承担。</w:t>
      </w:r>
    </w:p>
    <w:p>
      <w:pPr>
        <w:pStyle w:val="35"/>
        <w:spacing w:before="120" w:beforeLines="50" w:after="120" w:afterLines="50" w:line="520" w:lineRule="exact"/>
        <w:ind w:firstLine="0" w:firstLineChars="0"/>
        <w:jc w:val="center"/>
        <w:rPr>
          <w:rFonts w:hint="eastAsia" w:ascii="宋体" w:hAnsi="宋体" w:eastAsia="宋体" w:cs="宋体"/>
          <w:color w:val="auto"/>
          <w:sz w:val="36"/>
          <w:szCs w:val="36"/>
          <w:highlight w:val="none"/>
        </w:rPr>
      </w:pPr>
      <w:bookmarkStart w:id="145" w:name="_Toc13058"/>
      <w:bookmarkStart w:id="146" w:name="_Toc30258"/>
      <w:bookmarkStart w:id="147" w:name="_Toc29192"/>
      <w:r>
        <w:rPr>
          <w:rFonts w:hint="eastAsia" w:ascii="宋体" w:hAnsi="宋体" w:eastAsia="宋体" w:cs="宋体"/>
          <w:color w:val="auto"/>
          <w:sz w:val="36"/>
          <w:szCs w:val="36"/>
          <w:highlight w:val="none"/>
        </w:rPr>
        <w:t>合同事项</w:t>
      </w:r>
      <w:bookmarkEnd w:id="145"/>
      <w:bookmarkEnd w:id="146"/>
      <w:bookmarkEnd w:id="147"/>
    </w:p>
    <w:p>
      <w:pPr>
        <w:pStyle w:val="49"/>
        <w:spacing w:line="520" w:lineRule="exact"/>
        <w:ind w:firstLine="482"/>
        <w:rPr>
          <w:rFonts w:hint="eastAsia" w:ascii="宋体" w:hAnsi="宋体" w:eastAsia="宋体" w:cs="宋体"/>
          <w:color w:val="auto"/>
          <w:highlight w:val="none"/>
        </w:rPr>
      </w:pPr>
      <w:bookmarkStart w:id="148" w:name="_Toc32396"/>
      <w:bookmarkStart w:id="149" w:name="_Toc29970"/>
      <w:bookmarkStart w:id="150" w:name="_Toc8081"/>
      <w:bookmarkStart w:id="151" w:name="_Toc19462"/>
      <w:r>
        <w:rPr>
          <w:rFonts w:hint="eastAsia" w:ascii="宋体" w:hAnsi="宋体" w:eastAsia="宋体" w:cs="宋体"/>
          <w:color w:val="auto"/>
          <w:highlight w:val="none"/>
        </w:rPr>
        <w:t>签订合同</w:t>
      </w:r>
      <w:bookmarkEnd w:id="148"/>
      <w:bookmarkEnd w:id="149"/>
      <w:bookmarkEnd w:id="150"/>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成交供应商应在成交通知书发出后，按照磋商文件第五章相关要求与采购人签订采购合同。由于成交供应商的原因逾期未与采购人签订采购合同的，将视为放弃成交，取消其成交资格并将按相关规定进行处理。</w:t>
      </w:r>
      <w:r>
        <w:rPr>
          <w:rFonts w:hint="eastAsia" w:ascii="宋体" w:hAnsi="宋体" w:eastAsia="宋体" w:cs="宋体"/>
          <w:color w:val="auto"/>
          <w:highlight w:val="none"/>
          <w:lang w:eastAsia="zh-Hans"/>
        </w:rPr>
        <w:t>若因采购人的原因未与</w:t>
      </w:r>
      <w:r>
        <w:rPr>
          <w:rFonts w:hint="eastAsia" w:ascii="宋体" w:hAnsi="宋体" w:eastAsia="宋体" w:cs="宋体"/>
          <w:color w:val="auto"/>
          <w:highlight w:val="none"/>
        </w:rPr>
        <w:t>成交供应商</w:t>
      </w:r>
      <w:r>
        <w:rPr>
          <w:rFonts w:hint="eastAsia" w:ascii="宋体" w:hAnsi="宋体" w:eastAsia="宋体" w:cs="宋体"/>
          <w:color w:val="auto"/>
          <w:highlight w:val="none"/>
          <w:lang w:eastAsia="zh-Hans"/>
        </w:rPr>
        <w:t>签订合同，采购人将向</w:t>
      </w:r>
      <w:r>
        <w:rPr>
          <w:rFonts w:hint="eastAsia" w:ascii="宋体" w:hAnsi="宋体" w:eastAsia="宋体" w:cs="宋体"/>
          <w:color w:val="auto"/>
          <w:highlight w:val="none"/>
        </w:rPr>
        <w:t>成交供应商</w:t>
      </w:r>
      <w:r>
        <w:rPr>
          <w:rFonts w:hint="eastAsia" w:ascii="宋体" w:hAnsi="宋体" w:eastAsia="宋体" w:cs="宋体"/>
          <w:color w:val="auto"/>
          <w:highlight w:val="none"/>
          <w:lang w:eastAsia="zh-Hans"/>
        </w:rPr>
        <w:t>支付</w:t>
      </w:r>
      <w:r>
        <w:rPr>
          <w:rFonts w:hint="eastAsia" w:ascii="宋体" w:hAnsi="宋体" w:eastAsia="宋体" w:cs="宋体"/>
          <w:color w:val="auto"/>
          <w:highlight w:val="none"/>
        </w:rPr>
        <w:t>成交供应商</w:t>
      </w:r>
      <w:r>
        <w:rPr>
          <w:rFonts w:hint="eastAsia" w:ascii="宋体" w:hAnsi="宋体" w:eastAsia="宋体" w:cs="宋体"/>
          <w:color w:val="auto"/>
          <w:highlight w:val="none"/>
          <w:lang w:eastAsia="zh-Hans"/>
        </w:rPr>
        <w:t>因本次采购事宜产生的标书制作等直接费用。</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采购合同应当包括采购人与成交供应商的名称和住所、标的、数量、质量、价款或者报酬、履行期限及地点和方式、验收要求、违约责任、解决争议的方法等内容。</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供应商拒绝与采购人签订合同的，采购人可以按照评审报告推荐的成交候选人名单排序，确定下一候选人为成交供应商，也可以重新开展采购活动。拒绝签订采购合同的成交供应商不得参加对该项目重新开展的采购活动。</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本项目的竞争性磋商文件、成交供应商提交的响应文件、磋商中的最后报价、成交供应商承诺书、成交通知书等文件均具有法律约束力，属于合同组成部分。</w:t>
      </w:r>
    </w:p>
    <w:p>
      <w:pPr>
        <w:pStyle w:val="36"/>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成交供应商在采购合同签订之后2个工作日内，将签订的采购合同送采购代理机构进行归档留存(也可将签订的采购合同扫描成PDF格式版本发送至</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"mailto:scqxzb@163.com"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scqxzb@163.com</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，邮件命名为“采购合同-项目名称-供应商名称”)。</w:t>
      </w:r>
    </w:p>
    <w:p>
      <w:pPr>
        <w:pStyle w:val="49"/>
        <w:spacing w:line="520" w:lineRule="exact"/>
        <w:ind w:firstLine="482"/>
        <w:rPr>
          <w:rFonts w:hint="eastAsia" w:ascii="宋体" w:hAnsi="宋体" w:eastAsia="宋体" w:cs="宋体"/>
          <w:color w:val="auto"/>
          <w:highlight w:val="none"/>
        </w:rPr>
      </w:pPr>
      <w:bookmarkStart w:id="152" w:name="_Toc2425"/>
      <w:bookmarkStart w:id="153" w:name="_Toc9980"/>
      <w:bookmarkStart w:id="154" w:name="_Toc9902"/>
      <w:r>
        <w:rPr>
          <w:rFonts w:hint="eastAsia" w:ascii="宋体" w:hAnsi="宋体" w:eastAsia="宋体" w:cs="宋体"/>
          <w:color w:val="auto"/>
          <w:highlight w:val="none"/>
        </w:rPr>
        <w:t>合同分包(实质性要求)</w:t>
      </w:r>
      <w:bookmarkEnd w:id="152"/>
      <w:bookmarkEnd w:id="153"/>
      <w:bookmarkEnd w:id="154"/>
    </w:p>
    <w:p>
      <w:pPr>
        <w:pStyle w:val="46"/>
        <w:spacing w:line="520" w:lineRule="exact"/>
        <w:rPr>
          <w:rFonts w:hint="eastAsia" w:ascii="宋体" w:hAnsi="宋体" w:eastAsia="宋体" w:cs="宋体"/>
          <w:color w:val="auto"/>
          <w:highlight w:val="none"/>
        </w:rPr>
      </w:pPr>
      <w:bookmarkStart w:id="155" w:name="_Toc13796"/>
      <w:r>
        <w:rPr>
          <w:rFonts w:hint="eastAsia" w:ascii="宋体" w:hAnsi="宋体" w:eastAsia="宋体" w:cs="宋体"/>
          <w:color w:val="auto"/>
          <w:highlight w:val="none"/>
        </w:rPr>
        <w:t>本项目不允许供应商以合同分包形式进行磋商。</w:t>
      </w:r>
    </w:p>
    <w:p>
      <w:pPr>
        <w:pStyle w:val="49"/>
        <w:spacing w:line="520" w:lineRule="exact"/>
        <w:ind w:firstLine="482"/>
        <w:rPr>
          <w:rFonts w:hint="eastAsia" w:ascii="宋体" w:hAnsi="宋体" w:eastAsia="宋体" w:cs="宋体"/>
          <w:color w:val="auto"/>
          <w:highlight w:val="none"/>
        </w:rPr>
      </w:pPr>
      <w:bookmarkStart w:id="156" w:name="_Toc20512"/>
      <w:bookmarkStart w:id="157" w:name="_Toc14178"/>
      <w:r>
        <w:rPr>
          <w:rFonts w:hint="eastAsia" w:ascii="宋体" w:hAnsi="宋体" w:eastAsia="宋体" w:cs="宋体"/>
          <w:color w:val="auto"/>
          <w:highlight w:val="none"/>
        </w:rPr>
        <w:t>合同转包(实质性要求)</w:t>
      </w:r>
      <w:bookmarkEnd w:id="155"/>
      <w:bookmarkEnd w:id="156"/>
      <w:bookmarkEnd w:id="157"/>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本项目禁止成交供应商将任何采购合同义务转包。本项目所称转包，是指成交供应商将采购合同义务转让给第三人，并退出现有采购合同当事人双方的权利义务关系，受让人(即第三人)成为采购合同的另一方当事人的行为。</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成交供应商转包的，视同拒绝履行采购合同义务，将依法追究法律责任。</w:t>
      </w:r>
    </w:p>
    <w:p>
      <w:pPr>
        <w:pStyle w:val="49"/>
        <w:spacing w:line="520" w:lineRule="exact"/>
        <w:ind w:firstLine="482"/>
        <w:rPr>
          <w:rFonts w:hint="eastAsia" w:ascii="宋体" w:hAnsi="宋体" w:eastAsia="宋体" w:cs="宋体"/>
          <w:color w:val="auto"/>
          <w:highlight w:val="none"/>
        </w:rPr>
      </w:pPr>
      <w:bookmarkStart w:id="158" w:name="_Toc26599"/>
      <w:bookmarkStart w:id="159" w:name="_Toc27950"/>
      <w:bookmarkStart w:id="160" w:name="_Toc15998"/>
      <w:r>
        <w:rPr>
          <w:rFonts w:hint="eastAsia" w:ascii="宋体" w:hAnsi="宋体" w:eastAsia="宋体" w:cs="宋体"/>
          <w:color w:val="auto"/>
          <w:highlight w:val="none"/>
        </w:rPr>
        <w:t>补充合同</w:t>
      </w:r>
      <w:bookmarkEnd w:id="158"/>
      <w:bookmarkEnd w:id="159"/>
      <w:bookmarkEnd w:id="160"/>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49"/>
        <w:spacing w:line="520" w:lineRule="exact"/>
        <w:ind w:firstLine="482"/>
        <w:rPr>
          <w:rFonts w:hint="eastAsia" w:ascii="宋体" w:hAnsi="宋体" w:eastAsia="宋体" w:cs="宋体"/>
          <w:color w:val="auto"/>
          <w:highlight w:val="none"/>
        </w:rPr>
      </w:pPr>
      <w:bookmarkStart w:id="161" w:name="_Toc2945"/>
      <w:bookmarkStart w:id="162" w:name="_Toc16373"/>
      <w:bookmarkStart w:id="163" w:name="_Toc19111"/>
      <w:r>
        <w:rPr>
          <w:rFonts w:hint="eastAsia" w:ascii="宋体" w:hAnsi="宋体" w:eastAsia="宋体" w:cs="宋体"/>
          <w:color w:val="auto"/>
          <w:highlight w:val="none"/>
        </w:rPr>
        <w:t>履行合同</w:t>
      </w:r>
      <w:bookmarkEnd w:id="161"/>
      <w:bookmarkEnd w:id="162"/>
      <w:bookmarkEnd w:id="163"/>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采购人与成交供应商应当根据合同的约定依法履行合同义务，保证合同顺利完成。</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采购合同的履行、违约责任和解决争议的方法等适用《中华人民共和国民法典》。</w:t>
      </w:r>
    </w:p>
    <w:p>
      <w:pPr>
        <w:pStyle w:val="49"/>
        <w:spacing w:line="520" w:lineRule="exact"/>
        <w:ind w:firstLine="482"/>
        <w:rPr>
          <w:rFonts w:hint="eastAsia" w:ascii="宋体" w:hAnsi="宋体" w:eastAsia="宋体" w:cs="宋体"/>
          <w:color w:val="auto"/>
          <w:highlight w:val="none"/>
        </w:rPr>
      </w:pPr>
      <w:bookmarkStart w:id="164" w:name="_Toc26311"/>
      <w:bookmarkStart w:id="165" w:name="_Toc30748"/>
      <w:bookmarkStart w:id="166" w:name="_Toc30777"/>
      <w:bookmarkStart w:id="167" w:name="_Toc8615"/>
      <w:bookmarkStart w:id="168" w:name="_Toc17186"/>
      <w:bookmarkStart w:id="169" w:name="_Toc19475"/>
      <w:r>
        <w:rPr>
          <w:rFonts w:hint="eastAsia" w:ascii="宋体" w:hAnsi="宋体" w:eastAsia="宋体" w:cs="宋体"/>
          <w:color w:val="auto"/>
          <w:highlight w:val="none"/>
        </w:rPr>
        <w:t>付款方式及履约验收</w:t>
      </w:r>
      <w:bookmarkEnd w:id="164"/>
      <w:bookmarkEnd w:id="165"/>
      <w:bookmarkEnd w:id="166"/>
      <w:bookmarkEnd w:id="167"/>
      <w:bookmarkEnd w:id="168"/>
      <w:bookmarkEnd w:id="169"/>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付款方式</w:t>
      </w:r>
    </w:p>
    <w:p>
      <w:pPr>
        <w:pStyle w:val="64"/>
        <w:numPr>
          <w:ilvl w:val="4"/>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详见磋商文件第五章。</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履约验收</w:t>
      </w:r>
      <w:r>
        <w:rPr>
          <w:rFonts w:hint="eastAsia" w:ascii="宋体" w:hAnsi="宋体" w:eastAsia="宋体" w:cs="宋体"/>
          <w:b/>
          <w:bCs/>
          <w:color w:val="auto"/>
          <w:highlight w:val="none"/>
        </w:rPr>
        <w:t>(实质性要求)</w:t>
      </w:r>
    </w:p>
    <w:p>
      <w:pPr>
        <w:pStyle w:val="63"/>
        <w:numPr>
          <w:ilvl w:val="255"/>
          <w:numId w:val="0"/>
        </w:numPr>
        <w:spacing w:line="480" w:lineRule="exact"/>
        <w:ind w:left="480" w:leftChars="200"/>
        <w:rPr>
          <w:rFonts w:hint="eastAsia" w:ascii="宋体" w:hAnsi="宋体" w:eastAsia="宋体" w:cs="宋体"/>
          <w:color w:val="auto"/>
          <w:highlight w:val="none"/>
        </w:rPr>
      </w:pPr>
      <w:bookmarkStart w:id="170" w:name="_Toc217446071"/>
      <w:r>
        <w:rPr>
          <w:rFonts w:hint="eastAsia" w:ascii="宋体" w:hAnsi="宋体" w:eastAsia="宋体" w:cs="宋体"/>
          <w:color w:val="auto"/>
          <w:highlight w:val="none"/>
        </w:rPr>
        <w:t>详见磋商文件第五章。</w:t>
      </w:r>
    </w:p>
    <w:bookmarkEnd w:id="170"/>
    <w:p>
      <w:pPr>
        <w:pStyle w:val="35"/>
        <w:spacing w:before="120" w:beforeLines="50" w:after="120" w:afterLines="50" w:line="520" w:lineRule="exact"/>
        <w:ind w:firstLine="0" w:firstLineChars="0"/>
        <w:jc w:val="center"/>
        <w:rPr>
          <w:rFonts w:hint="eastAsia" w:ascii="宋体" w:hAnsi="宋体" w:eastAsia="宋体" w:cs="宋体"/>
          <w:color w:val="auto"/>
          <w:sz w:val="36"/>
          <w:szCs w:val="36"/>
          <w:highlight w:val="none"/>
        </w:rPr>
      </w:pPr>
      <w:bookmarkStart w:id="171" w:name="_Toc23470"/>
      <w:bookmarkStart w:id="172" w:name="_Toc22321"/>
      <w:bookmarkStart w:id="173" w:name="_Toc13265"/>
      <w:r>
        <w:rPr>
          <w:rFonts w:hint="eastAsia" w:ascii="宋体" w:hAnsi="宋体" w:eastAsia="宋体" w:cs="宋体"/>
          <w:color w:val="auto"/>
          <w:sz w:val="36"/>
          <w:szCs w:val="36"/>
          <w:highlight w:val="none"/>
        </w:rPr>
        <w:t>磋商纪律要求</w:t>
      </w:r>
      <w:bookmarkEnd w:id="171"/>
      <w:bookmarkEnd w:id="172"/>
      <w:bookmarkEnd w:id="173"/>
    </w:p>
    <w:p>
      <w:pPr>
        <w:pStyle w:val="49"/>
        <w:spacing w:line="520" w:lineRule="exact"/>
        <w:ind w:firstLine="482"/>
        <w:rPr>
          <w:rFonts w:hint="eastAsia" w:ascii="宋体" w:hAnsi="宋体" w:eastAsia="宋体" w:cs="宋体"/>
          <w:color w:val="auto"/>
          <w:highlight w:val="none"/>
        </w:rPr>
      </w:pPr>
      <w:bookmarkStart w:id="174" w:name="_Toc1613"/>
      <w:bookmarkStart w:id="175" w:name="_Toc11212"/>
      <w:bookmarkStart w:id="176" w:name="_Toc25072"/>
      <w:r>
        <w:rPr>
          <w:rFonts w:hint="eastAsia" w:ascii="宋体" w:hAnsi="宋体" w:eastAsia="宋体" w:cs="宋体"/>
          <w:color w:val="auto"/>
          <w:highlight w:val="none"/>
        </w:rPr>
        <w:t>供应商参加本项目采购活动不得具有的情形</w:t>
      </w:r>
      <w:bookmarkEnd w:id="151"/>
      <w:bookmarkEnd w:id="174"/>
      <w:bookmarkEnd w:id="175"/>
      <w:bookmarkEnd w:id="176"/>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1.提供虚假材料谋取成交；</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2.采取不正当手段诋毁、排挤其他供应商；</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3.与采购人、采购代理机构或其他供应商恶意串通；</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4.向采购人、采购代理机构、磋商小组成员行贿或者提供其他不正当利益；</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5.在磋商过程中与采购人、采购代理机构进行协商；</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6.成交后无正当理由拒不与采购人签订采购合同；</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7.未按照磋商文件确定的事项签订采购合同；</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8.将采购合同转包或者违规分包；</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9.提供假冒伪劣产品；</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10.擅自变更、中止或者终止采购合同；</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11.拒绝有关部门的监督检查或者向监督检查部门提供虚假情况；</w:t>
      </w:r>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12.法律法规规定的其他情形。</w:t>
      </w:r>
    </w:p>
    <w:p>
      <w:pPr>
        <w:pStyle w:val="46"/>
        <w:spacing w:line="520" w:lineRule="exact"/>
        <w:rPr>
          <w:rFonts w:hint="eastAsia" w:ascii="宋体" w:hAnsi="宋体" w:eastAsia="宋体" w:cs="宋体"/>
          <w:color w:val="auto"/>
          <w:highlight w:val="none"/>
        </w:rPr>
      </w:pPr>
      <w:bookmarkStart w:id="177" w:name="_Toc28656"/>
      <w:bookmarkStart w:id="178" w:name="_Toc19578"/>
      <w:bookmarkStart w:id="179" w:name="_Toc29848"/>
      <w:bookmarkStart w:id="180" w:name="_Toc1683"/>
      <w:bookmarkStart w:id="181" w:name="_Toc12708"/>
      <w:bookmarkStart w:id="182" w:name="_Toc11007"/>
      <w:bookmarkStart w:id="183" w:name="_Toc31594"/>
      <w:bookmarkStart w:id="184" w:name="_Toc17041"/>
      <w:r>
        <w:rPr>
          <w:rFonts w:hint="eastAsia" w:ascii="宋体" w:hAnsi="宋体" w:eastAsia="宋体" w:cs="宋体"/>
          <w:color w:val="auto"/>
          <w:highlight w:val="none"/>
        </w:rPr>
        <w:t>供应商有上述情形的，按照规定追究法律责任，具备1～10条情形之一的，同时将取消成交资格或者认定成交无效。</w:t>
      </w:r>
    </w:p>
    <w:p>
      <w:pPr>
        <w:pStyle w:val="49"/>
        <w:spacing w:line="520" w:lineRule="exact"/>
        <w:ind w:firstLine="482"/>
        <w:rPr>
          <w:rFonts w:hint="eastAsia" w:ascii="宋体" w:hAnsi="宋体" w:eastAsia="宋体" w:cs="宋体"/>
          <w:color w:val="auto"/>
          <w:highlight w:val="none"/>
        </w:rPr>
      </w:pPr>
      <w:bookmarkStart w:id="185" w:name="_Toc29926"/>
      <w:bookmarkStart w:id="186" w:name="_Toc32541"/>
      <w:bookmarkStart w:id="187" w:name="_Toc18558"/>
      <w:r>
        <w:rPr>
          <w:rFonts w:hint="eastAsia" w:ascii="宋体" w:hAnsi="宋体" w:eastAsia="宋体" w:cs="宋体"/>
          <w:color w:val="auto"/>
          <w:highlight w:val="none"/>
        </w:rPr>
        <w:t>磋商现场纪律要求</w:t>
      </w:r>
      <w:bookmarkEnd w:id="185"/>
      <w:bookmarkEnd w:id="186"/>
      <w:bookmarkEnd w:id="187"/>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供应商在磋商现场须听从采购代理机构的安排，自觉遵守秩序，不得起哄，大声喧哗；不得现场与其他供应商协商报价；不得干预磋商评审，否则由此造成的一切不利后果由供应商自行独立承担。</w:t>
      </w:r>
    </w:p>
    <w:bookmarkEnd w:id="177"/>
    <w:bookmarkEnd w:id="178"/>
    <w:bookmarkEnd w:id="179"/>
    <w:bookmarkEnd w:id="180"/>
    <w:bookmarkEnd w:id="181"/>
    <w:bookmarkEnd w:id="182"/>
    <w:bookmarkEnd w:id="183"/>
    <w:p>
      <w:pPr>
        <w:pStyle w:val="35"/>
        <w:spacing w:before="120" w:beforeLines="50" w:after="120" w:afterLines="50" w:line="520" w:lineRule="exact"/>
        <w:ind w:firstLine="0" w:firstLineChars="0"/>
        <w:jc w:val="center"/>
        <w:rPr>
          <w:rFonts w:hint="eastAsia" w:ascii="宋体" w:hAnsi="宋体" w:eastAsia="宋体" w:cs="宋体"/>
          <w:color w:val="auto"/>
          <w:sz w:val="36"/>
          <w:szCs w:val="36"/>
          <w:highlight w:val="none"/>
        </w:rPr>
      </w:pPr>
      <w:bookmarkStart w:id="188" w:name="_Toc23987"/>
      <w:bookmarkStart w:id="189" w:name="_Toc19072"/>
      <w:bookmarkStart w:id="190" w:name="_Toc14507"/>
      <w:r>
        <w:rPr>
          <w:rFonts w:hint="eastAsia" w:ascii="宋体" w:hAnsi="宋体" w:eastAsia="宋体" w:cs="宋体"/>
          <w:color w:val="auto"/>
          <w:sz w:val="36"/>
          <w:szCs w:val="36"/>
          <w:highlight w:val="none"/>
        </w:rPr>
        <w:t>其他</w:t>
      </w:r>
      <w:bookmarkEnd w:id="188"/>
      <w:bookmarkEnd w:id="189"/>
      <w:bookmarkEnd w:id="190"/>
    </w:p>
    <w:p>
      <w:pPr>
        <w:pStyle w:val="49"/>
        <w:spacing w:line="520" w:lineRule="exact"/>
        <w:ind w:firstLine="482"/>
        <w:rPr>
          <w:rFonts w:hint="eastAsia" w:ascii="宋体" w:hAnsi="宋体" w:eastAsia="宋体" w:cs="宋体"/>
          <w:color w:val="auto"/>
          <w:highlight w:val="none"/>
        </w:rPr>
      </w:pPr>
      <w:bookmarkStart w:id="191" w:name="_Toc22740"/>
      <w:bookmarkStart w:id="192" w:name="_Toc24369"/>
      <w:bookmarkStart w:id="193" w:name="_Toc5253"/>
      <w:r>
        <w:rPr>
          <w:rFonts w:hint="eastAsia" w:ascii="宋体" w:hAnsi="宋体" w:eastAsia="宋体" w:cs="宋体"/>
          <w:color w:val="auto"/>
          <w:highlight w:val="none"/>
        </w:rPr>
        <w:t>询问、质疑和投诉</w:t>
      </w:r>
      <w:bookmarkEnd w:id="191"/>
      <w:bookmarkEnd w:id="192"/>
      <w:bookmarkEnd w:id="193"/>
    </w:p>
    <w:p>
      <w:pPr>
        <w:pStyle w:val="33"/>
        <w:numPr>
          <w:ilvl w:val="1"/>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具体详见磋商须知前附表</w:t>
      </w:r>
      <w:bookmarkEnd w:id="184"/>
      <w:r>
        <w:rPr>
          <w:rFonts w:hint="eastAsia" w:ascii="宋体" w:hAnsi="宋体" w:eastAsia="宋体" w:cs="宋体"/>
          <w:color w:val="auto"/>
          <w:highlight w:val="none"/>
        </w:rPr>
        <w:t>。</w:t>
      </w:r>
    </w:p>
    <w:p>
      <w:pPr>
        <w:pStyle w:val="49"/>
        <w:spacing w:line="520" w:lineRule="exact"/>
        <w:ind w:firstLine="482"/>
        <w:rPr>
          <w:rFonts w:hint="eastAsia" w:ascii="宋体" w:hAnsi="宋体" w:eastAsia="宋体" w:cs="宋体"/>
          <w:color w:val="auto"/>
          <w:highlight w:val="none"/>
        </w:rPr>
      </w:pPr>
      <w:bookmarkStart w:id="194" w:name="_Toc16406"/>
      <w:bookmarkStart w:id="195" w:name="_Toc10108"/>
      <w:bookmarkStart w:id="196" w:name="_Toc2794"/>
      <w:bookmarkStart w:id="197" w:name="_Toc31084"/>
      <w:bookmarkStart w:id="198" w:name="_Toc1748"/>
      <w:bookmarkStart w:id="199" w:name="_Toc26947"/>
      <w:bookmarkStart w:id="200" w:name="_Toc18625"/>
      <w:bookmarkStart w:id="201" w:name="_Toc9154"/>
      <w:bookmarkStart w:id="202" w:name="_Toc24020"/>
      <w:r>
        <w:rPr>
          <w:rFonts w:hint="eastAsia" w:ascii="宋体" w:hAnsi="宋体" w:eastAsia="宋体" w:cs="宋体"/>
          <w:color w:val="auto"/>
          <w:highlight w:val="none"/>
        </w:rPr>
        <w:t>关于行贿犯罪档案查询工作的规定</w:t>
      </w:r>
      <w:bookmarkEnd w:id="194"/>
      <w:bookmarkEnd w:id="195"/>
      <w:bookmarkEnd w:id="196"/>
      <w:bookmarkEnd w:id="197"/>
      <w:bookmarkEnd w:id="198"/>
      <w:bookmarkEnd w:id="199"/>
      <w:bookmarkEnd w:id="200"/>
      <w:bookmarkEnd w:id="201"/>
      <w:bookmarkEnd w:id="202"/>
    </w:p>
    <w:p>
      <w:pPr>
        <w:pStyle w:val="46"/>
        <w:spacing w:line="520" w:lineRule="exact"/>
        <w:rPr>
          <w:rFonts w:hint="eastAsia" w:ascii="宋体" w:hAnsi="宋体" w:eastAsia="宋体" w:cs="宋体"/>
          <w:color w:val="auto"/>
          <w:highlight w:val="none"/>
        </w:rPr>
      </w:pPr>
      <w:bookmarkStart w:id="203" w:name="_Toc14412"/>
      <w:bookmarkStart w:id="204" w:name="_Toc29751"/>
      <w:bookmarkStart w:id="205" w:name="_Toc4110"/>
      <w:r>
        <w:rPr>
          <w:rFonts w:hint="eastAsia" w:ascii="宋体" w:hAnsi="宋体" w:eastAsia="宋体" w:cs="宋体"/>
          <w:color w:val="auto"/>
          <w:highlight w:val="none"/>
        </w:rPr>
        <w:t>因国家检察机关职务犯罪侦查部门转隶工作已经完成，供应商参与采购活动时须按照磋商文件要求提供承诺函或由采购代理机构通过“中国裁判文书网”查询，并将查询记录存档。</w:t>
      </w:r>
      <w:bookmarkEnd w:id="203"/>
      <w:bookmarkEnd w:id="204"/>
    </w:p>
    <w:p>
      <w:pPr>
        <w:pStyle w:val="49"/>
        <w:spacing w:line="520" w:lineRule="exact"/>
        <w:ind w:firstLine="482"/>
        <w:rPr>
          <w:rFonts w:hint="eastAsia" w:ascii="宋体" w:hAnsi="宋体" w:eastAsia="宋体" w:cs="宋体"/>
          <w:color w:val="auto"/>
          <w:highlight w:val="none"/>
        </w:rPr>
      </w:pPr>
      <w:bookmarkStart w:id="206" w:name="_Toc6303"/>
      <w:bookmarkStart w:id="207" w:name="_Toc24800"/>
      <w:bookmarkStart w:id="208" w:name="_Toc27271"/>
      <w:r>
        <w:rPr>
          <w:rFonts w:hint="eastAsia" w:ascii="宋体" w:hAnsi="宋体" w:eastAsia="宋体" w:cs="宋体"/>
          <w:color w:val="auto"/>
          <w:highlight w:val="none"/>
        </w:rPr>
        <w:t>供应商信用信息查询</w:t>
      </w:r>
      <w:bookmarkEnd w:id="205"/>
      <w:bookmarkEnd w:id="206"/>
      <w:bookmarkEnd w:id="207"/>
      <w:bookmarkEnd w:id="208"/>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1.供应商信用信息查询渠道</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“信用中国”网站(www.creditchina.gov.cn)、“中国政府采购网”(www.ccgp.gov.cn)等。</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2.供应商信用信息查询截止时点</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信用信息查询在资格审查阶段进行。</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3.供应商信用信息查询记录和证据留存的具体方式</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采购代理机构通过“信用中国”网站、“中国政府采购网”等渠道对供应商进行信用记录查询，并将查询记录存档。</w:t>
      </w:r>
    </w:p>
    <w:p>
      <w:pPr>
        <w:pStyle w:val="33"/>
        <w:numPr>
          <w:ilvl w:val="255"/>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4.供应商信用信息的使用：凡被列入失信被执行人、重大税收违法案件当事人名单(重大税收违法失信主体)、政府采购严重违法失信行为记录名单的，视为存在不良信用记录，参与本项目的将被拒绝。</w:t>
      </w:r>
    </w:p>
    <w:p>
      <w:pPr>
        <w:pStyle w:val="49"/>
        <w:spacing w:line="520" w:lineRule="exact"/>
        <w:ind w:firstLine="482"/>
        <w:rPr>
          <w:rFonts w:hint="eastAsia" w:ascii="宋体" w:hAnsi="宋体" w:eastAsia="宋体" w:cs="宋体"/>
          <w:color w:val="auto"/>
          <w:highlight w:val="none"/>
        </w:rPr>
      </w:pPr>
      <w:bookmarkStart w:id="209" w:name="_Toc5438"/>
      <w:bookmarkStart w:id="210" w:name="_Toc22841"/>
      <w:bookmarkStart w:id="211" w:name="_Toc7951"/>
      <w:r>
        <w:rPr>
          <w:rFonts w:hint="eastAsia" w:ascii="宋体" w:hAnsi="宋体" w:eastAsia="宋体" w:cs="宋体"/>
          <w:color w:val="auto"/>
          <w:highlight w:val="none"/>
        </w:rPr>
        <w:t>保密</w:t>
      </w:r>
      <w:bookmarkEnd w:id="209"/>
      <w:bookmarkEnd w:id="210"/>
      <w:bookmarkEnd w:id="211"/>
    </w:p>
    <w:p>
      <w:pPr>
        <w:pStyle w:val="9"/>
        <w:tabs>
          <w:tab w:val="left" w:pos="1134"/>
          <w:tab w:val="clear" w:pos="0"/>
        </w:tabs>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1.各采购当事人不得透露有关成功获取采购文件的潜在供应商的任何情况。</w:t>
      </w:r>
    </w:p>
    <w:p>
      <w:pPr>
        <w:pStyle w:val="9"/>
        <w:tabs>
          <w:tab w:val="left" w:pos="1134"/>
          <w:tab w:val="clear" w:pos="0"/>
        </w:tabs>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2.供应商有关响应文件的审查、澄清、评估和比较以及合同授予意向等情况均不得对外透露。</w:t>
      </w:r>
    </w:p>
    <w:p>
      <w:pPr>
        <w:pStyle w:val="49"/>
        <w:spacing w:line="520" w:lineRule="exact"/>
        <w:ind w:firstLine="482"/>
        <w:rPr>
          <w:rFonts w:hint="eastAsia" w:ascii="宋体" w:hAnsi="宋体" w:eastAsia="宋体" w:cs="宋体"/>
          <w:color w:val="auto"/>
          <w:highlight w:val="none"/>
        </w:rPr>
      </w:pPr>
      <w:bookmarkStart w:id="212" w:name="_Toc9400"/>
      <w:bookmarkStart w:id="213" w:name="_Toc10353"/>
      <w:bookmarkStart w:id="214" w:name="_Toc25865"/>
      <w:r>
        <w:rPr>
          <w:rFonts w:hint="eastAsia" w:ascii="宋体" w:hAnsi="宋体" w:eastAsia="宋体" w:cs="宋体"/>
          <w:color w:val="auto"/>
          <w:highlight w:val="none"/>
        </w:rPr>
        <w:t>回避</w:t>
      </w:r>
      <w:bookmarkEnd w:id="212"/>
      <w:bookmarkEnd w:id="213"/>
      <w:bookmarkEnd w:id="214"/>
    </w:p>
    <w:p>
      <w:pPr>
        <w:pStyle w:val="20"/>
        <w:shd w:val="clear" w:color="auto" w:fill="FFFFFF"/>
        <w:spacing w:beforeAutospacing="0" w:afterAutospacing="0" w:line="520" w:lineRule="exact"/>
        <w:ind w:firstLine="480" w:firstLineChars="200"/>
        <w:jc w:val="both"/>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在采购活动中，采购人员及相关人员与供应商有下列利害关系之一的，应当回避：</w:t>
      </w:r>
    </w:p>
    <w:p>
      <w:pPr>
        <w:pStyle w:val="20"/>
        <w:shd w:val="clear" w:color="auto" w:fill="FFFFFF"/>
        <w:spacing w:beforeAutospacing="0" w:afterAutospacing="0" w:line="520" w:lineRule="exact"/>
        <w:ind w:firstLine="480" w:firstLineChars="200"/>
        <w:jc w:val="both"/>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1.参加采购活动前3年内与供应商存在劳动关系；</w:t>
      </w:r>
    </w:p>
    <w:p>
      <w:pPr>
        <w:pStyle w:val="20"/>
        <w:shd w:val="clear" w:color="auto" w:fill="FFFFFF"/>
        <w:spacing w:beforeAutospacing="0" w:afterAutospacing="0" w:line="520" w:lineRule="exact"/>
        <w:ind w:firstLine="480" w:firstLineChars="200"/>
        <w:jc w:val="both"/>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2.参加采购活动前3年内担任供应商的董事、监事；</w:t>
      </w:r>
    </w:p>
    <w:p>
      <w:pPr>
        <w:pStyle w:val="20"/>
        <w:shd w:val="clear" w:color="auto" w:fill="FFFFFF"/>
        <w:spacing w:beforeAutospacing="0" w:afterAutospacing="0" w:line="520" w:lineRule="exact"/>
        <w:ind w:firstLine="480" w:firstLineChars="200"/>
        <w:jc w:val="both"/>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3.参加采购活动前3年内是供应商的控股股东或者实际控制人；</w:t>
      </w:r>
    </w:p>
    <w:p>
      <w:pPr>
        <w:pStyle w:val="20"/>
        <w:shd w:val="clear" w:color="auto" w:fill="FFFFFF"/>
        <w:spacing w:beforeAutospacing="0" w:afterAutospacing="0" w:line="520" w:lineRule="exact"/>
        <w:ind w:firstLine="480" w:firstLineChars="200"/>
        <w:jc w:val="both"/>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4.与供应商的法定代表人或者负责人有夫妻、直系血亲、三代以内旁系血亲或者近姻亲关系；</w:t>
      </w:r>
    </w:p>
    <w:p>
      <w:pPr>
        <w:pStyle w:val="20"/>
        <w:shd w:val="clear" w:color="auto" w:fill="FFFFFF"/>
        <w:spacing w:beforeAutospacing="0" w:afterAutospacing="0" w:line="520" w:lineRule="exact"/>
        <w:ind w:firstLine="480" w:firstLineChars="200"/>
        <w:jc w:val="both"/>
        <w:textAlignment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5.与供应商有其他可能影响采购活动公平、公正进行的关系。</w:t>
      </w:r>
    </w:p>
    <w:p>
      <w:pPr>
        <w:pStyle w:val="9"/>
        <w:tabs>
          <w:tab w:val="left" w:pos="1134"/>
          <w:tab w:val="clear" w:pos="0"/>
        </w:tabs>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9"/>
        <w:spacing w:line="520" w:lineRule="exact"/>
        <w:ind w:firstLine="482"/>
        <w:rPr>
          <w:rFonts w:hint="eastAsia" w:ascii="宋体" w:hAnsi="宋体" w:eastAsia="宋体" w:cs="宋体"/>
          <w:color w:val="auto"/>
          <w:highlight w:val="none"/>
        </w:rPr>
      </w:pPr>
      <w:bookmarkStart w:id="215" w:name="_Toc30603"/>
      <w:bookmarkStart w:id="216" w:name="_Toc5939"/>
      <w:r>
        <w:rPr>
          <w:rFonts w:hint="eastAsia" w:ascii="宋体" w:hAnsi="宋体" w:eastAsia="宋体" w:cs="宋体"/>
          <w:color w:val="auto"/>
          <w:highlight w:val="none"/>
        </w:rPr>
        <w:t>解释说明</w:t>
      </w:r>
      <w:bookmarkEnd w:id="215"/>
      <w:bookmarkEnd w:id="216"/>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1.本磋商文件中作为实质性要求的内容，除明确要求需在响应文件中提供承诺函等证明材料的外，评审委员会在评审时，仅对响应文件是否违背实质性要求进行审查。</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本磋商文件中所引用的相关法律法规规定，在采购中有调整的，按照调整后的相关法律法规规定执行。在本项目响应文件递交截止时间届满后，因相关法律法规规定的调整导致不符合相关法律法规规定的，按照调整后的相关法律法规规定执行，本磋商文件不再做调整。</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3.国家或行业主管部门对供应商和采购产品的技术标准、质量标准和资格资质条件等有强制性规定的，必须符合其要求</w:t>
      </w:r>
      <w:r>
        <w:rPr>
          <w:rFonts w:hint="eastAsia" w:ascii="宋体" w:hAnsi="宋体" w:eastAsia="宋体" w:cs="宋体"/>
          <w:b/>
          <w:bCs/>
          <w:color w:val="auto"/>
          <w:highlight w:val="none"/>
        </w:rPr>
        <w:t>(实质性要求)</w:t>
      </w:r>
      <w:r>
        <w:rPr>
          <w:rFonts w:hint="eastAsia" w:ascii="宋体" w:hAnsi="宋体" w:eastAsia="宋体" w:cs="宋体"/>
          <w:color w:val="auto"/>
          <w:highlight w:val="none"/>
        </w:rPr>
        <w:t>。</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4.本项目涉及企业资质、产品认证、国家标准、人员执业资格等描述与国家最新要求不一致时以最新要求为准。</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8"/>
        <w:spacing w:before="120" w:after="120"/>
        <w:rPr>
          <w:rFonts w:hint="eastAsia" w:ascii="宋体" w:hAnsi="宋体" w:eastAsia="宋体" w:cs="宋体"/>
          <w:color w:val="auto"/>
          <w:highlight w:val="none"/>
        </w:rPr>
      </w:pPr>
      <w:bookmarkStart w:id="217" w:name="_Toc31402"/>
      <w:bookmarkStart w:id="218" w:name="_Toc25961"/>
      <w:bookmarkStart w:id="219" w:name="_Toc4206"/>
      <w:bookmarkStart w:id="220" w:name="_Toc26601"/>
      <w:bookmarkStart w:id="221" w:name="_Toc29575"/>
      <w:bookmarkStart w:id="222" w:name="_Toc1177"/>
      <w:r>
        <w:rPr>
          <w:rFonts w:hint="eastAsia" w:ascii="宋体" w:hAnsi="宋体" w:eastAsia="宋体" w:cs="宋体"/>
          <w:color w:val="auto"/>
          <w:highlight w:val="none"/>
        </w:rPr>
        <w:t>响应文件格式</w:t>
      </w:r>
      <w:bookmarkEnd w:id="217"/>
      <w:bookmarkEnd w:id="218"/>
      <w:bookmarkEnd w:id="219"/>
      <w:bookmarkEnd w:id="220"/>
      <w:bookmarkEnd w:id="221"/>
      <w:bookmarkEnd w:id="222"/>
    </w:p>
    <w:p>
      <w:pPr>
        <w:pStyle w:val="46"/>
        <w:spacing w:line="520" w:lineRule="exact"/>
        <w:rPr>
          <w:rFonts w:hint="eastAsia" w:ascii="宋体" w:hAnsi="宋体" w:eastAsia="宋体" w:cs="宋体"/>
          <w:color w:val="auto"/>
          <w:highlight w:val="none"/>
        </w:rPr>
      </w:pPr>
      <w:bookmarkStart w:id="223" w:name="_Toc439161746"/>
      <w:bookmarkStart w:id="224" w:name="_Toc16460"/>
      <w:bookmarkStart w:id="225" w:name="_Toc316462354"/>
      <w:bookmarkStart w:id="226" w:name="_Toc182759327"/>
      <w:bookmarkStart w:id="227" w:name="_Toc294701519"/>
      <w:bookmarkStart w:id="228" w:name="_Toc211218954"/>
      <w:bookmarkStart w:id="229" w:name="_Toc287367101"/>
      <w:bookmarkStart w:id="230" w:name="_Toc295978802"/>
      <w:bookmarkStart w:id="231" w:name="_Toc182629023"/>
      <w:bookmarkStart w:id="232" w:name="_Toc294688711"/>
      <w:r>
        <w:rPr>
          <w:rFonts w:hint="eastAsia" w:ascii="宋体" w:hAnsi="宋体" w:eastAsia="宋体" w:cs="宋体"/>
          <w:color w:val="auto"/>
          <w:highlight w:val="none"/>
        </w:rPr>
        <w:t>一、本章所制响应文件格式，除格式中明确将该格式作为实质性要求的，一律不具有强制性，供应商不涉及的格式可以不提供。</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二、本章所制响应文件格式有关表格中的备注栏，由供应商根据自身响应情况作解释性说明，不作为必填项。</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三、本章格式中“注”的内容，供应商可自行决定是否保留在响应文件中，未保留的视为供应商默认接受“注”的内容。</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四、本章所制响应文件格式中需要填写的相关内容事项，可能会与本采购项目无关，在不改变响应文件原义、不影响本项目采购需求的情况下，供应商可以不予填写，但应当注明。</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4"/>
        <w:rPr>
          <w:rFonts w:hint="eastAsia" w:ascii="宋体" w:hAnsi="宋体" w:eastAsia="宋体" w:cs="宋体"/>
          <w:color w:val="auto"/>
          <w:highlight w:val="none"/>
        </w:rPr>
      </w:pPr>
      <w:r>
        <w:rPr>
          <w:rFonts w:hint="eastAsia" w:ascii="宋体" w:hAnsi="宋体" w:eastAsia="宋体" w:cs="宋体"/>
          <w:color w:val="auto"/>
          <w:highlight w:val="none"/>
        </w:rPr>
        <w:t>附件：密封袋的格式</w:t>
      </w: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tbl>
      <w:tblPr>
        <w:tblStyle w:val="23"/>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4"/>
              <w:rPr>
                <w:rFonts w:hint="eastAsia" w:ascii="宋体" w:hAnsi="宋体" w:eastAsia="宋体" w:cs="宋体"/>
                <w:color w:val="auto"/>
                <w:highlight w:val="none"/>
              </w:rPr>
            </w:pPr>
          </w:p>
          <w:p>
            <w:pPr>
              <w:tabs>
                <w:tab w:val="left" w:pos="7665"/>
                <w:tab w:val="clear" w:pos="0"/>
              </w:tabs>
              <w:spacing w:line="400" w:lineRule="exact"/>
              <w:ind w:firstLine="2280" w:firstLineChars="950"/>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pPr>
              <w:tabs>
                <w:tab w:val="left" w:pos="7665"/>
                <w:tab w:val="clear" w:pos="0"/>
              </w:tabs>
              <w:spacing w:line="400" w:lineRule="exact"/>
              <w:ind w:firstLine="2280" w:firstLineChars="950"/>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pPr>
              <w:tabs>
                <w:tab w:val="left" w:pos="7665"/>
                <w:tab w:val="clear" w:pos="0"/>
              </w:tabs>
              <w:spacing w:line="400" w:lineRule="exact"/>
              <w:jc w:val="center"/>
              <w:rPr>
                <w:rFonts w:hint="eastAsia" w:ascii="宋体" w:hAnsi="宋体" w:eastAsia="宋体" w:cs="宋体"/>
                <w:b/>
                <w:color w:val="auto"/>
                <w:sz w:val="32"/>
                <w:szCs w:val="32"/>
                <w:highlight w:val="none"/>
              </w:rPr>
            </w:pPr>
          </w:p>
          <w:p>
            <w:pPr>
              <w:pStyle w:val="34"/>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资格、资质性及其他类似效力响应文件</w:t>
            </w:r>
          </w:p>
          <w:p>
            <w:pPr>
              <w:pStyle w:val="34"/>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/其他响应文件/电子文档</w:t>
            </w:r>
          </w:p>
          <w:p>
            <w:pPr>
              <w:tabs>
                <w:tab w:val="left" w:pos="7665"/>
                <w:tab w:val="clear" w:pos="0"/>
              </w:tabs>
              <w:spacing w:line="400" w:lineRule="exact"/>
              <w:jc w:val="center"/>
              <w:rPr>
                <w:rFonts w:hint="eastAsia" w:ascii="宋体" w:hAnsi="宋体" w:eastAsia="宋体" w:cs="宋体"/>
                <w:color w:val="auto"/>
                <w:highlight w:val="none"/>
              </w:rPr>
            </w:pPr>
          </w:p>
          <w:p>
            <w:pPr>
              <w:tabs>
                <w:tab w:val="left" w:pos="7665"/>
                <w:tab w:val="clear" w:pos="0"/>
              </w:tabs>
              <w:spacing w:line="400" w:lineRule="exact"/>
              <w:ind w:firstLine="2280" w:firstLineChars="950"/>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p>
          <w:p>
            <w:pPr>
              <w:pStyle w:val="34"/>
              <w:ind w:firstLine="2280" w:firstLineChars="950"/>
              <w:rPr>
                <w:rFonts w:hint="eastAsia" w:ascii="宋体" w:hAnsi="宋体" w:eastAsia="宋体" w:cs="宋体"/>
                <w:color w:val="auto"/>
                <w:highlight w:val="none"/>
              </w:rPr>
            </w:pPr>
            <w:r>
              <w:rPr>
                <w:rFonts w:hint="eastAsia" w:ascii="宋体" w:hAnsi="宋体" w:eastAsia="宋体" w:cs="宋体"/>
                <w:color w:val="auto"/>
                <w:highlight w:val="none"/>
              </w:rPr>
              <w:t>磋商时间：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34"/>
              <w:rPr>
                <w:rFonts w:hint="eastAsia" w:ascii="宋体" w:hAnsi="宋体" w:eastAsia="宋体" w:cs="宋体"/>
                <w:color w:val="auto"/>
                <w:highlight w:val="none"/>
              </w:rPr>
            </w:pPr>
          </w:p>
        </w:tc>
      </w:tr>
    </w:tbl>
    <w:p>
      <w:pPr>
        <w:pStyle w:val="34"/>
        <w:rPr>
          <w:rFonts w:hint="eastAsia" w:ascii="宋体" w:hAnsi="宋体" w:eastAsia="宋体" w:cs="宋体"/>
          <w:color w:val="auto"/>
          <w:highlight w:val="none"/>
        </w:rPr>
      </w:pPr>
      <w:bookmarkStart w:id="233" w:name="_Toc6994"/>
      <w:bookmarkStart w:id="234" w:name="_Toc11581"/>
      <w:r>
        <w:rPr>
          <w:rFonts w:hint="eastAsia" w:ascii="宋体" w:hAnsi="宋体" w:eastAsia="宋体" w:cs="宋体"/>
          <w:color w:val="auto"/>
          <w:highlight w:val="none"/>
        </w:rPr>
        <w:br w:type="page"/>
      </w:r>
    </w:p>
    <w:p>
      <w:pPr>
        <w:pStyle w:val="34"/>
        <w:rPr>
          <w:rFonts w:hint="eastAsia" w:ascii="宋体" w:hAnsi="宋体" w:eastAsia="宋体" w:cs="宋体"/>
          <w:color w:val="auto"/>
          <w:highlight w:val="none"/>
        </w:rPr>
      </w:pPr>
      <w:r>
        <w:rPr>
          <w:rFonts w:hint="eastAsia" w:ascii="宋体" w:hAnsi="宋体" w:eastAsia="宋体" w:cs="宋体"/>
          <w:color w:val="auto"/>
          <w:highlight w:val="none"/>
        </w:rPr>
        <w:t>响应文件封面格式</w:t>
      </w:r>
      <w:bookmarkEnd w:id="223"/>
      <w:bookmarkEnd w:id="224"/>
      <w:bookmarkEnd w:id="225"/>
      <w:bookmarkEnd w:id="226"/>
      <w:bookmarkEnd w:id="227"/>
      <w:bookmarkEnd w:id="228"/>
      <w:bookmarkEnd w:id="229"/>
      <w:bookmarkEnd w:id="230"/>
      <w:bookmarkEnd w:id="231"/>
      <w:bookmarkEnd w:id="232"/>
      <w:bookmarkEnd w:id="233"/>
      <w:bookmarkEnd w:id="234"/>
    </w:p>
    <w:p>
      <w:pPr>
        <w:pStyle w:val="34"/>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rPr>
          <w:rFonts w:hint="eastAsia" w:ascii="宋体" w:hAnsi="宋体" w:eastAsia="宋体" w:cs="宋体"/>
          <w:color w:val="auto"/>
          <w:highlight w:val="none"/>
        </w:rPr>
      </w:pPr>
    </w:p>
    <w:p>
      <w:pPr>
        <w:pStyle w:val="34"/>
        <w:spacing w:line="360" w:lineRule="auto"/>
        <w:jc w:val="center"/>
        <w:rPr>
          <w:rFonts w:hint="eastAsia" w:ascii="宋体" w:hAnsi="宋体" w:eastAsia="宋体" w:cs="宋体"/>
          <w:b/>
          <w:bCs/>
          <w:color w:val="auto"/>
          <w:sz w:val="48"/>
          <w:szCs w:val="48"/>
          <w:highlight w:val="none"/>
        </w:rPr>
      </w:pPr>
    </w:p>
    <w:p>
      <w:pPr>
        <w:pStyle w:val="34"/>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资格、资质性及其他类似效力响应文件</w:t>
      </w:r>
    </w:p>
    <w:p>
      <w:pPr>
        <w:pStyle w:val="34"/>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/其他响应文件</w:t>
      </w:r>
    </w:p>
    <w:p>
      <w:pPr>
        <w:pStyle w:val="34"/>
        <w:rPr>
          <w:rFonts w:hint="eastAsia" w:ascii="宋体" w:hAnsi="宋体" w:eastAsia="宋体" w:cs="宋体"/>
          <w:color w:val="auto"/>
          <w:highlight w:val="none"/>
        </w:rPr>
      </w:pPr>
    </w:p>
    <w:p>
      <w:pPr>
        <w:pStyle w:val="34"/>
        <w:spacing w:line="480" w:lineRule="auto"/>
        <w:ind w:left="2400" w:leftChars="1000"/>
        <w:rPr>
          <w:rFonts w:hint="eastAsia" w:ascii="宋体" w:hAnsi="宋体" w:eastAsia="宋体" w:cs="宋体"/>
          <w:b/>
          <w:bCs/>
          <w:color w:val="auto"/>
          <w:sz w:val="32"/>
          <w:szCs w:val="32"/>
          <w:highlight w:val="none"/>
        </w:rPr>
      </w:pPr>
    </w:p>
    <w:p>
      <w:pPr>
        <w:pStyle w:val="34"/>
        <w:spacing w:line="480" w:lineRule="auto"/>
        <w:ind w:left="2400" w:leftChars="1000"/>
        <w:rPr>
          <w:rFonts w:hint="eastAsia" w:ascii="宋体" w:hAnsi="宋体" w:eastAsia="宋体" w:cs="宋体"/>
          <w:b/>
          <w:bCs/>
          <w:color w:val="auto"/>
          <w:sz w:val="32"/>
          <w:szCs w:val="32"/>
          <w:highlight w:val="none"/>
        </w:rPr>
      </w:pPr>
    </w:p>
    <w:p>
      <w:pPr>
        <w:pStyle w:val="34"/>
        <w:spacing w:line="480" w:lineRule="auto"/>
        <w:ind w:left="2400" w:leftChars="1000"/>
        <w:rPr>
          <w:rFonts w:hint="eastAsia" w:ascii="宋体" w:hAnsi="宋体" w:eastAsia="宋体" w:cs="宋体"/>
          <w:b/>
          <w:bCs/>
          <w:color w:val="auto"/>
          <w:sz w:val="32"/>
          <w:szCs w:val="32"/>
          <w:highlight w:val="none"/>
        </w:rPr>
      </w:pPr>
    </w:p>
    <w:p>
      <w:pPr>
        <w:pStyle w:val="34"/>
        <w:spacing w:line="480" w:lineRule="auto"/>
        <w:ind w:left="2400" w:leftChars="1000"/>
        <w:rPr>
          <w:rFonts w:hint="eastAsia" w:ascii="宋体" w:hAnsi="宋体" w:eastAsia="宋体" w:cs="宋体"/>
          <w:b/>
          <w:bCs/>
          <w:color w:val="auto"/>
          <w:sz w:val="32"/>
          <w:szCs w:val="32"/>
          <w:highlight w:val="none"/>
        </w:rPr>
      </w:pPr>
    </w:p>
    <w:p>
      <w:pPr>
        <w:pStyle w:val="34"/>
        <w:spacing w:line="480" w:lineRule="auto"/>
        <w:ind w:left="2400" w:leftChars="10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pStyle w:val="34"/>
        <w:spacing w:line="480" w:lineRule="auto"/>
        <w:ind w:left="2400" w:leftChars="10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pStyle w:val="34"/>
        <w:spacing w:line="480" w:lineRule="auto"/>
        <w:ind w:left="2400" w:leftChars="10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pPr>
        <w:pStyle w:val="34"/>
        <w:spacing w:line="480" w:lineRule="auto"/>
        <w:ind w:left="2400" w:leftChars="10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磋商日期：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pPr>
        <w:pStyle w:val="43"/>
        <w:rPr>
          <w:rFonts w:hint="eastAsia" w:ascii="宋体" w:hAnsi="宋体" w:eastAsia="宋体" w:cs="宋体"/>
          <w:color w:val="auto"/>
          <w:highlight w:val="none"/>
        </w:rPr>
      </w:pPr>
      <w:bookmarkStart w:id="235" w:name="_Toc11556"/>
      <w:bookmarkStart w:id="236" w:name="_Toc31011"/>
      <w:bookmarkStart w:id="237" w:name="_Toc5565"/>
      <w:bookmarkStart w:id="238" w:name="_Toc5306"/>
      <w:r>
        <w:rPr>
          <w:rFonts w:hint="eastAsia" w:ascii="宋体" w:hAnsi="宋体" w:eastAsia="宋体" w:cs="宋体"/>
          <w:color w:val="auto"/>
          <w:highlight w:val="none"/>
        </w:rPr>
        <w:br w:type="page"/>
      </w:r>
    </w:p>
    <w:bookmarkEnd w:id="235"/>
    <w:bookmarkEnd w:id="236"/>
    <w:bookmarkEnd w:id="237"/>
    <w:bookmarkEnd w:id="238"/>
    <w:p>
      <w:pPr>
        <w:pStyle w:val="43"/>
        <w:rPr>
          <w:rFonts w:hint="eastAsia" w:ascii="宋体" w:hAnsi="宋体" w:eastAsia="宋体" w:cs="宋体"/>
          <w:color w:val="auto"/>
          <w:highlight w:val="none"/>
        </w:rPr>
      </w:pPr>
      <w:bookmarkStart w:id="239" w:name="_Toc15611"/>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bookmarkStart w:id="240" w:name="_Toc24630"/>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35"/>
        <w:numPr>
          <w:ilvl w:val="1"/>
          <w:numId w:val="0"/>
        </w:numPr>
        <w:spacing w:before="480" w:beforeLines="200"/>
        <w:jc w:val="center"/>
        <w:rPr>
          <w:rFonts w:hint="eastAsia" w:ascii="宋体" w:hAnsi="宋体" w:eastAsia="宋体" w:cs="宋体"/>
          <w:color w:val="auto"/>
          <w:sz w:val="32"/>
          <w:szCs w:val="32"/>
          <w:highlight w:val="none"/>
        </w:rPr>
      </w:pPr>
      <w:bookmarkStart w:id="241" w:name="_Toc25259"/>
      <w:bookmarkStart w:id="242" w:name="_Toc24442"/>
      <w:r>
        <w:rPr>
          <w:rFonts w:hint="eastAsia" w:ascii="宋体" w:hAnsi="宋体" w:eastAsia="宋体" w:cs="宋体"/>
          <w:color w:val="auto"/>
          <w:sz w:val="32"/>
          <w:szCs w:val="32"/>
          <w:highlight w:val="none"/>
        </w:rPr>
        <w:t>第一部分 资格、资质性及其他类似效力响应文件(格式)</w:t>
      </w:r>
      <w:bookmarkEnd w:id="239"/>
      <w:bookmarkEnd w:id="240"/>
      <w:bookmarkEnd w:id="241"/>
      <w:bookmarkEnd w:id="242"/>
      <w:bookmarkStart w:id="243" w:name="_Toc16168"/>
      <w:bookmarkStart w:id="244" w:name="_Toc23537"/>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43"/>
      <w:bookmarkEnd w:id="244"/>
      <w:bookmarkStart w:id="245" w:name="_Toc26837"/>
      <w:bookmarkStart w:id="246" w:name="_Toc4996"/>
    </w:p>
    <w:p>
      <w:pPr>
        <w:pStyle w:val="44"/>
        <w:numPr>
          <w:ilvl w:val="0"/>
          <w:numId w:val="18"/>
        </w:numPr>
        <w:spacing w:before="120" w:after="120"/>
        <w:ind w:firstLine="0"/>
        <w:rPr>
          <w:rFonts w:hint="eastAsia" w:ascii="宋体" w:hAnsi="宋体" w:eastAsia="宋体" w:cs="宋体"/>
          <w:color w:val="auto"/>
          <w:highlight w:val="none"/>
        </w:rPr>
      </w:pPr>
      <w:bookmarkStart w:id="247" w:name="_Toc32727"/>
      <w:bookmarkStart w:id="248" w:name="_Toc14778"/>
      <w:r>
        <w:rPr>
          <w:rFonts w:hint="eastAsia" w:ascii="宋体" w:hAnsi="宋体" w:eastAsia="宋体" w:cs="宋体"/>
          <w:color w:val="auto"/>
          <w:highlight w:val="none"/>
        </w:rPr>
        <w:t>法定代表人/单位负责人授权书</w:t>
      </w:r>
      <w:bookmarkEnd w:id="245"/>
      <w:bookmarkEnd w:id="246"/>
      <w:bookmarkEnd w:id="247"/>
      <w:bookmarkEnd w:id="248"/>
    </w:p>
    <w:p>
      <w:pPr>
        <w:pStyle w:val="43"/>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本授权声明：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(法定代表人/单位负责人姓名、职务)授权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(被授权人姓名、职务、身份证号码)为我方参加“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)”采购活动的合法代表，以我方名义全权处理参与该项目采购活动、合同签订以及合同履约中的一切事宜，我单位均予承认，所产生的法律后果均由我单位承担。</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3"/>
        <w:rPr>
          <w:rFonts w:hint="eastAsia" w:ascii="宋体" w:hAnsi="宋体" w:eastAsia="宋体" w:cs="宋体"/>
          <w:color w:val="auto"/>
          <w:highlight w:val="none"/>
        </w:rPr>
      </w:pP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注：1.法定代表人/单位负责人不亲自参加磋商，而授权代表参加磋商的适用。</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2.供应商为法人单位时提供“法定代表人授权书”，供应商为其他组织时提供“单位负责人授权书”，供应商为自然人时提供“自然人身份证明材料”。</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3.应附法定代表人/单位负责人身份证明材料复印件和授权代表身份证明材料复印件。</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4.身份证明材料包括居民身份证或户口本或军官证或护照等。</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5.身份证明材料应同时提供其在有效期的材料，如居民身份证正、反面复印件。</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4"/>
        <w:numPr>
          <w:ilvl w:val="0"/>
          <w:numId w:val="19"/>
        </w:numPr>
        <w:spacing w:before="120" w:after="120"/>
        <w:ind w:firstLine="0"/>
        <w:rPr>
          <w:rFonts w:hint="eastAsia" w:ascii="宋体" w:hAnsi="宋体" w:eastAsia="宋体" w:cs="宋体"/>
          <w:color w:val="auto"/>
          <w:highlight w:val="none"/>
        </w:rPr>
      </w:pPr>
      <w:bookmarkStart w:id="249" w:name="_Toc5501"/>
      <w:bookmarkStart w:id="250" w:name="_Toc9688"/>
      <w:bookmarkStart w:id="251" w:name="_Toc9243"/>
      <w:bookmarkStart w:id="252" w:name="_Toc22140"/>
      <w:bookmarkStart w:id="253" w:name="_Toc22355"/>
      <w:bookmarkStart w:id="254" w:name="_Toc17310"/>
      <w:r>
        <w:rPr>
          <w:rFonts w:hint="eastAsia" w:ascii="宋体" w:hAnsi="宋体" w:eastAsia="宋体" w:cs="宋体"/>
          <w:color w:val="auto"/>
          <w:highlight w:val="none"/>
        </w:rPr>
        <w:t>法定代表人/单位负责人证明书</w:t>
      </w:r>
      <w:bookmarkEnd w:id="249"/>
      <w:bookmarkEnd w:id="250"/>
      <w:bookmarkEnd w:id="251"/>
      <w:bookmarkEnd w:id="252"/>
      <w:bookmarkEnd w:id="253"/>
      <w:bookmarkEnd w:id="254"/>
    </w:p>
    <w:p>
      <w:pPr>
        <w:pStyle w:val="46"/>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姓    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本人系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(供应商名称)的法定代表人/单位负责人。就参加你单位组织的“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)”的采购活动、合同签订以及合同履约等一切事宜，我单位均予承认，所产生的法律后果均由我单位承担。</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特此证明。</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(盖章) </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u w:val="single"/>
        </w:rPr>
      </w:pPr>
      <w:r>
        <w:rPr>
          <w:rFonts w:hint="eastAsia" w:ascii="宋体" w:hAnsi="宋体" w:eastAsia="宋体" w:cs="宋体"/>
          <w:color w:val="auto"/>
          <w:highlight w:val="none"/>
        </w:rPr>
        <w:t>磋商日期：</w:t>
      </w:r>
      <w:r>
        <w:rPr>
          <w:rFonts w:hint="eastAsia" w:ascii="宋体" w:hAnsi="宋体" w:eastAsia="宋体" w:cs="宋体"/>
          <w:color w:val="auto"/>
          <w:highlight w:val="none"/>
          <w:u w:val="single"/>
        </w:rPr>
        <w:t xml:space="preserve">             </w:t>
      </w:r>
    </w:p>
    <w:p>
      <w:pPr>
        <w:pStyle w:val="46"/>
        <w:rPr>
          <w:rFonts w:hint="eastAsia" w:ascii="宋体" w:hAnsi="宋体" w:eastAsia="宋体" w:cs="宋体"/>
          <w:color w:val="auto"/>
          <w:highlight w:val="none"/>
        </w:rPr>
      </w:pP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注：1.法定代表人/单位负责人亲自参加磋商时适用本证明书。</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2.应附法定代表人/单位负责人身份证明材料复印件。</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3.身份证明材料包括居民身份证或户口本或军官证或护照等。</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4.身份证明材料应同时提供其在有效期的材料，如居民身份证正、反面复印件。</w:t>
      </w:r>
    </w:p>
    <w:p>
      <w:pPr>
        <w:pStyle w:val="44"/>
        <w:numPr>
          <w:ilvl w:val="0"/>
          <w:numId w:val="19"/>
        </w:numPr>
        <w:spacing w:before="120" w:after="120"/>
        <w:ind w:firstLine="0"/>
        <w:rPr>
          <w:rFonts w:hint="eastAsia" w:ascii="宋体" w:hAnsi="宋体" w:eastAsia="宋体" w:cs="宋体"/>
          <w:color w:val="auto"/>
          <w:highlight w:val="none"/>
        </w:rPr>
      </w:pPr>
      <w:bookmarkStart w:id="255" w:name="_Toc28837"/>
      <w:bookmarkStart w:id="256" w:name="_Toc27626"/>
      <w:bookmarkStart w:id="257" w:name="_Toc22152"/>
      <w:bookmarkStart w:id="258" w:name="_Toc8728"/>
      <w:bookmarkStart w:id="259" w:name="_Toc28397"/>
      <w:bookmarkStart w:id="260" w:name="_Toc3822"/>
      <w:r>
        <w:rPr>
          <w:rFonts w:hint="eastAsia" w:ascii="宋体" w:hAnsi="宋体" w:eastAsia="宋体" w:cs="宋体"/>
          <w:color w:val="auto"/>
          <w:highlight w:val="none"/>
        </w:rPr>
        <w:t>供应商具有独立承担民事责任的能力的证明材料</w:t>
      </w:r>
      <w:bookmarkEnd w:id="255"/>
      <w:bookmarkEnd w:id="256"/>
      <w:bookmarkEnd w:id="257"/>
      <w:bookmarkEnd w:id="258"/>
    </w:p>
    <w:bookmarkEnd w:id="259"/>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供应商：①若为</w:t>
      </w:r>
      <w:r>
        <w:rPr>
          <w:rFonts w:hint="eastAsia" w:ascii="宋体" w:hAnsi="宋体" w:eastAsia="宋体" w:cs="宋体"/>
          <w:b/>
          <w:bCs/>
          <w:color w:val="auto"/>
          <w:highlight w:val="none"/>
        </w:rPr>
        <w:t>企业法人</w:t>
      </w:r>
      <w:r>
        <w:rPr>
          <w:rFonts w:hint="eastAsia" w:ascii="宋体" w:hAnsi="宋体" w:eastAsia="宋体" w:cs="宋体"/>
          <w:color w:val="auto"/>
          <w:highlight w:val="none"/>
        </w:rPr>
        <w:t>：提供“营业执照”副本复印件；未换证的提供“营业执照副本、税务登记证副本、组织机构代码证副本”复印件；②若为</w:t>
      </w:r>
      <w:r>
        <w:rPr>
          <w:rFonts w:hint="eastAsia" w:ascii="宋体" w:hAnsi="宋体" w:eastAsia="宋体" w:cs="宋体"/>
          <w:b/>
          <w:bCs/>
          <w:color w:val="auto"/>
          <w:highlight w:val="none"/>
        </w:rPr>
        <w:t>事业法人</w:t>
      </w:r>
      <w:r>
        <w:rPr>
          <w:rFonts w:hint="eastAsia" w:ascii="宋体" w:hAnsi="宋体" w:eastAsia="宋体" w:cs="宋体"/>
          <w:color w:val="auto"/>
          <w:highlight w:val="none"/>
        </w:rPr>
        <w:t>：提供“统一社会信用代码法人登记证书”复印件；未换证的提交“事业法人登记证书、组织机构代码证”复印件；③若为</w:t>
      </w:r>
      <w:r>
        <w:rPr>
          <w:rFonts w:hint="eastAsia" w:ascii="宋体" w:hAnsi="宋体" w:eastAsia="宋体" w:cs="宋体"/>
          <w:b/>
          <w:bCs/>
          <w:color w:val="auto"/>
          <w:highlight w:val="none"/>
        </w:rPr>
        <w:t>其他组织</w:t>
      </w:r>
      <w:r>
        <w:rPr>
          <w:rFonts w:hint="eastAsia" w:ascii="宋体" w:hAnsi="宋体" w:eastAsia="宋体" w:cs="宋体"/>
          <w:color w:val="auto"/>
          <w:highlight w:val="none"/>
        </w:rPr>
        <w:t>：提供“对应主管部门颁发的准许执业证明文件或营业执照副本”复印件；④若为</w:t>
      </w:r>
      <w:r>
        <w:rPr>
          <w:rFonts w:hint="eastAsia" w:ascii="宋体" w:hAnsi="宋体" w:eastAsia="宋体" w:cs="宋体"/>
          <w:b/>
          <w:bCs/>
          <w:color w:val="auto"/>
          <w:highlight w:val="none"/>
        </w:rPr>
        <w:t>自然人</w:t>
      </w:r>
      <w:r>
        <w:rPr>
          <w:rFonts w:hint="eastAsia" w:ascii="宋体" w:hAnsi="宋体" w:eastAsia="宋体" w:cs="宋体"/>
          <w:color w:val="auto"/>
          <w:highlight w:val="none"/>
        </w:rPr>
        <w:t>：提供“身份证明材料”。</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注：1.以上证明材料应满足此条要求①发证机关有年检要求的，应按规定通过年检；②在有效期内；③复印件加盖供应商公章；</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3.根据国务院办公厅关于加快推进“多证合一”改革的指导意见(国办发〔2017〕41号)等政策要求，若资格要求涉及的登记、备案等有关事项和各类证照已实行多证合一的，提供多证合一证照副本复印件。</w:t>
      </w:r>
      <w:bookmarkEnd w:id="260"/>
    </w:p>
    <w:p>
      <w:pPr>
        <w:pStyle w:val="43"/>
        <w:rPr>
          <w:rFonts w:hint="eastAsia" w:ascii="宋体" w:hAnsi="宋体" w:eastAsia="宋体" w:cs="宋体"/>
          <w:color w:val="auto"/>
          <w:highlight w:val="none"/>
        </w:rPr>
      </w:pPr>
    </w:p>
    <w:p>
      <w:pPr>
        <w:pStyle w:val="44"/>
        <w:numPr>
          <w:ilvl w:val="0"/>
          <w:numId w:val="19"/>
        </w:numPr>
        <w:spacing w:before="120" w:after="120"/>
        <w:ind w:firstLine="0"/>
        <w:rPr>
          <w:rFonts w:hint="eastAsia" w:ascii="宋体" w:hAnsi="宋体" w:eastAsia="宋体" w:cs="宋体"/>
          <w:color w:val="auto"/>
          <w:highlight w:val="none"/>
        </w:rPr>
      </w:pPr>
      <w:bookmarkStart w:id="261" w:name="_Toc29937"/>
      <w:bookmarkStart w:id="262" w:name="_Toc22062"/>
      <w:bookmarkStart w:id="263" w:name="_Toc20143"/>
      <w:bookmarkStart w:id="264" w:name="_Toc28024"/>
      <w:bookmarkStart w:id="265" w:name="_Toc14566"/>
      <w:r>
        <w:rPr>
          <w:rFonts w:hint="eastAsia" w:ascii="宋体" w:hAnsi="宋体" w:eastAsia="宋体" w:cs="宋体"/>
          <w:color w:val="auto"/>
          <w:highlight w:val="none"/>
        </w:rPr>
        <w:t>供应商具有良好的商业信誉和健全的财务会计制度的证明材料</w:t>
      </w:r>
      <w:bookmarkEnd w:id="261"/>
      <w:bookmarkEnd w:id="262"/>
      <w:bookmarkEnd w:id="263"/>
      <w:bookmarkEnd w:id="264"/>
    </w:p>
    <w:bookmarkEnd w:id="265"/>
    <w:p>
      <w:pPr>
        <w:pStyle w:val="46"/>
        <w:rPr>
          <w:rFonts w:hint="eastAsia" w:ascii="宋体" w:hAnsi="宋体" w:eastAsia="宋体" w:cs="宋体"/>
          <w:color w:val="auto"/>
          <w:highlight w:val="none"/>
        </w:rPr>
      </w:pPr>
      <w:r>
        <w:rPr>
          <w:rFonts w:hint="eastAsia" w:ascii="宋体" w:hAnsi="宋体" w:eastAsia="宋体" w:cs="宋体"/>
          <w:color w:val="auto"/>
          <w:highlight w:val="none"/>
        </w:rPr>
        <w:t>1.供应商具有良好商业信誉的证明材料；</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提供具有良好的商业信誉的承诺函。</w:t>
      </w:r>
    </w:p>
    <w:p>
      <w:pPr>
        <w:pStyle w:val="46"/>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注：承诺函</w:t>
      </w:r>
      <w:r>
        <w:rPr>
          <w:rFonts w:hint="eastAsia" w:ascii="宋体" w:hAnsi="宋体" w:eastAsia="宋体" w:cs="宋体"/>
          <w:b/>
          <w:color w:val="auto"/>
          <w:highlight w:val="none"/>
        </w:rPr>
        <w:t>格式自拟，或参照《承诺及声明函》的格式提供</w:t>
      </w:r>
      <w:r>
        <w:rPr>
          <w:rFonts w:hint="eastAsia" w:ascii="宋体" w:hAnsi="宋体" w:eastAsia="宋体" w:cs="宋体"/>
          <w:b/>
          <w:bCs/>
          <w:color w:val="auto"/>
          <w:highlight w:val="none"/>
        </w:rPr>
        <w:t>。</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2.供应商具有健全的财务会计制度的证明材料；</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(1)供应商提供2022年度经过会计师事务所审计的财务报告复印件(经审计的有效财务报告应包括报告及报告中所附的完整内容，并由注册会计师签名、盖章以及会计师事务所盖章)；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(2)供应商提供2022年度供应商内部的财务报表复印件(至少包含资产负债表)；</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(3)供应商提供响应文件递交截止日前一年内银行为其出具的资信证明复印件；</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(4)供应商注册时间截至响应文件递交截止日不足一年的，可提供公司章程复印件；</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(5)供应商提供具有健全的财务会计制度的承诺函。</w:t>
      </w:r>
    </w:p>
    <w:p>
      <w:pPr>
        <w:pStyle w:val="47"/>
        <w:ind w:firstLine="482"/>
        <w:rPr>
          <w:rFonts w:hint="eastAsia" w:ascii="宋体" w:hAnsi="宋体" w:eastAsia="宋体" w:cs="宋体"/>
          <w:color w:val="auto"/>
          <w:highlight w:val="none"/>
        </w:rPr>
      </w:pPr>
      <w:r>
        <w:rPr>
          <w:rFonts w:hint="eastAsia" w:ascii="宋体" w:hAnsi="宋体" w:eastAsia="宋体" w:cs="宋体"/>
          <w:bCs/>
          <w:color w:val="auto"/>
          <w:highlight w:val="none"/>
        </w:rPr>
        <w:t>注：①具有健全的财务会计制度的证明材料中第(1)-(5)项具有同等的磋商效力，供应商可根据自身实际情况选择提供其中任意一项。②承诺函</w:t>
      </w:r>
      <w:r>
        <w:rPr>
          <w:rFonts w:hint="eastAsia" w:ascii="宋体" w:hAnsi="宋体" w:eastAsia="宋体" w:cs="宋体"/>
          <w:color w:val="auto"/>
          <w:highlight w:val="none"/>
        </w:rPr>
        <w:t>格式自拟，或参照《承诺及声明函》的格式提供。</w:t>
      </w:r>
    </w:p>
    <w:p>
      <w:pPr>
        <w:pStyle w:val="47"/>
        <w:ind w:firstLine="482"/>
        <w:rPr>
          <w:rFonts w:hint="eastAsia" w:ascii="宋体" w:hAnsi="宋体" w:eastAsia="宋体" w:cs="宋体"/>
          <w:color w:val="auto"/>
          <w:highlight w:val="none"/>
        </w:rPr>
      </w:pPr>
    </w:p>
    <w:p>
      <w:pPr>
        <w:pStyle w:val="44"/>
        <w:numPr>
          <w:ilvl w:val="0"/>
          <w:numId w:val="19"/>
        </w:numPr>
        <w:spacing w:before="120" w:after="120"/>
        <w:ind w:firstLine="0"/>
        <w:rPr>
          <w:rFonts w:hint="eastAsia" w:ascii="宋体" w:hAnsi="宋体" w:eastAsia="宋体" w:cs="宋体"/>
          <w:color w:val="auto"/>
          <w:highlight w:val="none"/>
        </w:rPr>
      </w:pPr>
      <w:bookmarkStart w:id="266" w:name="_Toc17744"/>
      <w:bookmarkStart w:id="267" w:name="_Toc9358"/>
      <w:bookmarkStart w:id="268" w:name="_Toc19866"/>
      <w:bookmarkStart w:id="269" w:name="_Toc19126"/>
      <w:bookmarkStart w:id="270" w:name="_Toc5443"/>
      <w:r>
        <w:rPr>
          <w:rFonts w:hint="eastAsia" w:ascii="宋体" w:hAnsi="宋体" w:eastAsia="宋体" w:cs="宋体"/>
          <w:color w:val="auto"/>
          <w:highlight w:val="none"/>
        </w:rPr>
        <w:t>供应商有依法缴纳税收和社会保障资金的良好记录的证明材料</w:t>
      </w:r>
      <w:bookmarkEnd w:id="266"/>
      <w:bookmarkEnd w:id="267"/>
      <w:bookmarkEnd w:id="268"/>
      <w:bookmarkEnd w:id="269"/>
    </w:p>
    <w:bookmarkEnd w:id="270"/>
    <w:p>
      <w:pPr>
        <w:pStyle w:val="46"/>
        <w:rPr>
          <w:rFonts w:hint="eastAsia" w:ascii="宋体" w:hAnsi="宋体" w:eastAsia="宋体" w:cs="宋体"/>
          <w:color w:val="auto"/>
          <w:highlight w:val="none"/>
        </w:rPr>
      </w:pPr>
      <w:r>
        <w:rPr>
          <w:rFonts w:hint="eastAsia" w:ascii="宋体" w:hAnsi="宋体" w:eastAsia="宋体" w:cs="宋体"/>
          <w:color w:val="auto"/>
          <w:highlight w:val="none"/>
        </w:rPr>
        <w:t>提供有</w:t>
      </w:r>
      <w:r>
        <w:rPr>
          <w:rFonts w:hint="eastAsia" w:ascii="宋体" w:hAnsi="宋体" w:eastAsia="宋体" w:cs="宋体"/>
          <w:color w:val="auto"/>
          <w:highlight w:val="none"/>
          <w:lang w:val="zh-CN"/>
        </w:rPr>
        <w:t>依法缴纳税收和社会保障资金的良好记录</w:t>
      </w:r>
      <w:r>
        <w:rPr>
          <w:rFonts w:hint="eastAsia" w:ascii="宋体" w:hAnsi="宋体" w:eastAsia="宋体" w:cs="宋体"/>
          <w:color w:val="auto"/>
          <w:highlight w:val="none"/>
        </w:rPr>
        <w:t>的承诺函。</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highlight w:val="none"/>
        </w:rPr>
        <w:t>承诺函</w:t>
      </w:r>
      <w:r>
        <w:rPr>
          <w:rFonts w:hint="eastAsia" w:ascii="宋体" w:hAnsi="宋体" w:eastAsia="宋体" w:cs="宋体"/>
          <w:color w:val="auto"/>
          <w:highlight w:val="none"/>
        </w:rPr>
        <w:t>格式自拟，或参照《承诺及声明函》的格式提供。</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4"/>
        <w:numPr>
          <w:ilvl w:val="0"/>
          <w:numId w:val="19"/>
        </w:numPr>
        <w:spacing w:before="120" w:after="120"/>
        <w:ind w:firstLine="0"/>
        <w:rPr>
          <w:rFonts w:hint="eastAsia" w:ascii="宋体" w:hAnsi="宋体" w:eastAsia="宋体" w:cs="宋体"/>
          <w:color w:val="auto"/>
          <w:highlight w:val="none"/>
        </w:rPr>
      </w:pPr>
      <w:bookmarkStart w:id="271" w:name="_Toc16336"/>
      <w:bookmarkStart w:id="272" w:name="_Toc6093"/>
      <w:bookmarkStart w:id="273" w:name="_Toc11767"/>
      <w:bookmarkStart w:id="274" w:name="_Toc15870"/>
      <w:r>
        <w:rPr>
          <w:rFonts w:hint="eastAsia" w:ascii="宋体" w:hAnsi="宋体" w:eastAsia="宋体" w:cs="宋体"/>
          <w:color w:val="auto"/>
          <w:highlight w:val="none"/>
        </w:rPr>
        <w:t>供应商具有履行合同所必需的设备和专业技术能力证明材料</w:t>
      </w:r>
      <w:bookmarkEnd w:id="271"/>
      <w:bookmarkEnd w:id="272"/>
      <w:bookmarkEnd w:id="273"/>
      <w:bookmarkEnd w:id="274"/>
    </w:p>
    <w:p>
      <w:pPr>
        <w:pStyle w:val="46"/>
        <w:rPr>
          <w:rFonts w:hint="eastAsia" w:ascii="宋体" w:hAnsi="宋体" w:eastAsia="宋体" w:cs="宋体"/>
          <w:color w:val="auto"/>
          <w:highlight w:val="none"/>
        </w:rPr>
      </w:pPr>
      <w:r>
        <w:rPr>
          <w:rFonts w:hint="eastAsia" w:ascii="宋体" w:hAnsi="宋体" w:eastAsia="宋体" w:cs="宋体"/>
          <w:color w:val="auto"/>
          <w:highlight w:val="none"/>
        </w:rPr>
        <w:t>提供具有履行合同所必需的设备和专业技术能力的承诺函。</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highlight w:val="none"/>
        </w:rPr>
        <w:t>承诺函</w:t>
      </w:r>
      <w:r>
        <w:rPr>
          <w:rFonts w:hint="eastAsia" w:ascii="宋体" w:hAnsi="宋体" w:eastAsia="宋体" w:cs="宋体"/>
          <w:color w:val="auto"/>
          <w:highlight w:val="none"/>
        </w:rPr>
        <w:t>格式自拟，或参照《承诺及声明函》的格式提供。</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4"/>
        <w:numPr>
          <w:ilvl w:val="0"/>
          <w:numId w:val="19"/>
        </w:numPr>
        <w:spacing w:before="120" w:after="120"/>
        <w:ind w:firstLine="0"/>
        <w:rPr>
          <w:rFonts w:hint="eastAsia" w:ascii="宋体" w:hAnsi="宋体" w:eastAsia="宋体" w:cs="宋体"/>
          <w:color w:val="auto"/>
          <w:highlight w:val="none"/>
        </w:rPr>
      </w:pPr>
      <w:bookmarkStart w:id="275" w:name="_Toc22224"/>
      <w:bookmarkStart w:id="276" w:name="_Toc21379"/>
      <w:bookmarkStart w:id="277" w:name="_Toc8813"/>
      <w:r>
        <w:rPr>
          <w:rFonts w:hint="eastAsia" w:ascii="宋体" w:hAnsi="宋体" w:eastAsia="宋体" w:cs="宋体"/>
          <w:color w:val="auto"/>
          <w:highlight w:val="none"/>
        </w:rPr>
        <w:t>供应商参加采购活动前三年内，在经营活动中没有重大违法记录的证明材料</w:t>
      </w:r>
      <w:bookmarkEnd w:id="275"/>
      <w:bookmarkEnd w:id="276"/>
      <w:bookmarkEnd w:id="277"/>
    </w:p>
    <w:p>
      <w:pPr>
        <w:pStyle w:val="46"/>
        <w:rPr>
          <w:rFonts w:hint="eastAsia" w:ascii="宋体" w:hAnsi="宋体" w:eastAsia="宋体" w:cs="宋体"/>
          <w:color w:val="auto"/>
          <w:highlight w:val="none"/>
        </w:rPr>
      </w:pPr>
      <w:bookmarkStart w:id="278" w:name="_Toc14299"/>
      <w:bookmarkStart w:id="279" w:name="_Toc9591"/>
      <w:r>
        <w:rPr>
          <w:rFonts w:hint="eastAsia" w:ascii="宋体" w:hAnsi="宋体" w:eastAsia="宋体" w:cs="宋体"/>
          <w:color w:val="auto"/>
          <w:highlight w:val="none"/>
        </w:rPr>
        <w:t>提供参加本次采购活动前三年内，在经营活动中没有重大违法记录的书面声明(成立不足三年的，从成立之日起计算)。</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highlight w:val="none"/>
        </w:rPr>
        <w:t>承诺函</w:t>
      </w:r>
      <w:r>
        <w:rPr>
          <w:rFonts w:hint="eastAsia" w:ascii="宋体" w:hAnsi="宋体" w:eastAsia="宋体" w:cs="宋体"/>
          <w:color w:val="auto"/>
          <w:highlight w:val="none"/>
        </w:rPr>
        <w:t>格式自拟，或参照《承诺及声明函》的格式提供。</w:t>
      </w:r>
    </w:p>
    <w:p>
      <w:pPr>
        <w:pStyle w:val="44"/>
        <w:numPr>
          <w:ilvl w:val="0"/>
          <w:numId w:val="19"/>
        </w:numPr>
        <w:spacing w:before="120" w:after="120"/>
        <w:ind w:firstLine="0"/>
        <w:rPr>
          <w:rFonts w:hint="eastAsia" w:ascii="宋体" w:hAnsi="宋体" w:eastAsia="宋体" w:cs="宋体"/>
          <w:color w:val="auto"/>
          <w:highlight w:val="none"/>
          <w:lang w:val="zh-CN"/>
        </w:rPr>
      </w:pPr>
      <w:bookmarkStart w:id="280" w:name="_Toc3840"/>
      <w:bookmarkStart w:id="281" w:name="_Toc17558"/>
      <w:bookmarkStart w:id="282" w:name="_Toc19602"/>
      <w:bookmarkStart w:id="283" w:name="_Toc25846"/>
      <w:r>
        <w:rPr>
          <w:rFonts w:hint="eastAsia" w:ascii="宋体" w:hAnsi="宋体" w:eastAsia="宋体" w:cs="宋体"/>
          <w:color w:val="auto"/>
          <w:w w:val="95"/>
          <w:highlight w:val="none"/>
        </w:rPr>
        <w:t>供应商单位</w:t>
      </w:r>
      <w:r>
        <w:rPr>
          <w:rFonts w:hint="eastAsia" w:ascii="宋体" w:hAnsi="宋体" w:eastAsia="宋体" w:cs="宋体"/>
          <w:color w:val="auto"/>
          <w:w w:val="95"/>
          <w:highlight w:val="none"/>
          <w:lang w:val="zh-CN"/>
        </w:rPr>
        <w:t>及其现任法定代表人、主要负责人不得具有行贿犯罪记录</w:t>
      </w:r>
      <w:r>
        <w:rPr>
          <w:rFonts w:hint="eastAsia" w:ascii="宋体" w:hAnsi="宋体" w:eastAsia="宋体" w:cs="宋体"/>
          <w:color w:val="auto"/>
          <w:w w:val="95"/>
          <w:highlight w:val="none"/>
        </w:rPr>
        <w:t>的</w:t>
      </w:r>
      <w:bookmarkEnd w:id="280"/>
      <w:bookmarkEnd w:id="281"/>
      <w:r>
        <w:rPr>
          <w:rFonts w:hint="eastAsia" w:ascii="宋体" w:hAnsi="宋体" w:eastAsia="宋体" w:cs="宋体"/>
          <w:color w:val="auto"/>
          <w:w w:val="95"/>
          <w:highlight w:val="none"/>
        </w:rPr>
        <w:t>承诺函</w:t>
      </w:r>
      <w:bookmarkEnd w:id="282"/>
      <w:bookmarkEnd w:id="283"/>
    </w:p>
    <w:bookmarkEnd w:id="278"/>
    <w:bookmarkEnd w:id="279"/>
    <w:p>
      <w:pPr>
        <w:pStyle w:val="43"/>
        <w:rPr>
          <w:rFonts w:hint="eastAsia" w:ascii="宋体" w:hAnsi="宋体" w:eastAsia="宋体" w:cs="宋体"/>
          <w:color w:val="auto"/>
          <w:highlight w:val="none"/>
        </w:rPr>
      </w:pPr>
      <w:bookmarkStart w:id="284" w:name="_Toc8455"/>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pStyle w:val="43"/>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我单位作为本次采购项目的供应商，根据磋商文件要求，现郑重承诺如下：</w:t>
      </w:r>
    </w:p>
    <w:p>
      <w:pPr>
        <w:pStyle w:val="46"/>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(供应商名称)及其现任法定代表人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(身份证号码)，主要负责人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(无行贿犯罪记录的期限)均无行贿犯罪记录。</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本单位对上述承诺的内容事项真实性、合法性负责。如经查实上述承诺的内容事项存在虚假，我单位自愿接受以提供虚假材料谋取成交所带来的所有法律责任。</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63"/>
        <w:numPr>
          <w:ilvl w:val="3"/>
          <w:numId w:val="0"/>
        </w:numPr>
        <w:ind w:firstLine="482" w:firstLineChars="200"/>
        <w:jc w:val="both"/>
        <w:rPr>
          <w:rFonts w:hint="eastAsia" w:ascii="宋体" w:hAnsi="宋体" w:eastAsia="宋体" w:cs="宋体"/>
          <w:b/>
          <w:bCs/>
          <w:color w:val="auto"/>
          <w:highlight w:val="none"/>
        </w:rPr>
      </w:pPr>
    </w:p>
    <w:p>
      <w:pPr>
        <w:pStyle w:val="63"/>
        <w:numPr>
          <w:ilvl w:val="3"/>
          <w:numId w:val="0"/>
        </w:numPr>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注：供应商成立时间超过十年的，在“无行贿犯罪记录的期限”处填写“十年内”；供应商成立时间不足十年的，在“无行贿犯罪记录的期限”处填写“自我单位成立之日起至今”。</w:t>
      </w:r>
    </w:p>
    <w:p>
      <w:pPr>
        <w:pStyle w:val="43"/>
        <w:rPr>
          <w:rFonts w:hint="eastAsia" w:ascii="宋体" w:hAnsi="宋体" w:eastAsia="宋体" w:cs="宋体"/>
          <w:color w:val="auto"/>
          <w:highlight w:val="none"/>
          <w:lang w:val="zh-CN"/>
        </w:rPr>
      </w:pP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84"/>
      <w:bookmarkStart w:id="285" w:name="_Toc2151"/>
    </w:p>
    <w:bookmarkEnd w:id="285"/>
    <w:p>
      <w:pPr>
        <w:pStyle w:val="44"/>
        <w:numPr>
          <w:ilvl w:val="0"/>
          <w:numId w:val="19"/>
        </w:numPr>
        <w:spacing w:before="120" w:after="120"/>
        <w:ind w:firstLine="0"/>
        <w:rPr>
          <w:rFonts w:hint="eastAsia" w:ascii="宋体" w:hAnsi="宋体" w:eastAsia="宋体" w:cs="宋体"/>
          <w:color w:val="auto"/>
          <w:highlight w:val="none"/>
        </w:rPr>
      </w:pPr>
      <w:bookmarkStart w:id="286" w:name="_Toc15054"/>
      <w:bookmarkStart w:id="287" w:name="_Toc20743"/>
      <w:bookmarkStart w:id="288" w:name="_Toc22692"/>
      <w:bookmarkStart w:id="289" w:name="_Toc4865"/>
      <w:bookmarkStart w:id="290" w:name="_Toc19166"/>
      <w:r>
        <w:rPr>
          <w:rFonts w:hint="eastAsia" w:ascii="宋体" w:hAnsi="宋体" w:eastAsia="宋体" w:cs="宋体"/>
          <w:color w:val="auto"/>
          <w:highlight w:val="none"/>
        </w:rPr>
        <w:t>根据采购项目的特殊要求，规定供应商提供的特定条件</w:t>
      </w:r>
      <w:bookmarkEnd w:id="286"/>
      <w:r>
        <w:rPr>
          <w:rFonts w:hint="eastAsia" w:ascii="宋体" w:hAnsi="宋体" w:eastAsia="宋体" w:cs="宋体"/>
          <w:color w:val="auto"/>
          <w:highlight w:val="none"/>
        </w:rPr>
        <w:t>的证明材料</w:t>
      </w:r>
      <w:bookmarkEnd w:id="287"/>
      <w:bookmarkEnd w:id="288"/>
      <w:bookmarkEnd w:id="289"/>
      <w:bookmarkEnd w:id="290"/>
    </w:p>
    <w:p>
      <w:pPr>
        <w:pStyle w:val="46"/>
        <w:rPr>
          <w:rFonts w:hint="eastAsia" w:ascii="宋体" w:hAnsi="宋体" w:eastAsia="宋体" w:cs="宋体"/>
          <w:color w:val="auto"/>
          <w:highlight w:val="none"/>
        </w:rPr>
      </w:pPr>
      <w:r>
        <w:rPr>
          <w:rFonts w:hint="eastAsia" w:ascii="宋体" w:hAnsi="宋体" w:eastAsia="宋体" w:cs="宋体"/>
          <w:color w:val="auto"/>
          <w:highlight w:val="none"/>
        </w:rPr>
        <w:t>提供未与其他供应商组成联合体参与本次采购活动的承诺函。</w:t>
      </w:r>
    </w:p>
    <w:p>
      <w:pPr>
        <w:pStyle w:val="46"/>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注：承诺函</w:t>
      </w:r>
      <w:r>
        <w:rPr>
          <w:rFonts w:hint="eastAsia" w:ascii="宋体" w:hAnsi="宋体" w:eastAsia="宋体" w:cs="宋体"/>
          <w:b/>
          <w:color w:val="auto"/>
          <w:highlight w:val="none"/>
        </w:rPr>
        <w:t>格式自拟，或参照《承诺及声明函》的格式提供</w:t>
      </w:r>
      <w:r>
        <w:rPr>
          <w:rFonts w:hint="eastAsia" w:ascii="宋体" w:hAnsi="宋体" w:eastAsia="宋体" w:cs="宋体"/>
          <w:b/>
          <w:bCs/>
          <w:color w:val="auto"/>
          <w:highlight w:val="none"/>
        </w:rPr>
        <w:t>。</w:t>
      </w:r>
    </w:p>
    <w:p>
      <w:pPr>
        <w:pStyle w:val="46"/>
        <w:rPr>
          <w:rFonts w:hint="eastAsia" w:ascii="宋体" w:hAnsi="宋体" w:eastAsia="宋体" w:cs="宋体"/>
          <w:color w:val="auto"/>
          <w:highlight w:val="none"/>
        </w:rPr>
      </w:pPr>
    </w:p>
    <w:p>
      <w:pPr>
        <w:pStyle w:val="44"/>
        <w:numPr>
          <w:ilvl w:val="0"/>
          <w:numId w:val="19"/>
        </w:numPr>
        <w:spacing w:before="120" w:after="120"/>
        <w:ind w:firstLine="0"/>
        <w:rPr>
          <w:rFonts w:hint="eastAsia" w:ascii="宋体" w:hAnsi="宋体" w:eastAsia="宋体" w:cs="宋体"/>
          <w:color w:val="auto"/>
          <w:w w:val="95"/>
          <w:highlight w:val="none"/>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start="1"/>
          <w:cols w:space="0" w:num="1"/>
          <w:titlePg/>
          <w:docGrid w:linePitch="312" w:charSpace="0"/>
        </w:sectPr>
      </w:pPr>
      <w:bookmarkStart w:id="291" w:name="_Toc22568"/>
      <w:bookmarkStart w:id="292" w:name="_Toc15708"/>
      <w:bookmarkStart w:id="293" w:name="_Toc21855"/>
    </w:p>
    <w:p>
      <w:pPr>
        <w:pStyle w:val="44"/>
        <w:numPr>
          <w:ilvl w:val="0"/>
          <w:numId w:val="19"/>
        </w:numPr>
        <w:spacing w:before="120" w:after="120"/>
        <w:ind w:firstLine="0"/>
        <w:rPr>
          <w:rFonts w:hint="eastAsia" w:ascii="宋体" w:hAnsi="宋体" w:eastAsia="宋体" w:cs="宋体"/>
          <w:color w:val="auto"/>
          <w:kern w:val="0"/>
          <w:szCs w:val="20"/>
          <w:highlight w:val="none"/>
        </w:rPr>
      </w:pPr>
      <w:bookmarkStart w:id="294" w:name="_Toc26008"/>
      <w:bookmarkStart w:id="295" w:name="_Toc30356"/>
      <w:bookmarkStart w:id="296" w:name="_Toc9275"/>
      <w:bookmarkStart w:id="297" w:name="_Toc29189"/>
      <w:bookmarkStart w:id="298" w:name="_Toc23401"/>
      <w:bookmarkStart w:id="299" w:name="_Toc9970"/>
      <w:bookmarkStart w:id="300" w:name="_Toc9851"/>
      <w:bookmarkStart w:id="301" w:name="_Toc9728"/>
      <w:bookmarkStart w:id="302" w:name="_Toc30324"/>
      <w:bookmarkStart w:id="303" w:name="_Toc68"/>
      <w:bookmarkStart w:id="304" w:name="_Toc22289"/>
      <w:bookmarkStart w:id="305" w:name="_Toc32118"/>
      <w:r>
        <w:rPr>
          <w:rFonts w:hint="eastAsia" w:ascii="宋体" w:hAnsi="宋体" w:eastAsia="宋体" w:cs="宋体"/>
          <w:color w:val="auto"/>
          <w:kern w:val="0"/>
          <w:szCs w:val="20"/>
          <w:highlight w:val="none"/>
        </w:rPr>
        <w:t>提供有效的磋商保证金提交凭证</w:t>
      </w:r>
      <w:bookmarkEnd w:id="294"/>
      <w:bookmarkEnd w:id="295"/>
      <w:bookmarkEnd w:id="296"/>
      <w:bookmarkEnd w:id="297"/>
      <w:bookmarkEnd w:id="298"/>
      <w:bookmarkEnd w:id="299"/>
      <w:bookmarkEnd w:id="300"/>
      <w:bookmarkEnd w:id="301"/>
      <w:bookmarkEnd w:id="302"/>
      <w:bookmarkEnd w:id="303"/>
      <w:bookmarkEnd w:id="304"/>
      <w:bookmarkEnd w:id="305"/>
    </w:p>
    <w:p>
      <w:pPr>
        <w:tabs>
          <w:tab w:val="left" w:pos="3674"/>
        </w:tabs>
        <w:ind w:firstLine="480" w:firstLineChars="200"/>
        <w:rPr>
          <w:rFonts w:hint="eastAsia" w:ascii="宋体" w:hAnsi="宋体" w:eastAsia="宋体" w:cs="宋体"/>
          <w:b/>
          <w:color w:val="auto"/>
          <w:w w:val="95"/>
          <w:kern w:val="0"/>
          <w:sz w:val="28"/>
          <w:szCs w:val="20"/>
          <w:highlight w:val="none"/>
        </w:rPr>
      </w:pPr>
      <w:r>
        <w:rPr>
          <w:rFonts w:hint="eastAsia" w:ascii="宋体" w:hAnsi="宋体" w:eastAsia="宋体" w:cs="宋体"/>
          <w:color w:val="auto"/>
          <w:highlight w:val="none"/>
        </w:rPr>
        <w:t>提交磋商保证金的银行回单复印件(若以保函方式提交磋商保证金的，提供保函原件)。</w:t>
      </w:r>
    </w:p>
    <w:p>
      <w:pPr>
        <w:pStyle w:val="44"/>
        <w:numPr>
          <w:ilvl w:val="0"/>
          <w:numId w:val="19"/>
        </w:numPr>
        <w:spacing w:before="120" w:after="120"/>
        <w:ind w:firstLine="0"/>
        <w:rPr>
          <w:rFonts w:hint="eastAsia" w:ascii="宋体" w:hAnsi="宋体" w:eastAsia="宋体" w:cs="宋体"/>
          <w:color w:val="auto"/>
          <w:w w:val="95"/>
          <w:highlight w:val="none"/>
        </w:rPr>
        <w:sectPr>
          <w:pgSz w:w="11906" w:h="16838"/>
          <w:pgMar w:top="1440" w:right="1080" w:bottom="1440" w:left="1080" w:header="851" w:footer="992" w:gutter="0"/>
          <w:pgNumType w:fmt="decimal"/>
          <w:cols w:space="0" w:num="1"/>
          <w:titlePg/>
          <w:docGrid w:linePitch="312" w:charSpace="0"/>
        </w:sectPr>
      </w:pPr>
    </w:p>
    <w:p>
      <w:pPr>
        <w:pStyle w:val="44"/>
        <w:numPr>
          <w:ilvl w:val="0"/>
          <w:numId w:val="19"/>
        </w:numPr>
        <w:spacing w:before="120" w:after="120"/>
        <w:ind w:firstLine="0"/>
        <w:rPr>
          <w:rFonts w:hint="eastAsia" w:ascii="宋体" w:hAnsi="宋体" w:eastAsia="宋体" w:cs="宋体"/>
          <w:color w:val="auto"/>
          <w:w w:val="95"/>
          <w:highlight w:val="none"/>
        </w:rPr>
      </w:pPr>
      <w:bookmarkStart w:id="306" w:name="_Toc3838"/>
      <w:r>
        <w:rPr>
          <w:rFonts w:hint="eastAsia" w:ascii="宋体" w:hAnsi="宋体" w:eastAsia="宋体" w:cs="宋体"/>
          <w:color w:val="auto"/>
          <w:w w:val="95"/>
          <w:highlight w:val="none"/>
        </w:rPr>
        <w:t>承诺及声明函</w:t>
      </w:r>
      <w:bookmarkEnd w:id="291"/>
      <w:bookmarkEnd w:id="292"/>
      <w:bookmarkEnd w:id="293"/>
      <w:bookmarkEnd w:id="306"/>
    </w:p>
    <w:p>
      <w:pPr>
        <w:pStyle w:val="43"/>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pStyle w:val="43"/>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我单位作为本次采购项目的供应商，根据磋商文件要求，现郑重承诺及声明如下：</w:t>
      </w:r>
    </w:p>
    <w:p>
      <w:pPr>
        <w:pStyle w:val="36"/>
        <w:numPr>
          <w:ilvl w:val="2"/>
          <w:numId w:val="20"/>
        </w:num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具有良好的商业信誉和健全的财务会计制度； </w:t>
      </w:r>
    </w:p>
    <w:p>
      <w:pPr>
        <w:pStyle w:val="36"/>
        <w:numPr>
          <w:ilvl w:val="2"/>
          <w:numId w:val="20"/>
        </w:num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具有履行合同所必需的设备和专业技术能力； </w:t>
      </w:r>
    </w:p>
    <w:p>
      <w:pPr>
        <w:pStyle w:val="36"/>
        <w:numPr>
          <w:ilvl w:val="2"/>
          <w:numId w:val="20"/>
        </w:num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有依法缴纳税收和社会保障资金的良好记录； </w:t>
      </w:r>
    </w:p>
    <w:p>
      <w:pPr>
        <w:pStyle w:val="36"/>
        <w:numPr>
          <w:ilvl w:val="2"/>
          <w:numId w:val="20"/>
        </w:numPr>
        <w:ind w:firstLine="480"/>
        <w:rPr>
          <w:rFonts w:hint="eastAsia" w:ascii="宋体" w:hAnsi="宋体" w:eastAsia="宋体" w:cs="宋体"/>
          <w:color w:val="auto"/>
          <w:highlight w:val="none"/>
        </w:rPr>
      </w:pPr>
      <w:r>
        <w:rPr>
          <w:rFonts w:hint="eastAsia" w:ascii="宋体" w:hAnsi="宋体" w:eastAsia="宋体" w:cs="宋体"/>
          <w:color w:val="auto"/>
          <w:highlight w:val="none"/>
        </w:rPr>
        <w:t>参加本次采购活动前三年内，在经营活动中没有重大违法记录(供应商成立不足三年的，从成立之日起计算)；</w:t>
      </w:r>
    </w:p>
    <w:p>
      <w:pPr>
        <w:pStyle w:val="36"/>
        <w:numPr>
          <w:ilvl w:val="2"/>
          <w:numId w:val="20"/>
        </w:numPr>
        <w:ind w:firstLine="480"/>
        <w:rPr>
          <w:rFonts w:hint="eastAsia" w:ascii="宋体" w:hAnsi="宋体" w:eastAsia="宋体" w:cs="宋体"/>
          <w:color w:val="auto"/>
          <w:highlight w:val="none"/>
        </w:rPr>
      </w:pPr>
      <w:r>
        <w:rPr>
          <w:rFonts w:hint="eastAsia" w:ascii="宋体" w:hAnsi="宋体" w:eastAsia="宋体" w:cs="宋体"/>
          <w:color w:val="auto"/>
          <w:highlight w:val="none"/>
        </w:rPr>
        <w:t>符合法律、行政法规规定的其他条件；</w:t>
      </w:r>
    </w:p>
    <w:p>
      <w:pPr>
        <w:pStyle w:val="36"/>
        <w:numPr>
          <w:ilvl w:val="2"/>
          <w:numId w:val="20"/>
        </w:numPr>
        <w:ind w:firstLine="480"/>
        <w:rPr>
          <w:rFonts w:hint="eastAsia" w:ascii="宋体" w:hAnsi="宋体" w:eastAsia="宋体" w:cs="宋体"/>
          <w:color w:val="auto"/>
          <w:highlight w:val="none"/>
        </w:rPr>
      </w:pPr>
      <w:r>
        <w:rPr>
          <w:rFonts w:hint="eastAsia" w:ascii="宋体" w:hAnsi="宋体" w:eastAsia="宋体" w:cs="宋体"/>
          <w:color w:val="auto"/>
          <w:highlight w:val="none"/>
        </w:rPr>
        <w:t>未与其他供应商组成联合体参与本次采购活动。</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本单位对上述承诺的内容事项真实性、合法性负责。如经查实上述承诺的内容事项存在虚假，我单位自愿接受以提供虚假材料谋取成交所带来的所有法律责任。</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注：本部分所要求的承诺函可参照本格式或自拟格式填写均有效。</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3"/>
        <w:rPr>
          <w:rFonts w:hint="eastAsia" w:ascii="宋体" w:hAnsi="宋体" w:eastAsia="宋体" w:cs="宋体"/>
          <w:color w:val="auto"/>
          <w:highlight w:val="none"/>
        </w:rPr>
      </w:pPr>
      <w:bookmarkStart w:id="307" w:name="_Toc18702"/>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bookmarkStart w:id="308" w:name="_Toc14607"/>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35"/>
        <w:numPr>
          <w:ilvl w:val="1"/>
          <w:numId w:val="0"/>
        </w:numPr>
        <w:jc w:val="center"/>
        <w:rPr>
          <w:rFonts w:hint="eastAsia" w:ascii="宋体" w:hAnsi="宋体" w:eastAsia="宋体" w:cs="宋体"/>
          <w:color w:val="auto"/>
          <w:sz w:val="32"/>
          <w:szCs w:val="32"/>
          <w:highlight w:val="none"/>
        </w:rPr>
      </w:pPr>
      <w:bookmarkStart w:id="309" w:name="_Toc14527"/>
      <w:bookmarkStart w:id="310" w:name="_Toc1758"/>
      <w:r>
        <w:rPr>
          <w:rFonts w:hint="eastAsia" w:ascii="宋体" w:hAnsi="宋体" w:eastAsia="宋体" w:cs="宋体"/>
          <w:color w:val="auto"/>
          <w:sz w:val="32"/>
          <w:szCs w:val="32"/>
          <w:highlight w:val="none"/>
        </w:rPr>
        <w:t>第二部分 其他响应文件(格式)</w:t>
      </w:r>
      <w:bookmarkEnd w:id="308"/>
      <w:bookmarkEnd w:id="309"/>
      <w:bookmarkEnd w:id="310"/>
    </w:p>
    <w:p>
      <w:pPr>
        <w:pStyle w:val="43"/>
        <w:rPr>
          <w:rFonts w:hint="eastAsia" w:ascii="宋体" w:hAnsi="宋体" w:eastAsia="宋体" w:cs="宋体"/>
          <w:color w:val="auto"/>
          <w:highlight w:val="none"/>
        </w:rPr>
      </w:pPr>
      <w:bookmarkStart w:id="311" w:name="_Toc26038"/>
      <w:r>
        <w:rPr>
          <w:rFonts w:hint="eastAsia" w:ascii="宋体" w:hAnsi="宋体" w:eastAsia="宋体" w:cs="宋体"/>
          <w:color w:val="auto"/>
          <w:highlight w:val="none"/>
        </w:rPr>
        <w:br w:type="page"/>
      </w:r>
    </w:p>
    <w:p>
      <w:pPr>
        <w:pStyle w:val="44"/>
        <w:numPr>
          <w:ilvl w:val="0"/>
          <w:numId w:val="21"/>
        </w:numPr>
        <w:spacing w:before="120" w:after="120"/>
        <w:ind w:firstLine="0"/>
        <w:rPr>
          <w:rFonts w:hint="eastAsia" w:ascii="宋体" w:hAnsi="宋体" w:eastAsia="宋体" w:cs="宋体"/>
          <w:color w:val="auto"/>
          <w:highlight w:val="none"/>
        </w:rPr>
      </w:pPr>
      <w:bookmarkStart w:id="312" w:name="_Toc10742"/>
      <w:bookmarkStart w:id="313" w:name="_Toc4208"/>
      <w:bookmarkStart w:id="314" w:name="_Toc2311"/>
      <w:r>
        <w:rPr>
          <w:rFonts w:hint="eastAsia" w:ascii="宋体" w:hAnsi="宋体" w:eastAsia="宋体" w:cs="宋体"/>
          <w:color w:val="auto"/>
          <w:highlight w:val="none"/>
        </w:rPr>
        <w:t>磋商函</w:t>
      </w:r>
      <w:bookmarkEnd w:id="307"/>
      <w:bookmarkEnd w:id="311"/>
      <w:bookmarkEnd w:id="312"/>
      <w:bookmarkEnd w:id="313"/>
      <w:bookmarkEnd w:id="314"/>
    </w:p>
    <w:p>
      <w:pPr>
        <w:pStyle w:val="43"/>
        <w:spacing w:line="52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致：四川乾新招投标代理有限公司　</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我方全面研究了“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)”的磋商文件，决定参加贵单位组织的本项目的采购活动。我方授权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(姓名、职务)代表我方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(供应商名称)全权处理本项目磋商的有关事宜。</w:t>
      </w:r>
    </w:p>
    <w:p>
      <w:pPr>
        <w:pStyle w:val="36"/>
        <w:numPr>
          <w:ilvl w:val="2"/>
          <w:numId w:val="22"/>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我方自愿按照磋商文件规定的各项要求向采购人提供所需相应服务，履约时间为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pStyle w:val="36"/>
        <w:numPr>
          <w:ilvl w:val="2"/>
          <w:numId w:val="22"/>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我方承诺：磋商有效期为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，在此期间内不修改、撤销响应文件。</w:t>
      </w:r>
    </w:p>
    <w:p>
      <w:pPr>
        <w:pStyle w:val="36"/>
        <w:numPr>
          <w:ilvl w:val="2"/>
          <w:numId w:val="22"/>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如我方成交：</w:t>
      </w:r>
    </w:p>
    <w:p>
      <w:pPr>
        <w:pStyle w:val="37"/>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我方承诺积极配合招标代理机构办理领取成交通知书事宜，同时在收到成交通知书后，在规定的期限内与采购人签订合同。</w:t>
      </w:r>
    </w:p>
    <w:p>
      <w:pPr>
        <w:pStyle w:val="37"/>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我方承诺按照磋商文件规定的金额和方式向采购人缴纳履约保证金。</w:t>
      </w:r>
    </w:p>
    <w:p>
      <w:pPr>
        <w:pStyle w:val="37"/>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我方将严格履行采购合同规定的责任和义务。</w:t>
      </w:r>
    </w:p>
    <w:p>
      <w:pPr>
        <w:pStyle w:val="37"/>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我方愿意提供贵单位可能另外要求的，与磋商报价有关的文件资料，并保证我方已提供和将要提供的文件资料是真实、准确的。</w:t>
      </w:r>
    </w:p>
    <w:p>
      <w:pPr>
        <w:pStyle w:val="37"/>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我方自愿按照磋商文件规定的各项要求完成采购项目，最后报价以《最后报价表》为准，接受采购人按照采购合同约定金额支付采购资金。</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4.我方在参加本次采购活动中，涉及的询问、质疑、邮寄(快递)成交通知书等采购相关文书资料送达地址为：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；联系电话：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，如在采购结果公告发布前变更送达地址的，将及时以书面方式告知贵公司。</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4.1我方承诺：如未提供自己的送达地址，经招标代理机构告知后仍不提供的，自然人以其户籍登记中的住所地为送达地址;法人或者其他组织以其工商登记或者其他依法登记、备案中的住所地为送达地址。</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4.2因我方提供的送达地址不准确、拒不提供送达地址、送达地址变更未及时告知招标代理机构、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pPr>
        <w:pStyle w:val="36"/>
        <w:numPr>
          <w:ilvl w:val="2"/>
          <w:numId w:val="0"/>
        </w:numPr>
        <w:spacing w:line="520" w:lineRule="exact"/>
        <w:ind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rPr>
        <w:t>5.参照</w:t>
      </w:r>
      <w:r>
        <w:rPr>
          <w:rFonts w:hint="eastAsia" w:ascii="宋体" w:hAnsi="宋体" w:eastAsia="宋体" w:cs="宋体"/>
          <w:color w:val="auto"/>
          <w:highlight w:val="none"/>
          <w:lang w:val="zh-CN"/>
        </w:rPr>
        <w:t>《中华人民共和国政府采购法实施条例》第四十三条的规定，公告内容应当包括主要</w:t>
      </w:r>
      <w:r>
        <w:rPr>
          <w:rFonts w:hint="eastAsia" w:ascii="宋体" w:hAnsi="宋体" w:eastAsia="宋体" w:cs="宋体"/>
          <w:color w:val="auto"/>
          <w:highlight w:val="none"/>
        </w:rPr>
        <w:t>成交</w:t>
      </w:r>
      <w:r>
        <w:rPr>
          <w:rFonts w:hint="eastAsia" w:ascii="宋体" w:hAnsi="宋体" w:eastAsia="宋体" w:cs="宋体"/>
          <w:color w:val="auto"/>
          <w:highlight w:val="none"/>
          <w:lang w:val="zh-CN"/>
        </w:rPr>
        <w:t>标的的名称、规格型号、数量、单价、服务要求以及评审专家名单。</w:t>
      </w:r>
      <w:r>
        <w:rPr>
          <w:rFonts w:hint="eastAsia" w:ascii="宋体" w:hAnsi="宋体" w:eastAsia="宋体" w:cs="宋体"/>
          <w:color w:val="auto"/>
          <w:highlight w:val="none"/>
        </w:rPr>
        <w:t>我方已</w:t>
      </w:r>
      <w:r>
        <w:rPr>
          <w:rFonts w:hint="eastAsia" w:ascii="宋体" w:hAnsi="宋体" w:eastAsia="宋体" w:cs="宋体"/>
          <w:color w:val="auto"/>
          <w:highlight w:val="none"/>
          <w:lang w:val="zh-CN"/>
        </w:rPr>
        <w:t>将</w:t>
      </w:r>
      <w:r>
        <w:rPr>
          <w:rFonts w:hint="eastAsia" w:ascii="宋体" w:hAnsi="宋体" w:eastAsia="宋体" w:cs="宋体"/>
          <w:color w:val="auto"/>
          <w:highlight w:val="none"/>
        </w:rPr>
        <w:t>响应</w:t>
      </w:r>
      <w:r>
        <w:rPr>
          <w:rFonts w:hint="eastAsia" w:ascii="宋体" w:hAnsi="宋体" w:eastAsia="宋体" w:cs="宋体"/>
          <w:color w:val="auto"/>
          <w:highlight w:val="none"/>
          <w:lang w:val="zh-CN"/>
        </w:rPr>
        <w:t>文件中涉及商业秘密和知识产权的内容进行标注和说明。若未进行标注和说明的，视为全部内容均可公布，采购人或者采购代理机构对此不承担任何责任。</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6.我方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(“有”或“没有”)《关于对政府采购领域严重违法失信主体开展联合惩戒的合作备忘录》的通知(发改财金〔2018〕1614号)、</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"http://fgw.sc.gov.cn/sfgwsjd/c100029/2019/10/15/5344a76ba0804c13be19f2313f85bf8f.shtml" \t "http://fgw.sc.gov.cn/sfgwsjd/c100029/2019/10/15/_blank" \o "《四川省公共资源交易领域严重失信联合惩戒实施办法》政策解读"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《四川省公共资源交易领域严重失信联合惩戒实施办法》</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(川发改信用规〔2019〕405号)规定的记入诚信档案的严重失信行为。如有，请如实列举：1.2.3.……。</w:t>
      </w:r>
    </w:p>
    <w:p>
      <w:pPr>
        <w:pStyle w:val="36"/>
        <w:numPr>
          <w:ilvl w:val="2"/>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7.我方如对磋商文件有异议，已经在响应文件递交截止时间届满前依法进行维权救济，不存在对磋商文件有异议的同时又参加磋商以求侥幸成交或者为实现其他非法目的的行为。</w:t>
      </w:r>
    </w:p>
    <w:p>
      <w:pPr>
        <w:pStyle w:val="43"/>
        <w:ind w:firstLine="480" w:firstLineChars="200"/>
        <w:rPr>
          <w:rFonts w:hint="eastAsia" w:ascii="宋体" w:hAnsi="宋体" w:eastAsia="宋体" w:cs="宋体"/>
          <w:color w:val="auto"/>
          <w:highlight w:val="none"/>
        </w:rPr>
      </w:pPr>
    </w:p>
    <w:p>
      <w:pPr>
        <w:pStyle w:val="43"/>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(盖章)</w:t>
      </w:r>
    </w:p>
    <w:p>
      <w:pPr>
        <w:pStyle w:val="43"/>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(签字或盖章)</w:t>
      </w:r>
    </w:p>
    <w:p>
      <w:pPr>
        <w:pStyle w:val="43"/>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 xml:space="preserve">               </w:t>
      </w:r>
    </w:p>
    <w:p>
      <w:pPr>
        <w:pStyle w:val="43"/>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bCs/>
          <w:color w:val="auto"/>
          <w:highlight w:val="none"/>
          <w:u w:val="single"/>
        </w:rPr>
        <w:t xml:space="preserve">                 </w:t>
      </w:r>
    </w:p>
    <w:p>
      <w:pPr>
        <w:pStyle w:val="43"/>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 xml:space="preserve">               </w:t>
      </w:r>
    </w:p>
    <w:p>
      <w:pPr>
        <w:pStyle w:val="43"/>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bookmarkStart w:id="315" w:name="_Toc3690"/>
      <w:bookmarkStart w:id="316" w:name="_Toc439161752"/>
      <w:bookmarkStart w:id="317" w:name="_Toc10493"/>
      <w:bookmarkStart w:id="318" w:name="_Toc302997926"/>
      <w:bookmarkStart w:id="319" w:name="_Toc5912"/>
      <w:bookmarkStart w:id="320" w:name="_Toc6982"/>
      <w:r>
        <w:rPr>
          <w:rFonts w:hint="eastAsia" w:ascii="宋体" w:hAnsi="宋体" w:eastAsia="宋体" w:cs="宋体"/>
          <w:color w:val="auto"/>
          <w:highlight w:val="none"/>
        </w:rPr>
        <w:br w:type="page"/>
      </w:r>
    </w:p>
    <w:p>
      <w:pPr>
        <w:pStyle w:val="44"/>
        <w:numPr>
          <w:ilvl w:val="0"/>
          <w:numId w:val="21"/>
        </w:numPr>
        <w:spacing w:before="120" w:after="120"/>
        <w:ind w:firstLine="0"/>
        <w:rPr>
          <w:rFonts w:hint="eastAsia" w:ascii="宋体" w:hAnsi="宋体" w:eastAsia="宋体" w:cs="宋体"/>
          <w:color w:val="auto"/>
          <w:highlight w:val="none"/>
        </w:rPr>
      </w:pPr>
      <w:bookmarkStart w:id="321" w:name="_Toc24184"/>
      <w:bookmarkStart w:id="322" w:name="_Toc7950"/>
      <w:r>
        <w:rPr>
          <w:rFonts w:hint="eastAsia" w:ascii="宋体" w:hAnsi="宋体" w:eastAsia="宋体" w:cs="宋体"/>
          <w:color w:val="auto"/>
          <w:highlight w:val="none"/>
        </w:rPr>
        <w:t>实质性要求承诺</w:t>
      </w:r>
      <w:bookmarkEnd w:id="321"/>
      <w:bookmarkEnd w:id="322"/>
    </w:p>
    <w:p>
      <w:pPr>
        <w:pStyle w:val="43"/>
        <w:spacing w:line="520" w:lineRule="exac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(采购代理机构名称)：</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我方作为本次采购项目的供应商，根据磋商文件要求，现郑重承诺及声明如下：</w:t>
      </w:r>
    </w:p>
    <w:p>
      <w:pPr>
        <w:pStyle w:val="36"/>
        <w:numPr>
          <w:ilvl w:val="2"/>
          <w:numId w:val="23"/>
        </w:numPr>
        <w:spacing w:line="520" w:lineRule="exact"/>
        <w:ind w:firstLine="480"/>
        <w:rPr>
          <w:rFonts w:hint="eastAsia" w:ascii="宋体" w:hAnsi="宋体" w:eastAsia="宋体" w:cs="宋体"/>
          <w:b/>
          <w:bCs/>
          <w:color w:val="auto"/>
          <w:highlight w:val="none"/>
        </w:rPr>
      </w:pPr>
      <w:r>
        <w:rPr>
          <w:rFonts w:hint="eastAsia" w:ascii="宋体" w:hAnsi="宋体" w:eastAsia="宋体" w:cs="宋体"/>
          <w:color w:val="auto"/>
          <w:highlight w:val="none"/>
        </w:rPr>
        <w:t>我方已认真阅读并</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(说明：填写“接受”或“不接受”)</w:t>
      </w:r>
      <w:r>
        <w:rPr>
          <w:rFonts w:hint="eastAsia" w:ascii="宋体" w:hAnsi="宋体" w:eastAsia="宋体" w:cs="宋体"/>
          <w:color w:val="auto"/>
          <w:highlight w:val="none"/>
        </w:rPr>
        <w:t>本项目磋商文件的全部实质性要求</w:t>
      </w:r>
      <w:r>
        <w:rPr>
          <w:rFonts w:hint="eastAsia" w:ascii="宋体" w:hAnsi="宋体" w:eastAsia="宋体" w:cs="宋体"/>
          <w:b/>
          <w:bCs/>
          <w:color w:val="auto"/>
          <w:highlight w:val="none"/>
        </w:rPr>
        <w:t>(磋商文件中明确要求需在响应时提供承诺函或具体证明材料进行响应的实质性要求除外)。</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我方参加本次采购活动，</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(说明：填写“不存在”或“存在”)</w:t>
      </w:r>
      <w:r>
        <w:rPr>
          <w:rFonts w:hint="eastAsia" w:ascii="宋体" w:hAnsi="宋体" w:eastAsia="宋体" w:cs="宋体"/>
          <w:color w:val="auto"/>
          <w:highlight w:val="none"/>
        </w:rPr>
        <w:t>与单位负责人为同一人或者存在直接控股、管理关系的其他供应商参与同一合同项下的采购活动的行为。与我方存在直接控股关系的单位为：</w:t>
      </w:r>
      <w:r>
        <w:rPr>
          <w:rFonts w:hint="eastAsia" w:ascii="宋体" w:hAnsi="宋体" w:eastAsia="宋体" w:cs="宋体"/>
          <w:b/>
          <w:color w:val="auto"/>
          <w:highlight w:val="none"/>
          <w:u w:val="single"/>
        </w:rPr>
        <w:t xml:space="preserve">      (说明：填写“无”或“供应商名称)</w:t>
      </w:r>
      <w:r>
        <w:rPr>
          <w:rFonts w:hint="eastAsia" w:ascii="宋体" w:hAnsi="宋体" w:eastAsia="宋体" w:cs="宋体"/>
          <w:bCs/>
          <w:color w:val="auto"/>
          <w:highlight w:val="none"/>
        </w:rPr>
        <w:t>；与我方存在直接控股关系的单位为</w:t>
      </w:r>
      <w:r>
        <w:rPr>
          <w:rFonts w:hint="eastAsia" w:ascii="宋体" w:hAnsi="宋体" w:eastAsia="宋体" w:cs="宋体"/>
          <w:b/>
          <w:color w:val="auto"/>
          <w:highlight w:val="none"/>
          <w:u w:val="single"/>
        </w:rPr>
        <w:t>：    (说明：填写“无”或“供应商名称)</w:t>
      </w:r>
      <w:r>
        <w:rPr>
          <w:rFonts w:hint="eastAsia" w:ascii="宋体" w:hAnsi="宋体" w:eastAsia="宋体" w:cs="宋体"/>
          <w:b/>
          <w:color w:val="auto"/>
          <w:highlight w:val="none"/>
        </w:rPr>
        <w:t>；</w:t>
      </w:r>
      <w:r>
        <w:rPr>
          <w:rFonts w:hint="eastAsia" w:ascii="宋体" w:hAnsi="宋体" w:eastAsia="宋体" w:cs="宋体"/>
          <w:bCs/>
          <w:color w:val="auto"/>
          <w:highlight w:val="none"/>
        </w:rPr>
        <w:t>存在管理关系的单位为：</w:t>
      </w:r>
      <w:r>
        <w:rPr>
          <w:rFonts w:hint="eastAsia" w:ascii="宋体" w:hAnsi="宋体" w:eastAsia="宋体" w:cs="宋体"/>
          <w:b/>
          <w:color w:val="auto"/>
          <w:highlight w:val="none"/>
          <w:u w:val="single"/>
        </w:rPr>
        <w:t xml:space="preserve">      (说明：填写“无”或“供应商名称)</w:t>
      </w:r>
      <w:r>
        <w:rPr>
          <w:rFonts w:hint="eastAsia" w:ascii="宋体" w:hAnsi="宋体" w:eastAsia="宋体" w:cs="宋体"/>
          <w:color w:val="auto"/>
          <w:highlight w:val="none"/>
        </w:rPr>
        <w:t>。</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我方参加本次采购活动前本单位未对本次采购项目</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u w:val="single"/>
          <w:lang w:val="zh-CN"/>
        </w:rPr>
        <w:t>(说明：填写“</w:t>
      </w:r>
      <w:r>
        <w:rPr>
          <w:rFonts w:hint="eastAsia" w:ascii="宋体" w:hAnsi="宋体" w:eastAsia="宋体" w:cs="宋体"/>
          <w:b/>
          <w:bCs/>
          <w:color w:val="auto"/>
          <w:highlight w:val="none"/>
          <w:u w:val="single"/>
        </w:rPr>
        <w:t>未</w:t>
      </w:r>
      <w:r>
        <w:rPr>
          <w:rFonts w:hint="eastAsia" w:ascii="宋体" w:hAnsi="宋体" w:eastAsia="宋体" w:cs="宋体"/>
          <w:b/>
          <w:bCs/>
          <w:color w:val="auto"/>
          <w:highlight w:val="none"/>
          <w:u w:val="single"/>
          <w:lang w:val="zh-CN"/>
        </w:rPr>
        <w:t>提供”或“提供”)</w:t>
      </w:r>
      <w:r>
        <w:rPr>
          <w:rFonts w:hint="eastAsia" w:ascii="宋体" w:hAnsi="宋体" w:eastAsia="宋体" w:cs="宋体"/>
          <w:color w:val="auto"/>
          <w:highlight w:val="none"/>
        </w:rPr>
        <w:t>过整体设计、规范编制或者项目管理、监理、检测等服务。</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我方参加本次采购活动，</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(说明：填写“不存在”或“存在”)</w:t>
      </w:r>
      <w:r>
        <w:rPr>
          <w:rFonts w:hint="eastAsia" w:ascii="宋体" w:hAnsi="宋体" w:eastAsia="宋体" w:cs="宋体"/>
          <w:color w:val="auto"/>
          <w:highlight w:val="none"/>
        </w:rPr>
        <w:t>我单位实际控制人或者中高级管理人员是本项目采购代理机构的工作人员的情形。</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我方参加本次采购活动，</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(说明：填写“不存在”或“存在”)</w:t>
      </w:r>
      <w:r>
        <w:rPr>
          <w:rFonts w:hint="eastAsia" w:ascii="宋体" w:hAnsi="宋体" w:eastAsia="宋体" w:cs="宋体"/>
          <w:color w:val="auto"/>
          <w:highlight w:val="none"/>
        </w:rPr>
        <w:t>同一母公司的两家以上的子公司以不同供应商身份同时参加本项目同一合同项下的采购活动的情形。</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我方参加本次采购活动，与采购代理机构</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(说明：填写“不存在”或“存在”)</w:t>
      </w:r>
      <w:r>
        <w:rPr>
          <w:rFonts w:hint="eastAsia" w:ascii="宋体" w:hAnsi="宋体" w:eastAsia="宋体" w:cs="宋体"/>
          <w:color w:val="auto"/>
          <w:highlight w:val="none"/>
        </w:rPr>
        <w:t>关联关系，</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(说明：填写“不是”或“是”)</w:t>
      </w:r>
      <w:r>
        <w:rPr>
          <w:rFonts w:hint="eastAsia" w:ascii="宋体" w:hAnsi="宋体" w:eastAsia="宋体" w:cs="宋体"/>
          <w:color w:val="auto"/>
          <w:highlight w:val="none"/>
        </w:rPr>
        <w:t>采购代理机构的母公司或子公司。</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我方参加本次采购活动，</w:t>
      </w:r>
      <w:r>
        <w:rPr>
          <w:rFonts w:hint="eastAsia" w:ascii="宋体" w:hAnsi="宋体" w:eastAsia="宋体" w:cs="宋体"/>
          <w:color w:val="auto"/>
          <w:highlight w:val="none"/>
          <w:u w:val="single"/>
        </w:rPr>
        <w:t xml:space="preserve">     </w:t>
      </w:r>
      <w:r>
        <w:rPr>
          <w:rFonts w:hint="eastAsia" w:ascii="宋体" w:hAnsi="宋体" w:eastAsia="宋体" w:cs="宋体"/>
          <w:b/>
          <w:color w:val="auto"/>
          <w:highlight w:val="none"/>
          <w:u w:val="single"/>
        </w:rPr>
        <w:t>(说明：填写“不存在”或“存在”)</w:t>
      </w:r>
      <w:r>
        <w:rPr>
          <w:rFonts w:hint="eastAsia" w:ascii="宋体" w:hAnsi="宋体" w:eastAsia="宋体" w:cs="宋体"/>
          <w:color w:val="auto"/>
          <w:highlight w:val="none"/>
        </w:rPr>
        <w:t>和其他供应商在同一合同项下的采购项目中，同时委托同一个自然人、同一家庭的人员、同一单位的人员作为代理人的行为。</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我单位的响应文件</w:t>
      </w:r>
      <w:r>
        <w:rPr>
          <w:rFonts w:hint="eastAsia" w:ascii="宋体" w:hAnsi="宋体" w:eastAsia="宋体" w:cs="宋体"/>
          <w:color w:val="auto"/>
          <w:highlight w:val="none"/>
          <w:lang w:val="zh-CN"/>
        </w:rPr>
        <w:t>编制</w:t>
      </w:r>
      <w:r>
        <w:rPr>
          <w:rFonts w:hint="eastAsia" w:ascii="宋体" w:hAnsi="宋体" w:eastAsia="宋体" w:cs="宋体"/>
          <w:color w:val="auto"/>
          <w:highlight w:val="none"/>
        </w:rPr>
        <w:t>单位和个人分别为：</w:t>
      </w:r>
      <w:r>
        <w:rPr>
          <w:rFonts w:hint="eastAsia" w:ascii="宋体" w:hAnsi="宋体" w:eastAsia="宋体" w:cs="宋体"/>
          <w:b/>
          <w:bCs/>
          <w:snapToGrid/>
          <w:color w:val="auto"/>
          <w:highlight w:val="none"/>
          <w:u w:val="single"/>
        </w:rPr>
        <w:t xml:space="preserve">    </w:t>
      </w:r>
      <w:r>
        <w:rPr>
          <w:rFonts w:hint="eastAsia" w:ascii="宋体" w:hAnsi="宋体" w:eastAsia="宋体" w:cs="宋体"/>
          <w:b/>
          <w:bCs/>
          <w:snapToGrid/>
          <w:color w:val="auto"/>
          <w:highlight w:val="none"/>
          <w:u w:val="single"/>
          <w:lang w:val="zh-CN"/>
        </w:rPr>
        <w:t>(说明：填写“</w:t>
      </w:r>
      <w:r>
        <w:rPr>
          <w:rFonts w:hint="eastAsia" w:ascii="宋体" w:hAnsi="宋体" w:eastAsia="宋体" w:cs="宋体"/>
          <w:b/>
          <w:bCs/>
          <w:color w:val="auto"/>
          <w:highlight w:val="none"/>
          <w:u w:val="single"/>
          <w:lang w:val="zh-CN"/>
        </w:rPr>
        <w:t>编制</w:t>
      </w:r>
      <w:r>
        <w:rPr>
          <w:rFonts w:hint="eastAsia" w:ascii="宋体" w:hAnsi="宋体" w:eastAsia="宋体" w:cs="宋体"/>
          <w:b/>
          <w:bCs/>
          <w:color w:val="auto"/>
          <w:highlight w:val="none"/>
          <w:u w:val="single"/>
        </w:rPr>
        <w:t>单位</w:t>
      </w:r>
      <w:r>
        <w:rPr>
          <w:rFonts w:hint="eastAsia" w:ascii="宋体" w:hAnsi="宋体" w:eastAsia="宋体" w:cs="宋体"/>
          <w:b/>
          <w:bCs/>
          <w:snapToGrid/>
          <w:color w:val="auto"/>
          <w:highlight w:val="none"/>
          <w:u w:val="single"/>
          <w:lang w:val="zh-CN"/>
        </w:rPr>
        <w:t>名称)；</w:t>
      </w:r>
      <w:r>
        <w:rPr>
          <w:rFonts w:hint="eastAsia" w:ascii="宋体" w:hAnsi="宋体" w:eastAsia="宋体" w:cs="宋体"/>
          <w:b/>
          <w:bCs/>
          <w:color w:val="auto"/>
          <w:highlight w:val="none"/>
          <w:u w:val="single"/>
        </w:rPr>
        <w:t xml:space="preserve">         (</w:t>
      </w:r>
      <w:r>
        <w:rPr>
          <w:rFonts w:hint="eastAsia" w:ascii="宋体" w:hAnsi="宋体" w:eastAsia="宋体" w:cs="宋体"/>
          <w:b/>
          <w:bCs/>
          <w:snapToGrid/>
          <w:color w:val="auto"/>
          <w:highlight w:val="none"/>
          <w:u w:val="single"/>
          <w:lang w:val="zh-CN"/>
        </w:rPr>
        <w:t>说明：</w:t>
      </w:r>
      <w:r>
        <w:rPr>
          <w:rFonts w:hint="eastAsia" w:ascii="宋体" w:hAnsi="宋体" w:eastAsia="宋体" w:cs="宋体"/>
          <w:b/>
          <w:bCs/>
          <w:snapToGrid/>
          <w:color w:val="auto"/>
          <w:highlight w:val="none"/>
          <w:u w:val="single"/>
        </w:rPr>
        <w:t>填写“</w:t>
      </w:r>
      <w:r>
        <w:rPr>
          <w:rFonts w:hint="eastAsia" w:ascii="宋体" w:hAnsi="宋体" w:eastAsia="宋体" w:cs="宋体"/>
          <w:b/>
          <w:bCs/>
          <w:color w:val="auto"/>
          <w:highlight w:val="none"/>
          <w:u w:val="single"/>
          <w:lang w:val="zh-CN"/>
        </w:rPr>
        <w:t>编制</w:t>
      </w:r>
      <w:r>
        <w:rPr>
          <w:rFonts w:hint="eastAsia" w:ascii="宋体" w:hAnsi="宋体" w:eastAsia="宋体" w:cs="宋体"/>
          <w:b/>
          <w:bCs/>
          <w:color w:val="auto"/>
          <w:highlight w:val="none"/>
          <w:u w:val="single"/>
        </w:rPr>
        <w:t>个人姓名”)。</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我方响应文件中提供的任何资料和技术、服务、商务等响应承诺情况都是真实的、有效的、合法的。</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参加本次采购活动，我方完全同意竞争性磋商文件中关于“磋商费用”、“合同分包”、“合同转包”、“合同定价方式”、“履约保证金”等实质性要求，并承诺严格按照竞争性磋商文件采购合同要求履行。</w:t>
      </w:r>
    </w:p>
    <w:p>
      <w:pPr>
        <w:pStyle w:val="36"/>
        <w:numPr>
          <w:ilvl w:val="2"/>
          <w:numId w:val="23"/>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相关技术文档，并提供无限期技术支持，采购人享有永久使用权(含采购人委托第三方在该项目后续开发的使用权)。如我方在项目实施过程中采用非自有的知识产权，我方承诺提供相关技术文档，并提供无限期技术支持，采购人享有永久合法使用的使用权，且不承担该知识产权的相关费用，且在磋商报价中已包括合法获取该知识产权的相关费用。若项目实施过程形成了新的技术成果或知识产权(包括但不限于新开发的计算机软件、在原有软件基础上修改软件架构或增加新功能等的技术改进、新功能开发过程中形成的技术文件等)，应由采购人和供应商共同所有前述科技成果权利或知识产权，供应商承诺采购人享有前述成果权利或知识产权永久合法使用的使用权，且供应商承诺额外承担任何与之有关的费用。</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我方对上述承诺的内容事项真实性、合法性负责。如经查实上述承诺的内容事项存在虚假，我方自愿接受以提供虚假材料谋取成交所带来的所有法律责任。</w:t>
      </w: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color w:val="auto"/>
          <w:highlight w:val="none"/>
          <w:u w:val="singl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4"/>
        <w:numPr>
          <w:ilvl w:val="0"/>
          <w:numId w:val="21"/>
        </w:numPr>
        <w:spacing w:before="120" w:after="120"/>
        <w:ind w:firstLine="0"/>
        <w:rPr>
          <w:rFonts w:hint="eastAsia" w:ascii="宋体" w:hAnsi="宋体" w:eastAsia="宋体" w:cs="宋体"/>
          <w:color w:val="auto"/>
          <w:highlight w:val="none"/>
        </w:rPr>
      </w:pPr>
      <w:bookmarkStart w:id="323" w:name="_Toc5839"/>
      <w:bookmarkStart w:id="324" w:name="_Toc28094"/>
      <w:r>
        <w:rPr>
          <w:rFonts w:hint="eastAsia" w:ascii="宋体" w:hAnsi="宋体" w:eastAsia="宋体" w:cs="宋体"/>
          <w:color w:val="auto"/>
          <w:highlight w:val="none"/>
        </w:rPr>
        <w:t>供应商基本情况表</w:t>
      </w:r>
      <w:bookmarkEnd w:id="315"/>
      <w:bookmarkEnd w:id="316"/>
      <w:bookmarkEnd w:id="317"/>
      <w:bookmarkEnd w:id="318"/>
      <w:bookmarkEnd w:id="319"/>
      <w:bookmarkEnd w:id="320"/>
      <w:bookmarkEnd w:id="323"/>
      <w:bookmarkEnd w:id="324"/>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8186" w:type="dxa"/>
            <w:gridSpan w:val="7"/>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注册地址</w:t>
            </w:r>
          </w:p>
        </w:tc>
        <w:tc>
          <w:tcPr>
            <w:tcW w:w="4012" w:type="dxa"/>
            <w:gridSpan w:val="3"/>
            <w:vAlign w:val="center"/>
          </w:tcPr>
          <w:p>
            <w:pPr>
              <w:pStyle w:val="45"/>
              <w:spacing w:line="480" w:lineRule="exact"/>
              <w:rPr>
                <w:rFonts w:hint="eastAsia" w:ascii="宋体" w:hAnsi="宋体" w:eastAsia="宋体" w:cs="宋体"/>
                <w:color w:val="auto"/>
                <w:highlight w:val="none"/>
              </w:rPr>
            </w:pPr>
          </w:p>
        </w:tc>
        <w:tc>
          <w:tcPr>
            <w:tcW w:w="1548"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邮政编码</w:t>
            </w:r>
          </w:p>
        </w:tc>
        <w:tc>
          <w:tcPr>
            <w:tcW w:w="2626" w:type="dxa"/>
            <w:gridSpan w:val="3"/>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1125"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887" w:type="dxa"/>
            <w:gridSpan w:val="2"/>
            <w:vAlign w:val="center"/>
          </w:tcPr>
          <w:p>
            <w:pPr>
              <w:pStyle w:val="45"/>
              <w:spacing w:line="480" w:lineRule="exact"/>
              <w:rPr>
                <w:rFonts w:hint="eastAsia" w:ascii="宋体" w:hAnsi="宋体" w:eastAsia="宋体" w:cs="宋体"/>
                <w:color w:val="auto"/>
                <w:highlight w:val="none"/>
              </w:rPr>
            </w:pPr>
          </w:p>
        </w:tc>
        <w:tc>
          <w:tcPr>
            <w:tcW w:w="1548"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626" w:type="dxa"/>
            <w:gridSpan w:val="3"/>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5"/>
              <w:spacing w:line="480" w:lineRule="exact"/>
              <w:rPr>
                <w:rFonts w:hint="eastAsia" w:ascii="宋体" w:hAnsi="宋体" w:eastAsia="宋体" w:cs="宋体"/>
                <w:color w:val="auto"/>
                <w:highlight w:val="none"/>
              </w:rPr>
            </w:pPr>
          </w:p>
        </w:tc>
        <w:tc>
          <w:tcPr>
            <w:tcW w:w="1125"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2887" w:type="dxa"/>
            <w:gridSpan w:val="2"/>
            <w:vAlign w:val="center"/>
          </w:tcPr>
          <w:p>
            <w:pPr>
              <w:pStyle w:val="45"/>
              <w:spacing w:line="480" w:lineRule="exact"/>
              <w:rPr>
                <w:rFonts w:hint="eastAsia" w:ascii="宋体" w:hAnsi="宋体" w:eastAsia="宋体" w:cs="宋体"/>
                <w:color w:val="auto"/>
                <w:highlight w:val="none"/>
              </w:rPr>
            </w:pPr>
          </w:p>
        </w:tc>
        <w:tc>
          <w:tcPr>
            <w:tcW w:w="1548"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网址</w:t>
            </w:r>
          </w:p>
        </w:tc>
        <w:tc>
          <w:tcPr>
            <w:tcW w:w="2626" w:type="dxa"/>
            <w:gridSpan w:val="3"/>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法定代表人</w:t>
            </w:r>
          </w:p>
        </w:tc>
        <w:tc>
          <w:tcPr>
            <w:tcW w:w="1125"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432" w:type="dxa"/>
            <w:vAlign w:val="center"/>
          </w:tcPr>
          <w:p>
            <w:pPr>
              <w:pStyle w:val="45"/>
              <w:spacing w:line="480" w:lineRule="exact"/>
              <w:rPr>
                <w:rFonts w:hint="eastAsia" w:ascii="宋体" w:hAnsi="宋体" w:eastAsia="宋体" w:cs="宋体"/>
                <w:color w:val="auto"/>
                <w:highlight w:val="none"/>
              </w:rPr>
            </w:pPr>
          </w:p>
        </w:tc>
        <w:tc>
          <w:tcPr>
            <w:tcW w:w="1455"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548" w:type="dxa"/>
            <w:vAlign w:val="center"/>
          </w:tcPr>
          <w:p>
            <w:pPr>
              <w:pStyle w:val="45"/>
              <w:spacing w:line="480" w:lineRule="exact"/>
              <w:rPr>
                <w:rFonts w:hint="eastAsia" w:ascii="宋体" w:hAnsi="宋体" w:eastAsia="宋体" w:cs="宋体"/>
                <w:color w:val="auto"/>
                <w:highlight w:val="none"/>
              </w:rPr>
            </w:pPr>
          </w:p>
        </w:tc>
        <w:tc>
          <w:tcPr>
            <w:tcW w:w="1364" w:type="dxa"/>
            <w:gridSpan w:val="2"/>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62" w:type="dxa"/>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技术负责人</w:t>
            </w:r>
          </w:p>
        </w:tc>
        <w:tc>
          <w:tcPr>
            <w:tcW w:w="1125"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432" w:type="dxa"/>
            <w:vAlign w:val="center"/>
          </w:tcPr>
          <w:p>
            <w:pPr>
              <w:pStyle w:val="45"/>
              <w:spacing w:line="480" w:lineRule="exact"/>
              <w:rPr>
                <w:rFonts w:hint="eastAsia" w:ascii="宋体" w:hAnsi="宋体" w:eastAsia="宋体" w:cs="宋体"/>
                <w:color w:val="auto"/>
                <w:highlight w:val="none"/>
              </w:rPr>
            </w:pPr>
          </w:p>
        </w:tc>
        <w:tc>
          <w:tcPr>
            <w:tcW w:w="1455"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548" w:type="dxa"/>
            <w:vAlign w:val="center"/>
          </w:tcPr>
          <w:p>
            <w:pPr>
              <w:pStyle w:val="45"/>
              <w:spacing w:line="480" w:lineRule="exact"/>
              <w:rPr>
                <w:rFonts w:hint="eastAsia" w:ascii="宋体" w:hAnsi="宋体" w:eastAsia="宋体" w:cs="宋体"/>
                <w:color w:val="auto"/>
                <w:highlight w:val="none"/>
              </w:rPr>
            </w:pPr>
          </w:p>
        </w:tc>
        <w:tc>
          <w:tcPr>
            <w:tcW w:w="1364" w:type="dxa"/>
            <w:gridSpan w:val="2"/>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1262" w:type="dxa"/>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成立时间</w:t>
            </w:r>
          </w:p>
        </w:tc>
        <w:tc>
          <w:tcPr>
            <w:tcW w:w="2557" w:type="dxa"/>
            <w:gridSpan w:val="2"/>
            <w:vAlign w:val="center"/>
          </w:tcPr>
          <w:p>
            <w:pPr>
              <w:pStyle w:val="45"/>
              <w:spacing w:line="480" w:lineRule="exact"/>
              <w:rPr>
                <w:rFonts w:hint="eastAsia" w:ascii="宋体" w:hAnsi="宋体" w:eastAsia="宋体" w:cs="宋体"/>
                <w:color w:val="auto"/>
                <w:highlight w:val="none"/>
              </w:rPr>
            </w:pPr>
          </w:p>
        </w:tc>
        <w:tc>
          <w:tcPr>
            <w:tcW w:w="5629" w:type="dxa"/>
            <w:gridSpan w:val="5"/>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2557" w:type="dxa"/>
            <w:gridSpan w:val="2"/>
            <w:vAlign w:val="center"/>
          </w:tcPr>
          <w:p>
            <w:pPr>
              <w:pStyle w:val="45"/>
              <w:spacing w:line="480" w:lineRule="exact"/>
              <w:rPr>
                <w:rFonts w:hint="eastAsia" w:ascii="宋体" w:hAnsi="宋体" w:eastAsia="宋体" w:cs="宋体"/>
                <w:color w:val="auto"/>
                <w:highlight w:val="none"/>
              </w:rPr>
            </w:pPr>
          </w:p>
        </w:tc>
        <w:tc>
          <w:tcPr>
            <w:tcW w:w="1455" w:type="dxa"/>
            <w:vMerge w:val="restart"/>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其中</w:t>
            </w:r>
          </w:p>
        </w:tc>
        <w:tc>
          <w:tcPr>
            <w:tcW w:w="1734" w:type="dxa"/>
            <w:gridSpan w:val="2"/>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项目经理</w:t>
            </w:r>
          </w:p>
        </w:tc>
        <w:tc>
          <w:tcPr>
            <w:tcW w:w="2440" w:type="dxa"/>
            <w:gridSpan w:val="2"/>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营业执照号/统一社会信用代码</w:t>
            </w:r>
          </w:p>
        </w:tc>
        <w:tc>
          <w:tcPr>
            <w:tcW w:w="2557" w:type="dxa"/>
            <w:gridSpan w:val="2"/>
            <w:vAlign w:val="center"/>
          </w:tcPr>
          <w:p>
            <w:pPr>
              <w:pStyle w:val="45"/>
              <w:spacing w:line="480" w:lineRule="exact"/>
              <w:rPr>
                <w:rFonts w:hint="eastAsia" w:ascii="宋体" w:hAnsi="宋体" w:eastAsia="宋体" w:cs="宋体"/>
                <w:color w:val="auto"/>
                <w:highlight w:val="none"/>
              </w:rPr>
            </w:pPr>
          </w:p>
        </w:tc>
        <w:tc>
          <w:tcPr>
            <w:tcW w:w="1455" w:type="dxa"/>
            <w:vMerge w:val="continue"/>
            <w:vAlign w:val="center"/>
          </w:tcPr>
          <w:p>
            <w:pPr>
              <w:pStyle w:val="45"/>
              <w:spacing w:line="480" w:lineRule="exact"/>
              <w:rPr>
                <w:rFonts w:hint="eastAsia" w:ascii="宋体" w:hAnsi="宋体" w:eastAsia="宋体" w:cs="宋体"/>
                <w:color w:val="auto"/>
                <w:highlight w:val="none"/>
              </w:rPr>
            </w:pPr>
          </w:p>
        </w:tc>
        <w:tc>
          <w:tcPr>
            <w:tcW w:w="1734" w:type="dxa"/>
            <w:gridSpan w:val="2"/>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高级职称人员</w:t>
            </w:r>
          </w:p>
        </w:tc>
        <w:tc>
          <w:tcPr>
            <w:tcW w:w="2440" w:type="dxa"/>
            <w:gridSpan w:val="2"/>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注册资金</w:t>
            </w:r>
          </w:p>
        </w:tc>
        <w:tc>
          <w:tcPr>
            <w:tcW w:w="2557" w:type="dxa"/>
            <w:gridSpan w:val="2"/>
            <w:vAlign w:val="center"/>
          </w:tcPr>
          <w:p>
            <w:pPr>
              <w:pStyle w:val="45"/>
              <w:spacing w:line="480" w:lineRule="exact"/>
              <w:rPr>
                <w:rFonts w:hint="eastAsia" w:ascii="宋体" w:hAnsi="宋体" w:eastAsia="宋体" w:cs="宋体"/>
                <w:color w:val="auto"/>
                <w:highlight w:val="none"/>
              </w:rPr>
            </w:pPr>
          </w:p>
        </w:tc>
        <w:tc>
          <w:tcPr>
            <w:tcW w:w="1455" w:type="dxa"/>
            <w:vMerge w:val="continue"/>
            <w:vAlign w:val="center"/>
          </w:tcPr>
          <w:p>
            <w:pPr>
              <w:pStyle w:val="45"/>
              <w:spacing w:line="480" w:lineRule="exact"/>
              <w:rPr>
                <w:rFonts w:hint="eastAsia" w:ascii="宋体" w:hAnsi="宋体" w:eastAsia="宋体" w:cs="宋体"/>
                <w:color w:val="auto"/>
                <w:highlight w:val="none"/>
              </w:rPr>
            </w:pPr>
          </w:p>
        </w:tc>
        <w:tc>
          <w:tcPr>
            <w:tcW w:w="1734" w:type="dxa"/>
            <w:gridSpan w:val="2"/>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中级职称人员</w:t>
            </w:r>
          </w:p>
        </w:tc>
        <w:tc>
          <w:tcPr>
            <w:tcW w:w="2440" w:type="dxa"/>
            <w:gridSpan w:val="2"/>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2557" w:type="dxa"/>
            <w:gridSpan w:val="2"/>
            <w:vAlign w:val="center"/>
          </w:tcPr>
          <w:p>
            <w:pPr>
              <w:pStyle w:val="45"/>
              <w:spacing w:line="480" w:lineRule="exact"/>
              <w:rPr>
                <w:rFonts w:hint="eastAsia" w:ascii="宋体" w:hAnsi="宋体" w:eastAsia="宋体" w:cs="宋体"/>
                <w:color w:val="auto"/>
                <w:highlight w:val="none"/>
              </w:rPr>
            </w:pPr>
          </w:p>
        </w:tc>
        <w:tc>
          <w:tcPr>
            <w:tcW w:w="1455" w:type="dxa"/>
            <w:vMerge w:val="continue"/>
            <w:vAlign w:val="center"/>
          </w:tcPr>
          <w:p>
            <w:pPr>
              <w:pStyle w:val="45"/>
              <w:spacing w:line="480" w:lineRule="exact"/>
              <w:rPr>
                <w:rFonts w:hint="eastAsia" w:ascii="宋体" w:hAnsi="宋体" w:eastAsia="宋体" w:cs="宋体"/>
                <w:color w:val="auto"/>
                <w:highlight w:val="none"/>
              </w:rPr>
            </w:pPr>
          </w:p>
        </w:tc>
        <w:tc>
          <w:tcPr>
            <w:tcW w:w="1734" w:type="dxa"/>
            <w:gridSpan w:val="2"/>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初级职称人员</w:t>
            </w:r>
          </w:p>
        </w:tc>
        <w:tc>
          <w:tcPr>
            <w:tcW w:w="2440" w:type="dxa"/>
            <w:gridSpan w:val="2"/>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2557" w:type="dxa"/>
            <w:gridSpan w:val="2"/>
            <w:vAlign w:val="center"/>
          </w:tcPr>
          <w:p>
            <w:pPr>
              <w:pStyle w:val="45"/>
              <w:spacing w:line="480" w:lineRule="exact"/>
              <w:rPr>
                <w:rFonts w:hint="eastAsia" w:ascii="宋体" w:hAnsi="宋体" w:eastAsia="宋体" w:cs="宋体"/>
                <w:color w:val="auto"/>
                <w:highlight w:val="none"/>
              </w:rPr>
            </w:pPr>
          </w:p>
        </w:tc>
        <w:tc>
          <w:tcPr>
            <w:tcW w:w="1455" w:type="dxa"/>
            <w:vMerge w:val="continue"/>
            <w:vAlign w:val="center"/>
          </w:tcPr>
          <w:p>
            <w:pPr>
              <w:pStyle w:val="45"/>
              <w:spacing w:line="480" w:lineRule="exact"/>
              <w:rPr>
                <w:rFonts w:hint="eastAsia" w:ascii="宋体" w:hAnsi="宋体" w:eastAsia="宋体" w:cs="宋体"/>
                <w:color w:val="auto"/>
                <w:highlight w:val="none"/>
              </w:rPr>
            </w:pPr>
          </w:p>
        </w:tc>
        <w:tc>
          <w:tcPr>
            <w:tcW w:w="1734" w:type="dxa"/>
            <w:gridSpan w:val="2"/>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技工</w:t>
            </w:r>
          </w:p>
        </w:tc>
        <w:tc>
          <w:tcPr>
            <w:tcW w:w="2440" w:type="dxa"/>
            <w:gridSpan w:val="2"/>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经营范围</w:t>
            </w:r>
          </w:p>
        </w:tc>
        <w:tc>
          <w:tcPr>
            <w:tcW w:w="8186" w:type="dxa"/>
            <w:gridSpan w:val="7"/>
            <w:vAlign w:val="center"/>
          </w:tcPr>
          <w:p>
            <w:pPr>
              <w:pStyle w:val="45"/>
              <w:spacing w:line="480" w:lineRule="exac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5"/>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8186" w:type="dxa"/>
            <w:gridSpan w:val="7"/>
          </w:tcPr>
          <w:p>
            <w:pPr>
              <w:pStyle w:val="45"/>
              <w:spacing w:line="480" w:lineRule="exact"/>
              <w:rPr>
                <w:rFonts w:hint="eastAsia" w:ascii="宋体" w:hAnsi="宋体" w:eastAsia="宋体" w:cs="宋体"/>
                <w:color w:val="auto"/>
                <w:highlight w:val="none"/>
              </w:rPr>
            </w:pPr>
          </w:p>
        </w:tc>
      </w:tr>
    </w:tbl>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注：①</w:t>
      </w:r>
      <w:r>
        <w:rPr>
          <w:rFonts w:hint="eastAsia" w:ascii="宋体" w:hAnsi="宋体" w:eastAsia="宋体" w:cs="宋体"/>
          <w:bCs/>
          <w:color w:val="auto"/>
          <w:highlight w:val="none"/>
        </w:rPr>
        <w:t>事业单位、其他组织及自然人磋商根据实际情况据实填写此表，若未填报完善不影响磋商资质及效力；②空白项用“/”填写</w:t>
      </w:r>
      <w:r>
        <w:rPr>
          <w:rFonts w:hint="eastAsia" w:ascii="宋体" w:hAnsi="宋体" w:eastAsia="宋体" w:cs="宋体"/>
          <w:color w:val="auto"/>
          <w:highlight w:val="none"/>
        </w:rPr>
        <w:t>。</w:t>
      </w: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 xml:space="preserve">       </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325" w:name="_Toc319440166"/>
      <w:bookmarkStart w:id="326" w:name="_Toc217446087"/>
      <w:bookmarkStart w:id="327" w:name="_Toc307564875"/>
      <w:bookmarkStart w:id="328" w:name="_Toc307501130"/>
      <w:bookmarkStart w:id="329" w:name="_Toc327196310"/>
      <w:bookmarkStart w:id="330" w:name="_Toc7835"/>
      <w:bookmarkStart w:id="331" w:name="_Toc25577"/>
      <w:bookmarkStart w:id="332" w:name="_Toc11461"/>
      <w:bookmarkStart w:id="333" w:name="_Toc21006"/>
      <w:bookmarkStart w:id="334" w:name="_Toc26124"/>
      <w:bookmarkStart w:id="335" w:name="_Toc327196312"/>
      <w:bookmarkStart w:id="336" w:name="_Toc319440168"/>
      <w:bookmarkStart w:id="337" w:name="_Toc24507"/>
      <w:r>
        <w:rPr>
          <w:rFonts w:hint="eastAsia" w:ascii="宋体" w:hAnsi="宋体" w:eastAsia="宋体" w:cs="宋体"/>
          <w:color w:val="auto"/>
          <w:highlight w:val="none"/>
        </w:rPr>
        <w:br w:type="page"/>
      </w:r>
    </w:p>
    <w:p>
      <w:pPr>
        <w:pStyle w:val="44"/>
        <w:numPr>
          <w:ilvl w:val="0"/>
          <w:numId w:val="21"/>
        </w:numPr>
        <w:spacing w:before="120" w:after="120"/>
        <w:ind w:firstLine="0"/>
        <w:rPr>
          <w:rFonts w:hint="eastAsia" w:ascii="宋体" w:hAnsi="宋体" w:eastAsia="宋体" w:cs="宋体"/>
          <w:color w:val="auto"/>
          <w:highlight w:val="none"/>
        </w:rPr>
      </w:pPr>
      <w:bookmarkStart w:id="338" w:name="_Toc26358"/>
      <w:bookmarkStart w:id="339" w:name="_Toc22186"/>
      <w:r>
        <w:rPr>
          <w:rFonts w:hint="eastAsia" w:ascii="宋体" w:hAnsi="宋体" w:eastAsia="宋体" w:cs="宋体"/>
          <w:color w:val="auto"/>
          <w:highlight w:val="none"/>
        </w:rPr>
        <w:t>商务应答表</w:t>
      </w:r>
      <w:bookmarkEnd w:id="325"/>
      <w:bookmarkEnd w:id="326"/>
      <w:bookmarkEnd w:id="327"/>
      <w:bookmarkEnd w:id="328"/>
      <w:bookmarkEnd w:id="329"/>
      <w:bookmarkEnd w:id="330"/>
      <w:bookmarkEnd w:id="331"/>
      <w:bookmarkEnd w:id="332"/>
      <w:bookmarkEnd w:id="333"/>
      <w:bookmarkEnd w:id="338"/>
      <w:bookmarkEnd w:id="339"/>
    </w:p>
    <w:p>
      <w:pPr>
        <w:pStyle w:val="43"/>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387"/>
        <w:gridCol w:w="357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序号</w:t>
            </w:r>
          </w:p>
        </w:tc>
        <w:tc>
          <w:tcPr>
            <w:tcW w:w="4387" w:type="dxa"/>
            <w:vAlign w:val="center"/>
          </w:tcPr>
          <w:p>
            <w:pPr>
              <w:wordWrap w:val="0"/>
              <w:topLinePunct/>
              <w:spacing w:line="360" w:lineRule="exact"/>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竞争性磋商文件第五章商务要求，第八章采购合同</w:t>
            </w:r>
          </w:p>
        </w:tc>
        <w:tc>
          <w:tcPr>
            <w:tcW w:w="3574" w:type="dxa"/>
            <w:vAlign w:val="center"/>
          </w:tcPr>
          <w:p>
            <w:pPr>
              <w:wordWrap w:val="0"/>
              <w:topLinePunct/>
              <w:spacing w:line="360" w:lineRule="exact"/>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响应情况</w:t>
            </w:r>
          </w:p>
        </w:tc>
        <w:tc>
          <w:tcPr>
            <w:tcW w:w="1223" w:type="dxa"/>
            <w:vAlign w:val="center"/>
          </w:tcPr>
          <w:p>
            <w:pPr>
              <w:wordWrap w:val="0"/>
              <w:topLinePunct/>
              <w:spacing w:line="360" w:lineRule="exact"/>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t>我公司承诺</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(响应/不响应)</w:t>
            </w:r>
            <w:r>
              <w:rPr>
                <w:rFonts w:hint="eastAsia" w:ascii="宋体" w:hAnsi="宋体" w:eastAsia="宋体" w:cs="宋体"/>
                <w:color w:val="auto"/>
                <w:sz w:val="21"/>
                <w:szCs w:val="21"/>
                <w:highlight w:val="none"/>
              </w:rPr>
              <w:t>竞争性磋商文件第五章商务要求，第八章采购合同的所有条款，如有偏离的条款，均已在下方列出。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hint="eastAsia" w:ascii="宋体" w:hAnsi="宋体" w:eastAsia="宋体" w:cs="宋体"/>
                <w:b/>
                <w:bCs/>
                <w:color w:val="auto"/>
                <w:sz w:val="21"/>
                <w:highlight w:val="none"/>
              </w:rPr>
            </w:pPr>
          </w:p>
        </w:tc>
        <w:tc>
          <w:tcPr>
            <w:tcW w:w="4387" w:type="dxa"/>
          </w:tcPr>
          <w:p>
            <w:pPr>
              <w:wordWrap w:val="0"/>
              <w:topLinePunct/>
              <w:spacing w:line="360" w:lineRule="exact"/>
              <w:jc w:val="center"/>
              <w:rPr>
                <w:rFonts w:hint="eastAsia" w:ascii="宋体" w:hAnsi="宋体" w:eastAsia="宋体" w:cs="宋体"/>
                <w:b/>
                <w:bCs/>
                <w:color w:val="auto"/>
                <w:sz w:val="21"/>
                <w:highlight w:val="none"/>
              </w:rPr>
            </w:pPr>
          </w:p>
        </w:tc>
        <w:tc>
          <w:tcPr>
            <w:tcW w:w="3574" w:type="dxa"/>
          </w:tcPr>
          <w:p>
            <w:pPr>
              <w:wordWrap w:val="0"/>
              <w:topLinePunct/>
              <w:spacing w:line="360" w:lineRule="exact"/>
              <w:jc w:val="center"/>
              <w:rPr>
                <w:rFonts w:hint="eastAsia" w:ascii="宋体" w:hAnsi="宋体" w:eastAsia="宋体" w:cs="宋体"/>
                <w:b/>
                <w:bCs/>
                <w:color w:val="auto"/>
                <w:sz w:val="21"/>
                <w:highlight w:val="none"/>
              </w:rPr>
            </w:pPr>
          </w:p>
        </w:tc>
        <w:tc>
          <w:tcPr>
            <w:tcW w:w="1223" w:type="dxa"/>
          </w:tcPr>
          <w:p>
            <w:pPr>
              <w:wordWrap w:val="0"/>
              <w:topLinePunct/>
              <w:spacing w:line="360" w:lineRule="exact"/>
              <w:jc w:val="center"/>
              <w:rPr>
                <w:rFonts w:hint="eastAsia" w:ascii="宋体" w:hAnsi="宋体" w:eastAsia="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hint="eastAsia" w:ascii="宋体" w:hAnsi="宋体" w:eastAsia="宋体" w:cs="宋体"/>
                <w:b/>
                <w:bCs/>
                <w:color w:val="auto"/>
                <w:sz w:val="21"/>
                <w:highlight w:val="none"/>
              </w:rPr>
            </w:pPr>
          </w:p>
        </w:tc>
        <w:tc>
          <w:tcPr>
            <w:tcW w:w="4387" w:type="dxa"/>
          </w:tcPr>
          <w:p>
            <w:pPr>
              <w:wordWrap w:val="0"/>
              <w:topLinePunct/>
              <w:spacing w:line="360" w:lineRule="exact"/>
              <w:jc w:val="center"/>
              <w:rPr>
                <w:rFonts w:hint="eastAsia" w:ascii="宋体" w:hAnsi="宋体" w:eastAsia="宋体" w:cs="宋体"/>
                <w:b/>
                <w:bCs/>
                <w:color w:val="auto"/>
                <w:sz w:val="21"/>
                <w:highlight w:val="none"/>
              </w:rPr>
            </w:pPr>
          </w:p>
        </w:tc>
        <w:tc>
          <w:tcPr>
            <w:tcW w:w="3574" w:type="dxa"/>
          </w:tcPr>
          <w:p>
            <w:pPr>
              <w:wordWrap w:val="0"/>
              <w:topLinePunct/>
              <w:spacing w:line="360" w:lineRule="exact"/>
              <w:jc w:val="center"/>
              <w:rPr>
                <w:rFonts w:hint="eastAsia" w:ascii="宋体" w:hAnsi="宋体" w:eastAsia="宋体" w:cs="宋体"/>
                <w:b/>
                <w:bCs/>
                <w:color w:val="auto"/>
                <w:sz w:val="21"/>
                <w:highlight w:val="none"/>
              </w:rPr>
            </w:pPr>
          </w:p>
        </w:tc>
        <w:tc>
          <w:tcPr>
            <w:tcW w:w="1223" w:type="dxa"/>
          </w:tcPr>
          <w:p>
            <w:pPr>
              <w:wordWrap w:val="0"/>
              <w:topLinePunct/>
              <w:spacing w:line="360" w:lineRule="exact"/>
              <w:jc w:val="center"/>
              <w:rPr>
                <w:rFonts w:hint="eastAsia" w:ascii="宋体" w:hAnsi="宋体" w:eastAsia="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hint="eastAsia" w:ascii="宋体" w:hAnsi="宋体" w:eastAsia="宋体" w:cs="宋体"/>
                <w:b/>
                <w:bCs/>
                <w:color w:val="auto"/>
                <w:sz w:val="21"/>
                <w:highlight w:val="none"/>
              </w:rPr>
            </w:pPr>
          </w:p>
        </w:tc>
        <w:tc>
          <w:tcPr>
            <w:tcW w:w="4387" w:type="dxa"/>
          </w:tcPr>
          <w:p>
            <w:pPr>
              <w:wordWrap w:val="0"/>
              <w:topLinePunct/>
              <w:spacing w:line="360" w:lineRule="exact"/>
              <w:jc w:val="center"/>
              <w:rPr>
                <w:rFonts w:hint="eastAsia" w:ascii="宋体" w:hAnsi="宋体" w:eastAsia="宋体" w:cs="宋体"/>
                <w:b/>
                <w:bCs/>
                <w:color w:val="auto"/>
                <w:sz w:val="21"/>
                <w:highlight w:val="none"/>
              </w:rPr>
            </w:pPr>
          </w:p>
        </w:tc>
        <w:tc>
          <w:tcPr>
            <w:tcW w:w="3574" w:type="dxa"/>
          </w:tcPr>
          <w:p>
            <w:pPr>
              <w:wordWrap w:val="0"/>
              <w:topLinePunct/>
              <w:spacing w:line="360" w:lineRule="exact"/>
              <w:jc w:val="center"/>
              <w:rPr>
                <w:rFonts w:hint="eastAsia" w:ascii="宋体" w:hAnsi="宋体" w:eastAsia="宋体" w:cs="宋体"/>
                <w:b/>
                <w:bCs/>
                <w:color w:val="auto"/>
                <w:sz w:val="21"/>
                <w:highlight w:val="none"/>
              </w:rPr>
            </w:pPr>
          </w:p>
        </w:tc>
        <w:tc>
          <w:tcPr>
            <w:tcW w:w="1223" w:type="dxa"/>
          </w:tcPr>
          <w:p>
            <w:pPr>
              <w:wordWrap w:val="0"/>
              <w:topLinePunct/>
              <w:spacing w:line="360" w:lineRule="exact"/>
              <w:jc w:val="center"/>
              <w:rPr>
                <w:rFonts w:hint="eastAsia" w:ascii="宋体" w:hAnsi="宋体" w:eastAsia="宋体" w:cs="宋体"/>
                <w:b/>
                <w:bCs/>
                <w:color w:val="auto"/>
                <w:sz w:val="21"/>
                <w:highlight w:val="none"/>
              </w:rPr>
            </w:pPr>
          </w:p>
        </w:tc>
      </w:tr>
    </w:tbl>
    <w:p>
      <w:pPr>
        <w:pStyle w:val="47"/>
        <w:spacing w:line="520" w:lineRule="exact"/>
        <w:ind w:firstLine="482"/>
        <w:rPr>
          <w:rFonts w:hint="eastAsia" w:ascii="宋体" w:hAnsi="宋体" w:eastAsia="宋体" w:cs="宋体"/>
          <w:b w:val="0"/>
          <w:bCs/>
          <w:color w:val="auto"/>
          <w:highlight w:val="none"/>
        </w:rPr>
      </w:pPr>
      <w:r>
        <w:rPr>
          <w:rFonts w:hint="eastAsia" w:ascii="宋体" w:hAnsi="宋体" w:eastAsia="宋体" w:cs="宋体"/>
          <w:color w:val="auto"/>
          <w:highlight w:val="none"/>
        </w:rPr>
        <w:t>注：</w:t>
      </w:r>
      <w:r>
        <w:rPr>
          <w:rFonts w:hint="eastAsia" w:ascii="宋体" w:hAnsi="宋体" w:eastAsia="宋体" w:cs="宋体"/>
          <w:b w:val="0"/>
          <w:bCs/>
          <w:color w:val="auto"/>
          <w:highlight w:val="none"/>
        </w:rPr>
        <w:t>①如与竞争性磋商文件第五章商务要求 ，第八章采购合同条款有偏离(包括正偏离和负偏离)，</w:t>
      </w:r>
      <w:r>
        <w:rPr>
          <w:rFonts w:hint="eastAsia" w:ascii="宋体" w:hAnsi="宋体" w:eastAsia="宋体" w:cs="宋体"/>
          <w:color w:val="auto"/>
          <w:highlight w:val="none"/>
        </w:rPr>
        <w:t>请将偏离条款逐条应答</w:t>
      </w:r>
      <w:r>
        <w:rPr>
          <w:rFonts w:hint="eastAsia" w:ascii="宋体" w:hAnsi="宋体" w:eastAsia="宋体" w:cs="宋体"/>
          <w:b w:val="0"/>
          <w:bCs/>
          <w:color w:val="auto"/>
          <w:highlight w:val="none"/>
        </w:rPr>
        <w:t>，未在此表中进行应答或未明确偏离的条款视为默认完全响应和接受，供应商不得以未作应答而拒不接受</w:t>
      </w:r>
      <w:r>
        <w:rPr>
          <w:rFonts w:hint="eastAsia" w:ascii="宋体" w:hAnsi="宋体" w:eastAsia="宋体" w:cs="宋体"/>
          <w:color w:val="auto"/>
          <w:highlight w:val="none"/>
        </w:rPr>
        <w:t>(要求提供承诺函或证明材料的条款，以供应商提供的承诺函内容或证明材料为准)</w:t>
      </w:r>
      <w:r>
        <w:rPr>
          <w:rFonts w:hint="eastAsia" w:ascii="宋体" w:hAnsi="宋体" w:eastAsia="宋体" w:cs="宋体"/>
          <w:b w:val="0"/>
          <w:bCs/>
          <w:color w:val="auto"/>
          <w:highlight w:val="none"/>
        </w:rPr>
        <w:t>。</w:t>
      </w:r>
    </w:p>
    <w:p>
      <w:pPr>
        <w:pStyle w:val="47"/>
        <w:spacing w:line="520" w:lineRule="exac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②供应商必须据实填写有偏离的条款，不得虚假应答，否则将取消其成交资格。</w:t>
      </w:r>
    </w:p>
    <w:p>
      <w:pPr>
        <w:pStyle w:val="43"/>
        <w:ind w:firstLine="480" w:firstLineChars="200"/>
        <w:rPr>
          <w:rFonts w:hint="eastAsia" w:ascii="宋体" w:hAnsi="宋体" w:eastAsia="宋体" w:cs="宋体"/>
          <w:color w:val="auto"/>
          <w:highlight w:val="none"/>
        </w:rPr>
      </w:pPr>
      <w:r>
        <w:rPr>
          <w:rFonts w:hint="eastAsia" w:ascii="宋体" w:hAnsi="宋体" w:eastAsia="宋体" w:cs="宋体"/>
          <w:bCs/>
          <w:color w:val="auto"/>
          <w:highlight w:val="none"/>
        </w:rPr>
        <w:t>③评审时如对供应商响应文件中商务应答的内容存在歧义的，可要求供应商进行澄清</w:t>
      </w:r>
      <w:r>
        <w:rPr>
          <w:rFonts w:hint="eastAsia" w:ascii="宋体" w:hAnsi="宋体" w:eastAsia="宋体" w:cs="宋体"/>
          <w:color w:val="auto"/>
          <w:highlight w:val="none"/>
        </w:rPr>
        <w:t>。</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 xml:space="preserve">             </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4"/>
        <w:numPr>
          <w:ilvl w:val="0"/>
          <w:numId w:val="21"/>
        </w:numPr>
        <w:spacing w:before="120" w:after="120"/>
        <w:ind w:firstLine="0"/>
        <w:rPr>
          <w:rFonts w:hint="eastAsia" w:ascii="宋体" w:hAnsi="宋体" w:eastAsia="宋体" w:cs="宋体"/>
          <w:color w:val="auto"/>
          <w:highlight w:val="none"/>
        </w:rPr>
      </w:pPr>
      <w:bookmarkStart w:id="340" w:name="_Toc23376"/>
      <w:bookmarkStart w:id="341" w:name="_Toc25122"/>
      <w:bookmarkStart w:id="342" w:name="_Toc3995"/>
      <w:bookmarkStart w:id="343" w:name="_Toc15840"/>
      <w:bookmarkStart w:id="344" w:name="_Toc11251"/>
      <w:r>
        <w:rPr>
          <w:rFonts w:hint="eastAsia" w:ascii="宋体" w:hAnsi="宋体" w:eastAsia="宋体" w:cs="宋体"/>
          <w:color w:val="auto"/>
          <w:highlight w:val="none"/>
        </w:rPr>
        <w:t>技术及服务应答表</w:t>
      </w:r>
      <w:bookmarkEnd w:id="340"/>
      <w:bookmarkEnd w:id="341"/>
      <w:bookmarkEnd w:id="342"/>
      <w:bookmarkEnd w:id="343"/>
      <w:bookmarkEnd w:id="344"/>
    </w:p>
    <w:p>
      <w:pPr>
        <w:pStyle w:val="43"/>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3"/>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3"/>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721" w:type="dxa"/>
            <w:vAlign w:val="center"/>
          </w:tcPr>
          <w:p>
            <w:pPr>
              <w:wordWrap w:val="0"/>
              <w:topLinePunct/>
              <w:spacing w:line="360" w:lineRule="exact"/>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序号</w:t>
            </w:r>
          </w:p>
        </w:tc>
        <w:tc>
          <w:tcPr>
            <w:tcW w:w="4061" w:type="dxa"/>
            <w:vAlign w:val="center"/>
          </w:tcPr>
          <w:p>
            <w:pPr>
              <w:wordWrap w:val="0"/>
              <w:topLinePunct/>
              <w:spacing w:line="360" w:lineRule="exact"/>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竞争性磋商文件第五章技术及服务要求</w:t>
            </w:r>
          </w:p>
        </w:tc>
        <w:tc>
          <w:tcPr>
            <w:tcW w:w="3900" w:type="dxa"/>
            <w:vAlign w:val="center"/>
          </w:tcPr>
          <w:p>
            <w:pPr>
              <w:wordWrap w:val="0"/>
              <w:topLinePunct/>
              <w:spacing w:line="360" w:lineRule="exact"/>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响应情况</w:t>
            </w:r>
          </w:p>
        </w:tc>
        <w:tc>
          <w:tcPr>
            <w:tcW w:w="1223" w:type="dxa"/>
            <w:vAlign w:val="center"/>
          </w:tcPr>
          <w:p>
            <w:pPr>
              <w:wordWrap w:val="0"/>
              <w:topLinePunct/>
              <w:spacing w:line="360" w:lineRule="exact"/>
              <w:jc w:val="center"/>
              <w:rPr>
                <w:rFonts w:hint="eastAsia" w:ascii="宋体" w:hAnsi="宋体" w:eastAsia="宋体" w:cs="宋体"/>
                <w:b/>
                <w:bCs/>
                <w:color w:val="auto"/>
                <w:sz w:val="21"/>
                <w:highlight w:val="none"/>
              </w:rPr>
            </w:pPr>
            <w:r>
              <w:rPr>
                <w:rFonts w:hint="eastAsia" w:ascii="宋体" w:hAnsi="宋体" w:eastAsia="宋体" w:cs="宋体"/>
                <w:b/>
                <w:bCs/>
                <w:color w:val="auto"/>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hint="eastAsia" w:ascii="宋体" w:hAnsi="宋体" w:eastAsia="宋体" w:cs="宋体"/>
                <w:b/>
                <w:bCs/>
                <w:color w:val="auto"/>
                <w:sz w:val="21"/>
                <w:highlight w:val="none"/>
              </w:rPr>
            </w:pPr>
            <w:r>
              <w:rPr>
                <w:rFonts w:hint="eastAsia" w:ascii="宋体" w:hAnsi="宋体" w:eastAsia="宋体" w:cs="宋体"/>
                <w:color w:val="auto"/>
                <w:sz w:val="21"/>
                <w:highlight w:val="none"/>
              </w:rPr>
              <w:t>我公司承诺</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(响应/不响应)</w:t>
            </w:r>
            <w:r>
              <w:rPr>
                <w:rFonts w:hint="eastAsia" w:ascii="宋体" w:hAnsi="宋体" w:eastAsia="宋体" w:cs="宋体"/>
                <w:color w:val="auto"/>
                <w:sz w:val="21"/>
                <w:szCs w:val="21"/>
                <w:highlight w:val="none"/>
              </w:rPr>
              <w:t>竞争性磋商文件第五章</w:t>
            </w:r>
            <w:r>
              <w:rPr>
                <w:rFonts w:hint="eastAsia" w:ascii="宋体" w:hAnsi="宋体" w:eastAsia="宋体" w:cs="宋体"/>
                <w:b/>
                <w:bCs/>
                <w:color w:val="auto"/>
                <w:sz w:val="21"/>
                <w:highlight w:val="none"/>
              </w:rPr>
              <w:t>技术及服务要求</w:t>
            </w:r>
            <w:r>
              <w:rPr>
                <w:rFonts w:hint="eastAsia" w:ascii="宋体" w:hAnsi="宋体" w:eastAsia="宋体" w:cs="宋体"/>
                <w:color w:val="auto"/>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hint="eastAsia" w:ascii="宋体" w:hAnsi="宋体" w:eastAsia="宋体" w:cs="宋体"/>
                <w:b/>
                <w:bCs/>
                <w:color w:val="auto"/>
                <w:sz w:val="21"/>
                <w:highlight w:val="none"/>
              </w:rPr>
            </w:pPr>
          </w:p>
        </w:tc>
        <w:tc>
          <w:tcPr>
            <w:tcW w:w="4061" w:type="dxa"/>
          </w:tcPr>
          <w:p>
            <w:pPr>
              <w:wordWrap w:val="0"/>
              <w:topLinePunct/>
              <w:spacing w:line="360" w:lineRule="exact"/>
              <w:jc w:val="center"/>
              <w:rPr>
                <w:rFonts w:hint="eastAsia" w:ascii="宋体" w:hAnsi="宋体" w:eastAsia="宋体" w:cs="宋体"/>
                <w:b/>
                <w:bCs/>
                <w:color w:val="auto"/>
                <w:sz w:val="21"/>
                <w:highlight w:val="none"/>
              </w:rPr>
            </w:pPr>
          </w:p>
        </w:tc>
        <w:tc>
          <w:tcPr>
            <w:tcW w:w="3900" w:type="dxa"/>
          </w:tcPr>
          <w:p>
            <w:pPr>
              <w:wordWrap w:val="0"/>
              <w:topLinePunct/>
              <w:spacing w:line="360" w:lineRule="exact"/>
              <w:jc w:val="center"/>
              <w:rPr>
                <w:rFonts w:hint="eastAsia" w:ascii="宋体" w:hAnsi="宋体" w:eastAsia="宋体" w:cs="宋体"/>
                <w:b/>
                <w:bCs/>
                <w:color w:val="auto"/>
                <w:sz w:val="21"/>
                <w:highlight w:val="none"/>
              </w:rPr>
            </w:pPr>
          </w:p>
        </w:tc>
        <w:tc>
          <w:tcPr>
            <w:tcW w:w="1223" w:type="dxa"/>
          </w:tcPr>
          <w:p>
            <w:pPr>
              <w:wordWrap w:val="0"/>
              <w:topLinePunct/>
              <w:spacing w:line="360" w:lineRule="exact"/>
              <w:jc w:val="center"/>
              <w:rPr>
                <w:rFonts w:hint="eastAsia" w:ascii="宋体" w:hAnsi="宋体" w:eastAsia="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hint="eastAsia" w:ascii="宋体" w:hAnsi="宋体" w:eastAsia="宋体" w:cs="宋体"/>
                <w:b/>
                <w:bCs/>
                <w:color w:val="auto"/>
                <w:sz w:val="21"/>
                <w:highlight w:val="none"/>
              </w:rPr>
            </w:pPr>
          </w:p>
        </w:tc>
        <w:tc>
          <w:tcPr>
            <w:tcW w:w="4061" w:type="dxa"/>
          </w:tcPr>
          <w:p>
            <w:pPr>
              <w:wordWrap w:val="0"/>
              <w:topLinePunct/>
              <w:spacing w:line="360" w:lineRule="exact"/>
              <w:jc w:val="center"/>
              <w:rPr>
                <w:rFonts w:hint="eastAsia" w:ascii="宋体" w:hAnsi="宋体" w:eastAsia="宋体" w:cs="宋体"/>
                <w:b/>
                <w:bCs/>
                <w:color w:val="auto"/>
                <w:sz w:val="21"/>
                <w:highlight w:val="none"/>
              </w:rPr>
            </w:pPr>
          </w:p>
        </w:tc>
        <w:tc>
          <w:tcPr>
            <w:tcW w:w="3900" w:type="dxa"/>
          </w:tcPr>
          <w:p>
            <w:pPr>
              <w:wordWrap w:val="0"/>
              <w:topLinePunct/>
              <w:spacing w:line="360" w:lineRule="exact"/>
              <w:jc w:val="center"/>
              <w:rPr>
                <w:rFonts w:hint="eastAsia" w:ascii="宋体" w:hAnsi="宋体" w:eastAsia="宋体" w:cs="宋体"/>
                <w:b/>
                <w:bCs/>
                <w:color w:val="auto"/>
                <w:sz w:val="21"/>
                <w:highlight w:val="none"/>
              </w:rPr>
            </w:pPr>
          </w:p>
        </w:tc>
        <w:tc>
          <w:tcPr>
            <w:tcW w:w="1223" w:type="dxa"/>
          </w:tcPr>
          <w:p>
            <w:pPr>
              <w:wordWrap w:val="0"/>
              <w:topLinePunct/>
              <w:spacing w:line="360" w:lineRule="exact"/>
              <w:jc w:val="center"/>
              <w:rPr>
                <w:rFonts w:hint="eastAsia" w:ascii="宋体" w:hAnsi="宋体" w:eastAsia="宋体"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hint="eastAsia" w:ascii="宋体" w:hAnsi="宋体" w:eastAsia="宋体" w:cs="宋体"/>
                <w:b/>
                <w:bCs/>
                <w:color w:val="auto"/>
                <w:sz w:val="21"/>
                <w:highlight w:val="none"/>
              </w:rPr>
            </w:pPr>
          </w:p>
        </w:tc>
        <w:tc>
          <w:tcPr>
            <w:tcW w:w="4061" w:type="dxa"/>
          </w:tcPr>
          <w:p>
            <w:pPr>
              <w:wordWrap w:val="0"/>
              <w:topLinePunct/>
              <w:spacing w:line="360" w:lineRule="exact"/>
              <w:jc w:val="center"/>
              <w:rPr>
                <w:rFonts w:hint="eastAsia" w:ascii="宋体" w:hAnsi="宋体" w:eastAsia="宋体" w:cs="宋体"/>
                <w:b/>
                <w:bCs/>
                <w:color w:val="auto"/>
                <w:sz w:val="21"/>
                <w:highlight w:val="none"/>
              </w:rPr>
            </w:pPr>
          </w:p>
        </w:tc>
        <w:tc>
          <w:tcPr>
            <w:tcW w:w="3900" w:type="dxa"/>
          </w:tcPr>
          <w:p>
            <w:pPr>
              <w:wordWrap w:val="0"/>
              <w:topLinePunct/>
              <w:spacing w:line="360" w:lineRule="exact"/>
              <w:jc w:val="center"/>
              <w:rPr>
                <w:rFonts w:hint="eastAsia" w:ascii="宋体" w:hAnsi="宋体" w:eastAsia="宋体" w:cs="宋体"/>
                <w:b/>
                <w:bCs/>
                <w:color w:val="auto"/>
                <w:sz w:val="21"/>
                <w:highlight w:val="none"/>
              </w:rPr>
            </w:pPr>
          </w:p>
        </w:tc>
        <w:tc>
          <w:tcPr>
            <w:tcW w:w="1223" w:type="dxa"/>
          </w:tcPr>
          <w:p>
            <w:pPr>
              <w:wordWrap w:val="0"/>
              <w:topLinePunct/>
              <w:spacing w:line="360" w:lineRule="exact"/>
              <w:jc w:val="center"/>
              <w:rPr>
                <w:rFonts w:hint="eastAsia" w:ascii="宋体" w:hAnsi="宋体" w:eastAsia="宋体" w:cs="宋体"/>
                <w:b/>
                <w:bCs/>
                <w:color w:val="auto"/>
                <w:sz w:val="21"/>
                <w:highlight w:val="none"/>
              </w:rPr>
            </w:pPr>
          </w:p>
        </w:tc>
      </w:tr>
    </w:tbl>
    <w:p>
      <w:pPr>
        <w:wordWrap w:val="0"/>
        <w:topLinePunct/>
        <w:spacing w:line="520" w:lineRule="exact"/>
        <w:ind w:firstLine="482" w:firstLineChars="200"/>
        <w:rPr>
          <w:rFonts w:hint="eastAsia" w:ascii="宋体" w:hAnsi="宋体" w:eastAsia="宋体" w:cs="宋体"/>
          <w:bCs/>
          <w:snapToGrid w:val="0"/>
          <w:color w:val="auto"/>
          <w:highlight w:val="none"/>
        </w:rPr>
      </w:pPr>
      <w:r>
        <w:rPr>
          <w:rFonts w:hint="eastAsia" w:ascii="宋体" w:hAnsi="宋体" w:eastAsia="宋体" w:cs="宋体"/>
          <w:b/>
          <w:snapToGrid w:val="0"/>
          <w:color w:val="auto"/>
          <w:highlight w:val="none"/>
        </w:rPr>
        <w:t>注：</w:t>
      </w:r>
      <w:r>
        <w:rPr>
          <w:rFonts w:hint="eastAsia" w:ascii="宋体" w:hAnsi="宋体" w:eastAsia="宋体" w:cs="宋体"/>
          <w:bCs/>
          <w:snapToGrid w:val="0"/>
          <w:color w:val="auto"/>
          <w:highlight w:val="none"/>
        </w:rPr>
        <w:t>①供应商必须据实填写有偏离的条款，不得虚假应答，否则将取消其成交资格。</w:t>
      </w:r>
    </w:p>
    <w:p>
      <w:pPr>
        <w:wordWrap w:val="0"/>
        <w:topLinePunct/>
        <w:spacing w:line="520" w:lineRule="exact"/>
        <w:ind w:firstLine="480" w:firstLineChars="200"/>
        <w:rPr>
          <w:rFonts w:hint="eastAsia" w:ascii="宋体" w:hAnsi="宋体" w:eastAsia="宋体" w:cs="宋体"/>
          <w:bCs/>
          <w:snapToGrid w:val="0"/>
          <w:color w:val="auto"/>
          <w:highlight w:val="none"/>
        </w:rPr>
      </w:pPr>
      <w:r>
        <w:rPr>
          <w:rFonts w:hint="eastAsia" w:ascii="宋体" w:hAnsi="宋体" w:eastAsia="宋体" w:cs="宋体"/>
          <w:bCs/>
          <w:snapToGrid w:val="0"/>
          <w:color w:val="auto"/>
          <w:highlight w:val="none"/>
        </w:rPr>
        <w:t>②如与竞争性磋商文件第五章技术及服务要求的条款内容有偏离(包括正偏离和负偏离)，</w:t>
      </w:r>
      <w:r>
        <w:rPr>
          <w:rFonts w:hint="eastAsia" w:ascii="宋体" w:hAnsi="宋体" w:eastAsia="宋体" w:cs="宋体"/>
          <w:b/>
          <w:snapToGrid w:val="0"/>
          <w:color w:val="auto"/>
          <w:highlight w:val="none"/>
        </w:rPr>
        <w:t>请将偏离条款逐条应答</w:t>
      </w:r>
      <w:r>
        <w:rPr>
          <w:rFonts w:hint="eastAsia" w:ascii="宋体" w:hAnsi="宋体" w:eastAsia="宋体" w:cs="宋体"/>
          <w:bCs/>
          <w:snapToGrid w:val="0"/>
          <w:color w:val="auto"/>
          <w:highlight w:val="none"/>
        </w:rPr>
        <w:t>，未在此表中进行应答或未明确偏离的条款视为默认完全响应和接受，供应商不得以未作应答而拒不接受</w:t>
      </w:r>
      <w:r>
        <w:rPr>
          <w:rFonts w:hint="eastAsia" w:ascii="宋体" w:hAnsi="宋体" w:eastAsia="宋体" w:cs="宋体"/>
          <w:b/>
          <w:snapToGrid w:val="0"/>
          <w:color w:val="auto"/>
          <w:highlight w:val="none"/>
        </w:rPr>
        <w:t>(要求提供承诺函或证明材料的条款，以供应商提供的承诺函内容或证明材料为准)</w:t>
      </w:r>
      <w:r>
        <w:rPr>
          <w:rFonts w:hint="eastAsia" w:ascii="宋体" w:hAnsi="宋体" w:eastAsia="宋体" w:cs="宋体"/>
          <w:bCs/>
          <w:snapToGrid w:val="0"/>
          <w:color w:val="auto"/>
          <w:highlight w:val="none"/>
        </w:rPr>
        <w:t>。</w:t>
      </w:r>
    </w:p>
    <w:p>
      <w:pPr>
        <w:pStyle w:val="47"/>
        <w:ind w:firstLine="482"/>
        <w:rPr>
          <w:rFonts w:hint="eastAsia" w:ascii="宋体" w:hAnsi="宋体" w:eastAsia="宋体" w:cs="宋体"/>
          <w:color w:val="auto"/>
          <w:highlight w:val="none"/>
        </w:rPr>
      </w:pPr>
      <w:r>
        <w:rPr>
          <w:rFonts w:hint="eastAsia" w:ascii="宋体" w:hAnsi="宋体" w:eastAsia="宋体" w:cs="宋体"/>
          <w:bCs/>
          <w:color w:val="auto"/>
          <w:highlight w:val="none"/>
        </w:rPr>
        <w:t>③评审时如对供应商响应文件中服务应答的内容存在歧义的，可要求供应商进行澄清</w:t>
      </w:r>
      <w:r>
        <w:rPr>
          <w:rFonts w:hint="eastAsia" w:ascii="宋体" w:hAnsi="宋体" w:eastAsia="宋体" w:cs="宋体"/>
          <w:color w:val="auto"/>
          <w:highlight w:val="none"/>
        </w:rPr>
        <w:t>。</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bCs/>
          <w:color w:val="auto"/>
          <w:highlight w:val="none"/>
          <w:u w:val="single"/>
        </w:rPr>
        <w:t xml:space="preserve">                 </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34"/>
    <w:bookmarkEnd w:id="335"/>
    <w:bookmarkEnd w:id="336"/>
    <w:p>
      <w:pPr>
        <w:pStyle w:val="44"/>
        <w:numPr>
          <w:ilvl w:val="0"/>
          <w:numId w:val="21"/>
        </w:numPr>
        <w:spacing w:before="120" w:after="120"/>
        <w:ind w:firstLine="0"/>
        <w:rPr>
          <w:rFonts w:hint="eastAsia" w:ascii="宋体" w:hAnsi="宋体" w:eastAsia="宋体" w:cs="宋体"/>
          <w:color w:val="auto"/>
          <w:highlight w:val="none"/>
        </w:rPr>
      </w:pPr>
      <w:bookmarkStart w:id="345" w:name="_Toc2656"/>
      <w:bookmarkStart w:id="346" w:name="_Toc3835"/>
      <w:bookmarkStart w:id="347" w:name="_Toc23430"/>
      <w:bookmarkStart w:id="348" w:name="_Toc26522"/>
      <w:r>
        <w:rPr>
          <w:rFonts w:hint="eastAsia" w:ascii="宋体" w:hAnsi="宋体" w:eastAsia="宋体" w:cs="宋体"/>
          <w:color w:val="auto"/>
          <w:highlight w:val="none"/>
        </w:rPr>
        <w:t>供应商针对本项目人员配置情况表</w:t>
      </w:r>
      <w:bookmarkEnd w:id="345"/>
      <w:bookmarkEnd w:id="346"/>
    </w:p>
    <w:p>
      <w:pPr>
        <w:pStyle w:val="43"/>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pPr>
        <w:pStyle w:val="43"/>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3"/>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类别</w:t>
            </w:r>
          </w:p>
        </w:tc>
        <w:tc>
          <w:tcPr>
            <w:tcW w:w="1018" w:type="dxa"/>
            <w:vMerge w:val="restart"/>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职务</w:t>
            </w:r>
          </w:p>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(岗位)</w:t>
            </w:r>
          </w:p>
        </w:tc>
        <w:tc>
          <w:tcPr>
            <w:tcW w:w="921" w:type="dxa"/>
            <w:vMerge w:val="restart"/>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姓名</w:t>
            </w:r>
          </w:p>
        </w:tc>
        <w:tc>
          <w:tcPr>
            <w:tcW w:w="923" w:type="dxa"/>
            <w:vMerge w:val="restart"/>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职称</w:t>
            </w:r>
          </w:p>
        </w:tc>
        <w:tc>
          <w:tcPr>
            <w:tcW w:w="922" w:type="dxa"/>
            <w:vMerge w:val="restart"/>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常住地</w:t>
            </w:r>
          </w:p>
        </w:tc>
        <w:tc>
          <w:tcPr>
            <w:tcW w:w="4919" w:type="dxa"/>
            <w:gridSpan w:val="4"/>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5"/>
              <w:rPr>
                <w:rFonts w:hint="eastAsia" w:ascii="宋体" w:hAnsi="宋体" w:eastAsia="宋体" w:cs="宋体"/>
                <w:b/>
                <w:bCs/>
                <w:color w:val="auto"/>
                <w:highlight w:val="none"/>
              </w:rPr>
            </w:pPr>
          </w:p>
        </w:tc>
        <w:tc>
          <w:tcPr>
            <w:tcW w:w="1018" w:type="dxa"/>
            <w:vMerge w:val="continue"/>
            <w:vAlign w:val="center"/>
          </w:tcPr>
          <w:p>
            <w:pPr>
              <w:pStyle w:val="45"/>
              <w:rPr>
                <w:rFonts w:hint="eastAsia" w:ascii="宋体" w:hAnsi="宋体" w:eastAsia="宋体" w:cs="宋体"/>
                <w:b/>
                <w:bCs/>
                <w:color w:val="auto"/>
                <w:highlight w:val="none"/>
              </w:rPr>
            </w:pPr>
          </w:p>
        </w:tc>
        <w:tc>
          <w:tcPr>
            <w:tcW w:w="921" w:type="dxa"/>
            <w:vMerge w:val="continue"/>
            <w:vAlign w:val="center"/>
          </w:tcPr>
          <w:p>
            <w:pPr>
              <w:pStyle w:val="45"/>
              <w:rPr>
                <w:rFonts w:hint="eastAsia" w:ascii="宋体" w:hAnsi="宋体" w:eastAsia="宋体" w:cs="宋体"/>
                <w:b/>
                <w:bCs/>
                <w:color w:val="auto"/>
                <w:highlight w:val="none"/>
              </w:rPr>
            </w:pPr>
          </w:p>
        </w:tc>
        <w:tc>
          <w:tcPr>
            <w:tcW w:w="923" w:type="dxa"/>
            <w:vMerge w:val="continue"/>
            <w:vAlign w:val="center"/>
          </w:tcPr>
          <w:p>
            <w:pPr>
              <w:pStyle w:val="45"/>
              <w:rPr>
                <w:rFonts w:hint="eastAsia" w:ascii="宋体" w:hAnsi="宋体" w:eastAsia="宋体" w:cs="宋体"/>
                <w:b/>
                <w:bCs/>
                <w:color w:val="auto"/>
                <w:highlight w:val="none"/>
              </w:rPr>
            </w:pPr>
          </w:p>
        </w:tc>
        <w:tc>
          <w:tcPr>
            <w:tcW w:w="922" w:type="dxa"/>
            <w:vMerge w:val="continue"/>
            <w:vAlign w:val="center"/>
          </w:tcPr>
          <w:p>
            <w:pPr>
              <w:pStyle w:val="45"/>
              <w:rPr>
                <w:rFonts w:hint="eastAsia" w:ascii="宋体" w:hAnsi="宋体" w:eastAsia="宋体" w:cs="宋体"/>
                <w:b/>
                <w:bCs/>
                <w:color w:val="auto"/>
                <w:highlight w:val="none"/>
              </w:rPr>
            </w:pPr>
          </w:p>
        </w:tc>
        <w:tc>
          <w:tcPr>
            <w:tcW w:w="1436" w:type="dxa"/>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证书名称</w:t>
            </w:r>
          </w:p>
        </w:tc>
        <w:tc>
          <w:tcPr>
            <w:tcW w:w="1022" w:type="dxa"/>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级别</w:t>
            </w:r>
          </w:p>
        </w:tc>
        <w:tc>
          <w:tcPr>
            <w:tcW w:w="1232" w:type="dxa"/>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证号</w:t>
            </w:r>
          </w:p>
        </w:tc>
        <w:tc>
          <w:tcPr>
            <w:tcW w:w="1229" w:type="dxa"/>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tcPr>
          <w:p>
            <w:pPr>
              <w:pStyle w:val="45"/>
              <w:rPr>
                <w:rFonts w:hint="eastAsia" w:ascii="宋体" w:hAnsi="宋体" w:eastAsia="宋体" w:cs="宋体"/>
                <w:color w:val="auto"/>
                <w:highlight w:val="none"/>
              </w:rPr>
            </w:pPr>
          </w:p>
        </w:tc>
        <w:tc>
          <w:tcPr>
            <w:tcW w:w="1018" w:type="dxa"/>
          </w:tcPr>
          <w:p>
            <w:pPr>
              <w:pStyle w:val="45"/>
              <w:rPr>
                <w:rFonts w:hint="eastAsia" w:ascii="宋体" w:hAnsi="宋体" w:eastAsia="宋体" w:cs="宋体"/>
                <w:color w:val="auto"/>
                <w:highlight w:val="none"/>
              </w:rPr>
            </w:pPr>
          </w:p>
        </w:tc>
        <w:tc>
          <w:tcPr>
            <w:tcW w:w="921" w:type="dxa"/>
          </w:tcPr>
          <w:p>
            <w:pPr>
              <w:pStyle w:val="45"/>
              <w:rPr>
                <w:rFonts w:hint="eastAsia" w:ascii="宋体" w:hAnsi="宋体" w:eastAsia="宋体" w:cs="宋体"/>
                <w:color w:val="auto"/>
                <w:highlight w:val="none"/>
              </w:rPr>
            </w:pPr>
          </w:p>
        </w:tc>
        <w:tc>
          <w:tcPr>
            <w:tcW w:w="923" w:type="dxa"/>
          </w:tcPr>
          <w:p>
            <w:pPr>
              <w:pStyle w:val="45"/>
              <w:rPr>
                <w:rFonts w:hint="eastAsia" w:ascii="宋体" w:hAnsi="宋体" w:eastAsia="宋体" w:cs="宋体"/>
                <w:color w:val="auto"/>
                <w:highlight w:val="none"/>
              </w:rPr>
            </w:pPr>
          </w:p>
        </w:tc>
        <w:tc>
          <w:tcPr>
            <w:tcW w:w="922" w:type="dxa"/>
          </w:tcPr>
          <w:p>
            <w:pPr>
              <w:pStyle w:val="45"/>
              <w:rPr>
                <w:rFonts w:hint="eastAsia" w:ascii="宋体" w:hAnsi="宋体" w:eastAsia="宋体" w:cs="宋体"/>
                <w:color w:val="auto"/>
                <w:highlight w:val="none"/>
              </w:rPr>
            </w:pPr>
          </w:p>
        </w:tc>
        <w:tc>
          <w:tcPr>
            <w:tcW w:w="1436" w:type="dxa"/>
          </w:tcPr>
          <w:p>
            <w:pPr>
              <w:pStyle w:val="45"/>
              <w:rPr>
                <w:rFonts w:hint="eastAsia" w:ascii="宋体" w:hAnsi="宋体" w:eastAsia="宋体" w:cs="宋体"/>
                <w:color w:val="auto"/>
                <w:highlight w:val="none"/>
              </w:rPr>
            </w:pPr>
          </w:p>
        </w:tc>
        <w:tc>
          <w:tcPr>
            <w:tcW w:w="1022" w:type="dxa"/>
          </w:tcPr>
          <w:p>
            <w:pPr>
              <w:pStyle w:val="45"/>
              <w:rPr>
                <w:rFonts w:hint="eastAsia" w:ascii="宋体" w:hAnsi="宋体" w:eastAsia="宋体" w:cs="宋体"/>
                <w:color w:val="auto"/>
                <w:highlight w:val="none"/>
              </w:rPr>
            </w:pPr>
          </w:p>
        </w:tc>
        <w:tc>
          <w:tcPr>
            <w:tcW w:w="1232" w:type="dxa"/>
          </w:tcPr>
          <w:p>
            <w:pPr>
              <w:pStyle w:val="45"/>
              <w:rPr>
                <w:rFonts w:hint="eastAsia" w:ascii="宋体" w:hAnsi="宋体" w:eastAsia="宋体" w:cs="宋体"/>
                <w:color w:val="auto"/>
                <w:highlight w:val="none"/>
              </w:rPr>
            </w:pPr>
          </w:p>
        </w:tc>
        <w:tc>
          <w:tcPr>
            <w:tcW w:w="1229" w:type="dxa"/>
          </w:tcPr>
          <w:p>
            <w:pPr>
              <w:pStyle w:val="45"/>
              <w:rPr>
                <w:rFonts w:hint="eastAsia" w:ascii="宋体" w:hAnsi="宋体" w:eastAsia="宋体" w:cs="宋体"/>
                <w:color w:val="auto"/>
                <w:highlight w:val="none"/>
              </w:rPr>
            </w:pPr>
          </w:p>
        </w:tc>
      </w:tr>
    </w:tbl>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注：供应商根据自身实际情况调整填写，对不涉及的内容可填写“/”。</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(签字或盖章)</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磋商日期：</w:t>
      </w:r>
      <w:r>
        <w:rPr>
          <w:rFonts w:hint="eastAsia" w:ascii="宋体" w:hAnsi="宋体" w:eastAsia="宋体" w:cs="宋体"/>
          <w:color w:val="auto"/>
          <w:highlight w:val="none"/>
          <w:u w:val="single"/>
        </w:rPr>
        <w:t xml:space="preserve">            </w:t>
      </w:r>
    </w:p>
    <w:p>
      <w:pPr>
        <w:pStyle w:val="44"/>
        <w:numPr>
          <w:ilvl w:val="0"/>
          <w:numId w:val="21"/>
        </w:numPr>
        <w:spacing w:before="120" w:after="120"/>
        <w:ind w:firstLine="0"/>
        <w:rPr>
          <w:rFonts w:hint="eastAsia" w:ascii="宋体" w:hAnsi="宋体" w:eastAsia="宋体" w:cs="宋体"/>
          <w:color w:val="auto"/>
          <w:highlight w:val="none"/>
        </w:rPr>
      </w:pPr>
      <w:bookmarkStart w:id="349" w:name="_Toc6463"/>
      <w:bookmarkStart w:id="350" w:name="_Toc9821"/>
      <w:bookmarkStart w:id="351" w:name="_Toc26988"/>
      <w:bookmarkStart w:id="352" w:name="_Toc6378"/>
      <w:r>
        <w:rPr>
          <w:rFonts w:hint="eastAsia" w:ascii="宋体" w:hAnsi="宋体" w:eastAsia="宋体" w:cs="宋体"/>
          <w:color w:val="auto"/>
          <w:highlight w:val="none"/>
        </w:rPr>
        <w:t>小微企业、监狱企业、残疾人福利性单位价格扣除</w:t>
      </w:r>
      <w:bookmarkEnd w:id="349"/>
      <w:bookmarkEnd w:id="350"/>
      <w:bookmarkEnd w:id="351"/>
      <w:bookmarkEnd w:id="352"/>
    </w:p>
    <w:p>
      <w:pPr>
        <w:pStyle w:val="44"/>
        <w:pageBreakBefore w:val="0"/>
        <w:spacing w:before="120" w:after="120"/>
        <w:outlineLvl w:val="3"/>
        <w:rPr>
          <w:rFonts w:hint="eastAsia" w:ascii="宋体" w:hAnsi="宋体" w:eastAsia="宋体" w:cs="宋体"/>
          <w:color w:val="auto"/>
          <w:highlight w:val="none"/>
        </w:rPr>
      </w:pPr>
      <w:bookmarkStart w:id="353" w:name="_Toc3833"/>
      <w:bookmarkStart w:id="354" w:name="_Toc11870"/>
      <w:r>
        <w:rPr>
          <w:rFonts w:hint="eastAsia" w:ascii="宋体" w:hAnsi="宋体" w:eastAsia="宋体" w:cs="宋体"/>
          <w:color w:val="auto"/>
          <w:highlight w:val="none"/>
        </w:rPr>
        <w:t>(一)中小企业声明函</w:t>
      </w:r>
      <w:bookmarkEnd w:id="353"/>
      <w:bookmarkEnd w:id="354"/>
    </w:p>
    <w:p>
      <w:pPr>
        <w:pStyle w:val="47"/>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本公司郑重声明，参照《政府采购促进中小企业发展管理办法》(财库〔2020〕46号)的规定，本公司参加</w:t>
      </w:r>
      <w:r>
        <w:rPr>
          <w:rFonts w:hint="eastAsia" w:ascii="宋体" w:hAnsi="宋体" w:eastAsia="宋体" w:cs="宋体"/>
          <w:b w:val="0"/>
          <w:bCs/>
          <w:color w:val="auto"/>
          <w:highlight w:val="none"/>
          <w:u w:val="single"/>
        </w:rPr>
        <w:t>(单位名称)</w:t>
      </w:r>
      <w:r>
        <w:rPr>
          <w:rFonts w:hint="eastAsia" w:ascii="宋体" w:hAnsi="宋体" w:eastAsia="宋体" w:cs="宋体"/>
          <w:b w:val="0"/>
          <w:bCs/>
          <w:color w:val="auto"/>
          <w:highlight w:val="none"/>
        </w:rPr>
        <w:t>的</w:t>
      </w:r>
      <w:r>
        <w:rPr>
          <w:rFonts w:hint="eastAsia" w:ascii="宋体" w:hAnsi="宋体" w:eastAsia="宋体" w:cs="宋体"/>
          <w:b w:val="0"/>
          <w:bCs/>
          <w:color w:val="auto"/>
          <w:highlight w:val="none"/>
          <w:u w:val="single"/>
        </w:rPr>
        <w:t>(项目名称)</w:t>
      </w:r>
      <w:r>
        <w:rPr>
          <w:rFonts w:hint="eastAsia" w:ascii="宋体" w:hAnsi="宋体" w:eastAsia="宋体" w:cs="宋体"/>
          <w:b w:val="0"/>
          <w:bCs/>
          <w:color w:val="auto"/>
          <w:highlight w:val="none"/>
        </w:rPr>
        <w:t>采购活动，服务全部由符合政策要求的中小企业承接。相关企业的具体情况如下：</w:t>
      </w:r>
    </w:p>
    <w:p>
      <w:pPr>
        <w:pStyle w:val="47"/>
        <w:rPr>
          <w:rFonts w:hint="eastAsia" w:ascii="宋体" w:hAnsi="宋体" w:eastAsia="宋体" w:cs="宋体"/>
          <w:b w:val="0"/>
          <w:bCs/>
          <w:color w:val="auto"/>
          <w:highlight w:val="none"/>
        </w:rPr>
      </w:pPr>
      <w:r>
        <w:rPr>
          <w:rFonts w:hint="eastAsia" w:ascii="宋体" w:hAnsi="宋体" w:eastAsia="宋体" w:cs="宋体"/>
          <w:b w:val="0"/>
          <w:bCs/>
          <w:color w:val="auto"/>
          <w:highlight w:val="none"/>
          <w:u w:val="single"/>
        </w:rPr>
        <w:t>(标的名称)</w:t>
      </w:r>
      <w:r>
        <w:rPr>
          <w:rFonts w:hint="eastAsia" w:ascii="宋体" w:hAnsi="宋体" w:eastAsia="宋体" w:cs="宋体"/>
          <w:b w:val="0"/>
          <w:bCs/>
          <w:color w:val="auto"/>
          <w:highlight w:val="none"/>
        </w:rPr>
        <w:t>，属于</w:t>
      </w:r>
      <w:r>
        <w:rPr>
          <w:rFonts w:hint="eastAsia" w:ascii="宋体" w:hAnsi="宋体" w:eastAsia="宋体" w:cs="宋体"/>
          <w:b w:val="0"/>
          <w:bCs/>
          <w:color w:val="auto"/>
          <w:highlight w:val="none"/>
          <w:u w:val="single"/>
        </w:rPr>
        <w:t>(采购文件中明确的所属行业)</w:t>
      </w:r>
      <w:r>
        <w:rPr>
          <w:rFonts w:hint="eastAsia" w:ascii="宋体" w:hAnsi="宋体" w:eastAsia="宋体" w:cs="宋体"/>
          <w:b w:val="0"/>
          <w:bCs/>
          <w:color w:val="auto"/>
          <w:highlight w:val="none"/>
        </w:rPr>
        <w:t>；承接企业为</w:t>
      </w:r>
      <w:r>
        <w:rPr>
          <w:rFonts w:hint="eastAsia" w:ascii="宋体" w:hAnsi="宋体" w:eastAsia="宋体" w:cs="宋体"/>
          <w:b w:val="0"/>
          <w:bCs/>
          <w:color w:val="auto"/>
          <w:highlight w:val="none"/>
          <w:u w:val="single"/>
        </w:rPr>
        <w:t>(企业名称)</w:t>
      </w:r>
      <w:r>
        <w:rPr>
          <w:rFonts w:hint="eastAsia" w:ascii="宋体" w:hAnsi="宋体" w:eastAsia="宋体" w:cs="宋体"/>
          <w:b w:val="0"/>
          <w:bCs/>
          <w:color w:val="auto"/>
          <w:highlight w:val="none"/>
        </w:rPr>
        <w:t>，从业人员</w:t>
      </w:r>
      <w:r>
        <w:rPr>
          <w:rFonts w:hint="eastAsia" w:ascii="宋体" w:hAnsi="宋体" w:eastAsia="宋体" w:cs="宋体"/>
          <w:b w:val="0"/>
          <w:bCs/>
          <w:color w:val="auto"/>
          <w:highlight w:val="none"/>
          <w:u w:val="single"/>
        </w:rPr>
        <w:t xml:space="preserve">    </w:t>
      </w:r>
      <w:r>
        <w:rPr>
          <w:rFonts w:hint="eastAsia" w:ascii="宋体" w:hAnsi="宋体" w:eastAsia="宋体" w:cs="宋体"/>
          <w:b w:val="0"/>
          <w:bCs/>
          <w:color w:val="auto"/>
          <w:highlight w:val="none"/>
        </w:rPr>
        <w:t>人，营业收入为</w:t>
      </w:r>
      <w:r>
        <w:rPr>
          <w:rFonts w:hint="eastAsia" w:ascii="宋体" w:hAnsi="宋体" w:eastAsia="宋体" w:cs="宋体"/>
          <w:b w:val="0"/>
          <w:bCs/>
          <w:color w:val="auto"/>
          <w:highlight w:val="none"/>
          <w:u w:val="single"/>
        </w:rPr>
        <w:t xml:space="preserve">    </w:t>
      </w:r>
      <w:r>
        <w:rPr>
          <w:rFonts w:hint="eastAsia" w:ascii="宋体" w:hAnsi="宋体" w:eastAsia="宋体" w:cs="宋体"/>
          <w:b w:val="0"/>
          <w:bCs/>
          <w:color w:val="auto"/>
          <w:highlight w:val="none"/>
        </w:rPr>
        <w:tab/>
      </w:r>
      <w:r>
        <w:rPr>
          <w:rFonts w:hint="eastAsia" w:ascii="宋体" w:hAnsi="宋体" w:eastAsia="宋体" w:cs="宋体"/>
          <w:b w:val="0"/>
          <w:bCs/>
          <w:color w:val="auto"/>
          <w:highlight w:val="none"/>
        </w:rPr>
        <w:t>万元，资产总额为</w:t>
      </w:r>
      <w:r>
        <w:rPr>
          <w:rFonts w:hint="eastAsia" w:ascii="宋体" w:hAnsi="宋体" w:eastAsia="宋体" w:cs="宋体"/>
          <w:b w:val="0"/>
          <w:bCs/>
          <w:color w:val="auto"/>
          <w:highlight w:val="none"/>
          <w:u w:val="single"/>
        </w:rPr>
        <w:t xml:space="preserve">    </w:t>
      </w:r>
      <w:r>
        <w:rPr>
          <w:rFonts w:hint="eastAsia" w:ascii="宋体" w:hAnsi="宋体" w:eastAsia="宋体" w:cs="宋体"/>
          <w:b w:val="0"/>
          <w:bCs/>
          <w:color w:val="auto"/>
          <w:highlight w:val="none"/>
        </w:rPr>
        <w:t>万元，属于</w:t>
      </w:r>
      <w:r>
        <w:rPr>
          <w:rFonts w:hint="eastAsia" w:ascii="宋体" w:hAnsi="宋体" w:eastAsia="宋体" w:cs="宋体"/>
          <w:b w:val="0"/>
          <w:bCs/>
          <w:color w:val="auto"/>
          <w:highlight w:val="none"/>
          <w:u w:val="single"/>
        </w:rPr>
        <w:t>(中型企业、小型企业、微型企业)</w:t>
      </w:r>
      <w:r>
        <w:rPr>
          <w:rFonts w:hint="eastAsia" w:ascii="宋体" w:hAnsi="宋体" w:eastAsia="宋体" w:cs="宋体"/>
          <w:b w:val="0"/>
          <w:bCs/>
          <w:color w:val="auto"/>
          <w:highlight w:val="none"/>
        </w:rPr>
        <w:t>；</w:t>
      </w:r>
    </w:p>
    <w:p>
      <w:pPr>
        <w:pStyle w:val="47"/>
        <w:rPr>
          <w:rFonts w:hint="eastAsia" w:ascii="宋体" w:hAnsi="宋体" w:eastAsia="宋体" w:cs="宋体"/>
          <w:b w:val="0"/>
          <w:bCs/>
          <w:color w:val="auto"/>
          <w:highlight w:val="none"/>
        </w:rPr>
      </w:pPr>
      <w:r>
        <w:rPr>
          <w:rFonts w:hint="eastAsia" w:ascii="宋体" w:hAnsi="宋体" w:eastAsia="宋体" w:cs="宋体"/>
          <w:b w:val="0"/>
          <w:bCs/>
          <w:color w:val="auto"/>
          <w:highlight w:val="none"/>
        </w:rPr>
        <w:t>以上企业，不属于大企业的分支机构，不存在控股股东为大企业的情形，也不存在与大企业的负责人为同一人的情形。</w:t>
      </w:r>
    </w:p>
    <w:p>
      <w:pPr>
        <w:pStyle w:val="47"/>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本企业对上述声明内容的真实性负责。如有虚假，将依法承担相应责任。</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ind w:left="4800" w:leftChars="2000"/>
        <w:rPr>
          <w:rFonts w:hint="eastAsia" w:ascii="宋体" w:hAnsi="宋体" w:eastAsia="宋体" w:cs="宋体"/>
          <w:color w:val="auto"/>
          <w:highlight w:val="none"/>
        </w:rPr>
      </w:pPr>
      <w:r>
        <w:rPr>
          <w:rFonts w:hint="eastAsia" w:ascii="宋体" w:hAnsi="宋体" w:eastAsia="宋体" w:cs="宋体"/>
          <w:color w:val="auto"/>
          <w:highlight w:val="none"/>
        </w:rPr>
        <w:t>企业名称(盖章)：</w:t>
      </w:r>
      <w:r>
        <w:rPr>
          <w:rFonts w:hint="eastAsia" w:ascii="宋体" w:hAnsi="宋体" w:eastAsia="宋体" w:cs="宋体"/>
          <w:color w:val="auto"/>
          <w:highlight w:val="none"/>
          <w:u w:val="single"/>
        </w:rPr>
        <w:t xml:space="preserve">        </w:t>
      </w:r>
    </w:p>
    <w:p>
      <w:pPr>
        <w:pStyle w:val="43"/>
        <w:ind w:left="4800" w:leftChars="200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47"/>
        <w:ind w:firstLine="482"/>
        <w:rPr>
          <w:rFonts w:hint="eastAsia" w:ascii="宋体" w:hAnsi="宋体" w:eastAsia="宋体" w:cs="宋体"/>
          <w:color w:val="auto"/>
          <w:highlight w:val="none"/>
        </w:rPr>
      </w:pP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注：从业人员、营业收入、资产总额填报上一年度数据，无上一年度数据的新成立企业可不填报。</w:t>
      </w:r>
    </w:p>
    <w:p>
      <w:pPr>
        <w:pStyle w:val="43"/>
        <w:ind w:left="4800" w:leftChars="200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4"/>
        <w:spacing w:before="120" w:after="120"/>
        <w:outlineLvl w:val="3"/>
        <w:rPr>
          <w:rFonts w:hint="eastAsia" w:ascii="宋体" w:hAnsi="宋体" w:eastAsia="宋体" w:cs="宋体"/>
          <w:color w:val="auto"/>
          <w:highlight w:val="none"/>
        </w:rPr>
      </w:pPr>
      <w:bookmarkStart w:id="355" w:name="_Toc10855"/>
      <w:bookmarkStart w:id="356" w:name="_Toc8482"/>
      <w:r>
        <w:rPr>
          <w:rFonts w:hint="eastAsia" w:ascii="宋体" w:hAnsi="宋体" w:eastAsia="宋体" w:cs="宋体"/>
          <w:color w:val="auto"/>
          <w:highlight w:val="none"/>
        </w:rPr>
        <w:t>(二)监狱企业相关证明材料(如涉及)</w:t>
      </w:r>
      <w:bookmarkEnd w:id="355"/>
      <w:bookmarkEnd w:id="356"/>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说明：①监狱企业参加采购活动时，在参加采购活动时需提供由省级以上监狱管理局、戒毒管理局(含新疆生产建设兵团)出具的属于监狱企业的证明文件。未提供监狱企业相关证明材料的，则不能享受磋商文件规定的价格扣除。</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②非监狱企业无需提供证明材料，不影响供应商响应文件的有效性。</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③供应商参加采购活动时，提供虚假监狱企业相关证明材料的，以提供虚假材料谋取成交处理。</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4"/>
        <w:spacing w:before="120" w:after="120"/>
        <w:outlineLvl w:val="3"/>
        <w:rPr>
          <w:rFonts w:hint="eastAsia" w:ascii="宋体" w:hAnsi="宋体" w:eastAsia="宋体" w:cs="宋体"/>
          <w:color w:val="auto"/>
          <w:highlight w:val="none"/>
        </w:rPr>
      </w:pPr>
      <w:bookmarkStart w:id="357" w:name="_Toc3180"/>
      <w:bookmarkStart w:id="358" w:name="_Toc29628"/>
      <w:r>
        <w:rPr>
          <w:rFonts w:hint="eastAsia" w:ascii="宋体" w:hAnsi="宋体" w:eastAsia="宋体" w:cs="宋体"/>
          <w:color w:val="auto"/>
          <w:highlight w:val="none"/>
        </w:rPr>
        <w:t>(三)残疾人福利性单位声明函(如涉及)</w:t>
      </w:r>
      <w:bookmarkEnd w:id="357"/>
      <w:bookmarkEnd w:id="358"/>
    </w:p>
    <w:p>
      <w:pPr>
        <w:pStyle w:val="46"/>
        <w:rPr>
          <w:rFonts w:hint="eastAsia" w:ascii="宋体" w:hAnsi="宋体" w:eastAsia="宋体" w:cs="宋体"/>
          <w:color w:val="auto"/>
          <w:highlight w:val="none"/>
        </w:rPr>
      </w:pPr>
      <w:r>
        <w:rPr>
          <w:rFonts w:hint="eastAsia" w:ascii="宋体" w:hAnsi="宋体" w:eastAsia="宋体" w:cs="宋体"/>
          <w:color w:val="auto"/>
          <w:highlight w:val="none"/>
        </w:rPr>
        <w:t>本单位郑重声明，参照《财政部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单位的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项目采购活动提供本单位提供的服务。</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ind w:left="4800" w:leftChars="2000"/>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(盖章)</w:t>
      </w:r>
    </w:p>
    <w:p>
      <w:pPr>
        <w:pStyle w:val="43"/>
        <w:ind w:left="4800" w:leftChars="20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47"/>
        <w:ind w:firstLine="482"/>
        <w:rPr>
          <w:rFonts w:hint="eastAsia" w:ascii="宋体" w:hAnsi="宋体" w:eastAsia="宋体" w:cs="宋体"/>
          <w:color w:val="auto"/>
          <w:highlight w:val="none"/>
        </w:rPr>
      </w:pP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说明：①残疾人福利性单位参与采购活动时，在参加采购活动时需提供残疾人福利性单位声明函，则不能享受磋商文件规定的价格扣除。</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②非残疾人福利性单位，无需提供此声明函，不影响供应商响应文件的有效性。</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③供应商参加采购活动时，提供虚假残疾人福利性单位声明函的，以提供虚假材料谋取成交处理。</w:t>
      </w:r>
    </w:p>
    <w:p>
      <w:pPr>
        <w:pStyle w:val="43"/>
        <w:ind w:left="4800" w:leftChars="2000"/>
        <w:rPr>
          <w:rFonts w:hint="eastAsia" w:ascii="宋体" w:hAnsi="宋体" w:eastAsia="宋体" w:cs="宋体"/>
          <w:color w:val="auto"/>
          <w:highlight w:val="none"/>
          <w:u w:val="single"/>
        </w:rPr>
      </w:pPr>
    </w:p>
    <w:bookmarkEnd w:id="347"/>
    <w:bookmarkEnd w:id="348"/>
    <w:p>
      <w:pPr>
        <w:pStyle w:val="44"/>
        <w:numPr>
          <w:ilvl w:val="0"/>
          <w:numId w:val="21"/>
        </w:numPr>
        <w:spacing w:before="120" w:after="120"/>
        <w:ind w:firstLine="0"/>
        <w:rPr>
          <w:rFonts w:hint="eastAsia" w:ascii="宋体" w:hAnsi="宋体" w:eastAsia="宋体" w:cs="宋体"/>
          <w:color w:val="auto"/>
          <w:highlight w:val="none"/>
        </w:rPr>
      </w:pPr>
      <w:bookmarkStart w:id="359" w:name="_Toc5113"/>
      <w:bookmarkStart w:id="360" w:name="_Toc28539"/>
      <w:bookmarkStart w:id="361" w:name="_Toc18315"/>
      <w:r>
        <w:rPr>
          <w:rFonts w:hint="eastAsia" w:ascii="宋体" w:hAnsi="宋体" w:eastAsia="宋体" w:cs="宋体"/>
          <w:color w:val="auto"/>
          <w:highlight w:val="none"/>
        </w:rPr>
        <w:t>履约能力及相关证明</w:t>
      </w:r>
      <w:bookmarkEnd w:id="359"/>
      <w:bookmarkEnd w:id="360"/>
      <w:bookmarkEnd w:id="361"/>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注：格式自拟。</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bookmarkEnd w:id="337"/>
    <w:p>
      <w:pPr>
        <w:pStyle w:val="43"/>
        <w:rPr>
          <w:rFonts w:hint="eastAsia" w:ascii="宋体" w:hAnsi="宋体" w:eastAsia="宋体" w:cs="宋体"/>
          <w:color w:val="auto"/>
          <w:highlight w:val="none"/>
        </w:rPr>
      </w:pPr>
      <w:bookmarkStart w:id="362" w:name="_Toc19240"/>
      <w:r>
        <w:rPr>
          <w:rFonts w:hint="eastAsia" w:ascii="宋体" w:hAnsi="宋体" w:eastAsia="宋体" w:cs="宋体"/>
          <w:color w:val="auto"/>
          <w:highlight w:val="none"/>
        </w:rPr>
        <w:br w:type="page"/>
      </w:r>
      <w:bookmarkEnd w:id="362"/>
    </w:p>
    <w:p>
      <w:pPr>
        <w:pStyle w:val="44"/>
        <w:numPr>
          <w:ilvl w:val="0"/>
          <w:numId w:val="21"/>
        </w:numPr>
        <w:spacing w:before="120" w:after="120"/>
        <w:ind w:firstLine="0"/>
        <w:rPr>
          <w:rFonts w:hint="eastAsia" w:ascii="宋体" w:hAnsi="宋体" w:eastAsia="宋体" w:cs="宋体"/>
          <w:color w:val="auto"/>
          <w:highlight w:val="none"/>
        </w:rPr>
      </w:pPr>
      <w:bookmarkStart w:id="363" w:name="_Toc20002"/>
      <w:bookmarkStart w:id="364" w:name="_Toc16092"/>
      <w:bookmarkStart w:id="365" w:name="_Toc29862"/>
      <w:bookmarkStart w:id="366" w:name="_Toc9348"/>
      <w:bookmarkStart w:id="367" w:name="_Toc881"/>
      <w:bookmarkStart w:id="368" w:name="_Toc18724"/>
      <w:r>
        <w:rPr>
          <w:rFonts w:hint="eastAsia" w:ascii="宋体" w:hAnsi="宋体" w:eastAsia="宋体" w:cs="宋体"/>
          <w:color w:val="auto"/>
          <w:highlight w:val="none"/>
          <w:lang w:val="en-US" w:eastAsia="zh-CN"/>
        </w:rPr>
        <w:t>项目实施</w:t>
      </w:r>
      <w:r>
        <w:rPr>
          <w:rFonts w:hint="eastAsia" w:ascii="宋体" w:hAnsi="宋体" w:eastAsia="宋体" w:cs="宋体"/>
          <w:color w:val="auto"/>
          <w:highlight w:val="none"/>
        </w:rPr>
        <w:t>方案</w:t>
      </w:r>
      <w:bookmarkEnd w:id="363"/>
      <w:bookmarkEnd w:id="364"/>
      <w:bookmarkEnd w:id="365"/>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后期服务方案及培训方案</w:t>
      </w:r>
      <w:bookmarkEnd w:id="366"/>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注：格式自拟。</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4"/>
        <w:numPr>
          <w:ilvl w:val="0"/>
          <w:numId w:val="21"/>
        </w:numPr>
        <w:spacing w:before="120" w:after="120"/>
        <w:ind w:firstLine="0"/>
        <w:rPr>
          <w:rFonts w:hint="eastAsia" w:ascii="宋体" w:hAnsi="宋体" w:eastAsia="宋体" w:cs="宋体"/>
          <w:color w:val="auto"/>
          <w:highlight w:val="none"/>
        </w:rPr>
      </w:pPr>
      <w:bookmarkStart w:id="369" w:name="_Toc32188"/>
      <w:bookmarkStart w:id="370" w:name="_Toc3052"/>
      <w:bookmarkStart w:id="371" w:name="_Toc13054"/>
      <w:r>
        <w:rPr>
          <w:rFonts w:hint="eastAsia" w:ascii="宋体" w:hAnsi="宋体" w:eastAsia="宋体" w:cs="宋体"/>
          <w:color w:val="auto"/>
          <w:highlight w:val="none"/>
        </w:rPr>
        <w:t>招标代理服务费承诺函</w:t>
      </w:r>
      <w:bookmarkEnd w:id="369"/>
      <w:bookmarkEnd w:id="370"/>
      <w:bookmarkEnd w:id="371"/>
    </w:p>
    <w:p>
      <w:pPr>
        <w:pStyle w:val="43"/>
        <w:rPr>
          <w:rFonts w:hint="eastAsia" w:ascii="宋体" w:hAnsi="宋体" w:eastAsia="宋体" w:cs="宋体"/>
          <w:color w:val="auto"/>
          <w:highlight w:val="none"/>
        </w:rPr>
      </w:pPr>
      <w:r>
        <w:rPr>
          <w:rFonts w:hint="eastAsia" w:ascii="宋体" w:hAnsi="宋体" w:eastAsia="宋体" w:cs="宋体"/>
          <w:color w:val="auto"/>
          <w:highlight w:val="none"/>
        </w:rPr>
        <w:t>四川乾新招投标代理有限公司：</w:t>
      </w:r>
    </w:p>
    <w:p>
      <w:pPr>
        <w:pStyle w:val="46"/>
        <w:rPr>
          <w:rFonts w:hint="eastAsia" w:ascii="宋体" w:hAnsi="宋体" w:eastAsia="宋体" w:cs="宋体"/>
          <w:b/>
          <w:bCs/>
          <w:color w:val="auto"/>
          <w:highlight w:val="none"/>
        </w:rPr>
      </w:pPr>
      <w:r>
        <w:rPr>
          <w:rFonts w:hint="eastAsia" w:ascii="宋体" w:hAnsi="宋体" w:eastAsia="宋体" w:cs="宋体"/>
          <w:color w:val="auto"/>
          <w:highlight w:val="none"/>
        </w:rPr>
        <w:t>我单位在贵公司代理的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)竞争性磋商中若获成交，我们保证在收到成交通知后2个工作日内按要求，以支票、银行汇票、电汇、现金或经贵公司认可的一种方式，向贵公司即四川乾新招投标代理有限公司指定的银行账号，按照磋商</w:t>
      </w:r>
      <w:r>
        <w:rPr>
          <w:rFonts w:hint="eastAsia" w:ascii="宋体" w:hAnsi="宋体" w:eastAsia="宋体" w:cs="宋体"/>
          <w:color w:val="auto"/>
          <w:highlight w:val="none"/>
          <w:lang w:val="zh-CN"/>
        </w:rPr>
        <w:t>文件中招标代理</w:t>
      </w:r>
      <w:r>
        <w:rPr>
          <w:rFonts w:hint="eastAsia" w:ascii="宋体" w:hAnsi="宋体" w:eastAsia="宋体" w:cs="宋体"/>
          <w:color w:val="auto"/>
          <w:highlight w:val="none"/>
        </w:rPr>
        <w:t>服务费收取标准一次性支付合同全额的招标代理服务费。</w:t>
      </w:r>
      <w:r>
        <w:rPr>
          <w:rFonts w:hint="eastAsia" w:ascii="宋体" w:hAnsi="宋体" w:eastAsia="宋体" w:cs="宋体"/>
          <w:b/>
          <w:bCs/>
          <w:color w:val="auto"/>
          <w:highlight w:val="none"/>
        </w:rPr>
        <w:t>如因我单位自身原因造成取消成交资格或自愿放弃成交资格的，我单位支付的招标代理服务费不予退还，由此造成的损失由我单位自行承担。</w:t>
      </w:r>
    </w:p>
    <w:p>
      <w:pPr>
        <w:pStyle w:val="46"/>
        <w:rPr>
          <w:rFonts w:hint="eastAsia" w:ascii="宋体" w:hAnsi="宋体" w:eastAsia="宋体" w:cs="宋体"/>
          <w:color w:val="auto"/>
          <w:highlight w:val="none"/>
        </w:rPr>
      </w:pPr>
    </w:p>
    <w:p>
      <w:pPr>
        <w:pStyle w:val="46"/>
        <w:rPr>
          <w:rFonts w:hint="eastAsia" w:ascii="宋体" w:hAnsi="宋体" w:eastAsia="宋体" w:cs="宋体"/>
          <w:color w:val="auto"/>
          <w:highlight w:val="none"/>
        </w:rPr>
      </w:pPr>
    </w:p>
    <w:p>
      <w:pPr>
        <w:pStyle w:val="46"/>
        <w:rPr>
          <w:rFonts w:hint="eastAsia" w:ascii="宋体" w:hAnsi="宋体" w:eastAsia="宋体" w:cs="宋体"/>
          <w:color w:val="auto"/>
          <w:highlight w:val="none"/>
        </w:rPr>
      </w:pPr>
      <w:r>
        <w:rPr>
          <w:rFonts w:hint="eastAsia" w:ascii="宋体" w:hAnsi="宋体" w:eastAsia="宋体" w:cs="宋体"/>
          <w:color w:val="auto"/>
          <w:highlight w:val="none"/>
        </w:rPr>
        <w:t>特此承诺。</w:t>
      </w:r>
    </w:p>
    <w:p>
      <w:pPr>
        <w:pStyle w:val="43"/>
        <w:rPr>
          <w:rFonts w:hint="eastAsia" w:ascii="宋体" w:hAnsi="宋体" w:eastAsia="宋体" w:cs="宋体"/>
          <w:color w:val="auto"/>
          <w:highlight w:val="none"/>
        </w:rPr>
      </w:pPr>
    </w:p>
    <w:p>
      <w:pPr>
        <w:pStyle w:val="43"/>
        <w:rPr>
          <w:rFonts w:hint="eastAsia" w:ascii="宋体" w:hAnsi="宋体" w:eastAsia="宋体" w:cs="宋体"/>
          <w:color w:val="auto"/>
          <w:highlight w:val="none"/>
        </w:rPr>
      </w:pP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(盖章)</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bCs/>
          <w:color w:val="auto"/>
          <w:highlight w:val="none"/>
          <w:u w:val="single"/>
        </w:rPr>
        <w:t xml:space="preserve">                </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电  话：</w:t>
      </w:r>
      <w:r>
        <w:rPr>
          <w:rFonts w:hint="eastAsia" w:ascii="宋体" w:hAnsi="宋体" w:eastAsia="宋体" w:cs="宋体"/>
          <w:bCs/>
          <w:color w:val="auto"/>
          <w:highlight w:val="none"/>
          <w:u w:val="single"/>
        </w:rPr>
        <w:t xml:space="preserve">                </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传  真：</w:t>
      </w:r>
      <w:r>
        <w:rPr>
          <w:rFonts w:hint="eastAsia" w:ascii="宋体" w:hAnsi="宋体" w:eastAsia="宋体" w:cs="宋体"/>
          <w:bCs/>
          <w:color w:val="auto"/>
          <w:highlight w:val="none"/>
          <w:u w:val="single"/>
        </w:rPr>
        <w:t xml:space="preserve">                </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邮  编：</w:t>
      </w:r>
      <w:r>
        <w:rPr>
          <w:rFonts w:hint="eastAsia" w:ascii="宋体" w:hAnsi="宋体" w:eastAsia="宋体" w:cs="宋体"/>
          <w:bCs/>
          <w:color w:val="auto"/>
          <w:highlight w:val="none"/>
          <w:u w:val="single"/>
        </w:rPr>
        <w:t xml:space="preserve">                </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bCs/>
          <w:color w:val="auto"/>
          <w:highlight w:val="none"/>
          <w:u w:val="single"/>
        </w:rPr>
        <w:t xml:space="preserve">               </w:t>
      </w:r>
      <w:r>
        <w:rPr>
          <w:rFonts w:hint="eastAsia" w:ascii="宋体" w:hAnsi="宋体" w:eastAsia="宋体" w:cs="宋体"/>
          <w:color w:val="auto"/>
          <w:highlight w:val="none"/>
        </w:rPr>
        <w:t>(签字或盖章)</w:t>
      </w:r>
    </w:p>
    <w:p>
      <w:pPr>
        <w:ind w:firstLine="48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承诺日期：</w:t>
      </w:r>
      <w:r>
        <w:rPr>
          <w:rFonts w:hint="eastAsia" w:ascii="宋体" w:hAnsi="宋体" w:eastAsia="宋体" w:cs="宋体"/>
          <w:bCs/>
          <w:color w:val="auto"/>
          <w:highlight w:val="none"/>
          <w:u w:val="single"/>
        </w:rPr>
        <w:t xml:space="preserve">                </w:t>
      </w:r>
    </w:p>
    <w:p>
      <w:pPr>
        <w:rPr>
          <w:rFonts w:hint="eastAsia" w:ascii="宋体" w:hAnsi="宋体" w:eastAsia="宋体" w:cs="宋体"/>
          <w:bCs/>
          <w:color w:val="auto"/>
          <w:highlight w:val="none"/>
          <w:u w:val="single"/>
        </w:rPr>
      </w:pPr>
      <w:r>
        <w:rPr>
          <w:rFonts w:hint="eastAsia" w:ascii="宋体" w:hAnsi="宋体" w:eastAsia="宋体" w:cs="宋体"/>
          <w:bCs/>
          <w:color w:val="auto"/>
          <w:highlight w:val="none"/>
          <w:u w:val="single"/>
        </w:rPr>
        <w:br w:type="page"/>
      </w:r>
    </w:p>
    <w:p>
      <w:pPr>
        <w:pStyle w:val="44"/>
        <w:numPr>
          <w:ilvl w:val="0"/>
          <w:numId w:val="21"/>
        </w:numPr>
        <w:spacing w:before="120" w:after="120"/>
        <w:ind w:firstLine="0"/>
        <w:rPr>
          <w:rFonts w:hint="eastAsia" w:ascii="宋体" w:hAnsi="宋体" w:eastAsia="宋体" w:cs="宋体"/>
          <w:color w:val="auto"/>
          <w:highlight w:val="none"/>
        </w:rPr>
      </w:pPr>
      <w:bookmarkStart w:id="372" w:name="_Toc25030"/>
      <w:bookmarkStart w:id="373" w:name="_Toc10668"/>
      <w:bookmarkStart w:id="374" w:name="_Toc26159"/>
      <w:r>
        <w:rPr>
          <w:rFonts w:hint="eastAsia" w:ascii="宋体" w:hAnsi="宋体" w:eastAsia="宋体" w:cs="宋体"/>
          <w:color w:val="auto"/>
          <w:highlight w:val="none"/>
        </w:rPr>
        <w:t>报价表</w:t>
      </w:r>
      <w:bookmarkEnd w:id="372"/>
      <w:bookmarkEnd w:id="373"/>
      <w:bookmarkEnd w:id="374"/>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28"/>
          <w:highlight w:val="none"/>
        </w:rPr>
        <w:t>第</w:t>
      </w:r>
      <w:r>
        <w:rPr>
          <w:rFonts w:hint="eastAsia" w:ascii="宋体" w:hAnsi="宋体" w:eastAsia="宋体" w:cs="宋体"/>
          <w:color w:val="auto"/>
          <w:sz w:val="32"/>
          <w:szCs w:val="28"/>
          <w:highlight w:val="none"/>
          <w:u w:val="single"/>
        </w:rPr>
        <w:t xml:space="preserve"> N </w:t>
      </w:r>
      <w:r>
        <w:rPr>
          <w:rFonts w:hint="eastAsia" w:ascii="宋体" w:hAnsi="宋体" w:eastAsia="宋体" w:cs="宋体"/>
          <w:color w:val="auto"/>
          <w:sz w:val="32"/>
          <w:szCs w:val="28"/>
          <w:highlight w:val="none"/>
        </w:rPr>
        <w:t>轮报价/最后报价(</w:t>
      </w:r>
      <w:r>
        <w:rPr>
          <w:rFonts w:hint="eastAsia" w:ascii="宋体" w:hAnsi="宋体" w:eastAsia="宋体" w:cs="宋体"/>
          <w:b/>
          <w:color w:val="auto"/>
          <w:sz w:val="32"/>
          <w:szCs w:val="28"/>
          <w:highlight w:val="none"/>
        </w:rPr>
        <w:t>根据磋商实际情况选择</w:t>
      </w:r>
      <w:r>
        <w:rPr>
          <w:rFonts w:hint="eastAsia" w:ascii="宋体" w:hAnsi="宋体" w:eastAsia="宋体" w:cs="宋体"/>
          <w:color w:val="auto"/>
          <w:sz w:val="32"/>
          <w:szCs w:val="28"/>
          <w:highlight w:val="none"/>
        </w:rPr>
        <w:t>)</w:t>
      </w:r>
    </w:p>
    <w:p>
      <w:pPr>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pPr>
        <w:jc w:val="both"/>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23"/>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8"/>
        <w:gridCol w:w="5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4798" w:type="dxa"/>
            <w:vAlign w:val="center"/>
          </w:tcPr>
          <w:p>
            <w:pPr>
              <w:wordWrap w:val="0"/>
              <w:topLinePunct/>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标的内容</w:t>
            </w:r>
          </w:p>
        </w:tc>
        <w:tc>
          <w:tcPr>
            <w:tcW w:w="5158" w:type="dxa"/>
            <w:vAlign w:val="center"/>
          </w:tcPr>
          <w:p>
            <w:pPr>
              <w:wordWrap w:val="0"/>
              <w:topLinePunct/>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798" w:type="dxa"/>
            <w:vAlign w:val="center"/>
          </w:tcPr>
          <w:p>
            <w:pPr>
              <w:adjustRightInd w:val="0"/>
              <w:snapToGrid w:val="0"/>
              <w:spacing w:line="36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铁道工程学院专业教学资源库建设</w:t>
            </w:r>
          </w:p>
        </w:tc>
        <w:tc>
          <w:tcPr>
            <w:tcW w:w="5158" w:type="dxa"/>
            <w:vAlign w:val="center"/>
          </w:tcPr>
          <w:p>
            <w:pPr>
              <w:wordWrap w:val="0"/>
              <w:topLinePunct/>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人民币小写：</w:t>
            </w:r>
          </w:p>
          <w:p>
            <w:pPr>
              <w:wordWrap w:val="0"/>
              <w:topLinePunct/>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956" w:type="dxa"/>
            <w:gridSpan w:val="2"/>
            <w:vAlign w:val="center"/>
          </w:tcPr>
          <w:p>
            <w:pPr>
              <w:wordWrap w:val="0"/>
              <w:topLinePunct/>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w:t>
            </w:r>
            <w:r>
              <w:rPr>
                <w:rFonts w:hint="eastAsia" w:ascii="宋体" w:hAnsi="宋体" w:eastAsia="宋体" w:cs="宋体"/>
                <w:color w:val="auto"/>
                <w:sz w:val="21"/>
                <w:szCs w:val="21"/>
                <w:highlight w:val="none"/>
                <w:lang w:val="en-US" w:eastAsia="zh-CN"/>
              </w:rPr>
              <w:t>时间</w:t>
            </w:r>
            <w:r>
              <w:rPr>
                <w:rFonts w:hint="eastAsia" w:ascii="宋体" w:hAnsi="宋体" w:eastAsia="宋体" w:cs="宋体"/>
                <w:color w:val="auto"/>
                <w:sz w:val="21"/>
                <w:szCs w:val="21"/>
                <w:highlight w:val="none"/>
              </w:rPr>
              <w:t>：</w:t>
            </w:r>
          </w:p>
        </w:tc>
      </w:tr>
    </w:tbl>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val="zh-CN"/>
        </w:rPr>
        <w:t>报价应为完成本竞争性磋商文件中所要求的</w:t>
      </w:r>
      <w:r>
        <w:rPr>
          <w:rFonts w:hint="eastAsia" w:ascii="宋体" w:hAnsi="宋体" w:eastAsia="宋体" w:cs="宋体"/>
          <w:color w:val="auto"/>
          <w:highlight w:val="none"/>
        </w:rPr>
        <w:t>服务</w:t>
      </w:r>
      <w:r>
        <w:rPr>
          <w:rFonts w:hint="eastAsia" w:ascii="宋体" w:hAnsi="宋体" w:eastAsia="宋体" w:cs="宋体"/>
          <w:color w:val="auto"/>
          <w:highlight w:val="none"/>
          <w:lang w:val="zh-CN"/>
        </w:rPr>
        <w:t>所应包括内容的所有价格，</w:t>
      </w:r>
      <w:r>
        <w:rPr>
          <w:rFonts w:hint="eastAsia" w:ascii="宋体" w:hAnsi="宋体" w:eastAsia="宋体" w:cs="宋体"/>
          <w:color w:val="auto"/>
          <w:highlight w:val="none"/>
        </w:rPr>
        <w:t>包括但不限于劳务、差旅、设备投入、成果、培训、风险、税金等所需的一切费用,采购人无需另行支付其他任何费用</w:t>
      </w:r>
      <w:r>
        <w:rPr>
          <w:rFonts w:hint="eastAsia" w:ascii="宋体" w:hAnsi="宋体" w:eastAsia="宋体" w:cs="宋体"/>
          <w:color w:val="auto"/>
          <w:highlight w:val="none"/>
          <w:lang w:val="zh-CN"/>
        </w:rPr>
        <w:t>。</w:t>
      </w:r>
    </w:p>
    <w:p>
      <w:pPr>
        <w:tabs>
          <w:tab w:val="left" w:pos="540"/>
          <w:tab w:val="left" w:pos="900"/>
          <w:tab w:val="clear" w:pos="0"/>
        </w:tabs>
        <w:rPr>
          <w:rFonts w:hint="eastAsia" w:ascii="宋体" w:hAnsi="宋体" w:eastAsia="宋体" w:cs="宋体"/>
          <w:color w:val="auto"/>
          <w:highlight w:val="none"/>
        </w:rPr>
      </w:pPr>
    </w:p>
    <w:p>
      <w:pPr>
        <w:tabs>
          <w:tab w:val="left" w:pos="540"/>
          <w:tab w:val="left" w:pos="900"/>
          <w:tab w:val="clear" w:pos="0"/>
        </w:tabs>
        <w:rPr>
          <w:rFonts w:hint="eastAsia" w:ascii="宋体" w:hAnsi="宋体" w:eastAsia="宋体" w:cs="宋体"/>
          <w:color w:val="auto"/>
          <w:highlight w:val="none"/>
        </w:rPr>
      </w:pPr>
    </w:p>
    <w:p>
      <w:pPr>
        <w:pStyle w:val="46"/>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 xml:space="preserve">                      </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法定代表人/单位负责人或授权代表：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(签名并捺印)</w:t>
      </w:r>
    </w:p>
    <w:p>
      <w:pPr>
        <w:pStyle w:val="46"/>
        <w:rPr>
          <w:rFonts w:hint="eastAsia" w:ascii="宋体" w:hAnsi="宋体" w:eastAsia="宋体" w:cs="宋体"/>
          <w:color w:val="auto"/>
          <w:highlight w:val="none"/>
        </w:rPr>
      </w:pPr>
      <w:r>
        <w:rPr>
          <w:rFonts w:hint="eastAsia" w:ascii="宋体" w:hAnsi="宋体" w:eastAsia="宋体" w:cs="宋体"/>
          <w:color w:val="auto"/>
          <w:highlight w:val="none"/>
        </w:rPr>
        <w:t>报价日期：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43"/>
        <w:rPr>
          <w:rFonts w:hint="eastAsia" w:ascii="宋体" w:hAnsi="宋体" w:eastAsia="宋体" w:cs="宋体"/>
          <w:color w:val="auto"/>
          <w:highlight w:val="none"/>
        </w:rPr>
      </w:pPr>
    </w:p>
    <w:bookmarkEnd w:id="367"/>
    <w:bookmarkEnd w:id="368"/>
    <w:p>
      <w:pPr>
        <w:pStyle w:val="48"/>
        <w:spacing w:before="120" w:after="120"/>
        <w:rPr>
          <w:rFonts w:hint="eastAsia" w:ascii="宋体" w:hAnsi="宋体" w:eastAsia="宋体" w:cs="宋体"/>
          <w:color w:val="auto"/>
          <w:highlight w:val="none"/>
        </w:rPr>
      </w:pPr>
      <w:bookmarkStart w:id="375" w:name="_Toc24888"/>
      <w:r>
        <w:rPr>
          <w:rFonts w:hint="eastAsia" w:ascii="宋体" w:hAnsi="宋体" w:eastAsia="宋体" w:cs="宋体"/>
          <w:color w:val="auto"/>
          <w:highlight w:val="none"/>
        </w:rPr>
        <w:br w:type="page"/>
      </w:r>
      <w:bookmarkEnd w:id="375"/>
      <w:bookmarkStart w:id="376" w:name="_Toc18196"/>
      <w:bookmarkStart w:id="377" w:name="_Toc26345"/>
      <w:bookmarkStart w:id="378" w:name="_Toc5104"/>
      <w:bookmarkStart w:id="379" w:name="_Toc22998"/>
      <w:r>
        <w:rPr>
          <w:rFonts w:hint="eastAsia" w:ascii="宋体" w:hAnsi="宋体" w:eastAsia="宋体" w:cs="宋体"/>
          <w:color w:val="auto"/>
          <w:highlight w:val="none"/>
        </w:rPr>
        <w:t>资格性审查</w:t>
      </w:r>
      <w:bookmarkEnd w:id="376"/>
      <w:r>
        <w:rPr>
          <w:rFonts w:hint="eastAsia" w:ascii="宋体" w:hAnsi="宋体" w:eastAsia="宋体" w:cs="宋体"/>
          <w:color w:val="auto"/>
          <w:highlight w:val="none"/>
        </w:rPr>
        <w:t>内容</w:t>
      </w:r>
      <w:bookmarkEnd w:id="377"/>
      <w:bookmarkEnd w:id="378"/>
      <w:bookmarkEnd w:id="379"/>
    </w:p>
    <w:p>
      <w:pPr>
        <w:pStyle w:val="50"/>
        <w:numPr>
          <w:ilvl w:val="1"/>
          <w:numId w:val="24"/>
        </w:numPr>
        <w:spacing w:line="520" w:lineRule="exact"/>
        <w:ind w:firstLine="482"/>
        <w:rPr>
          <w:rFonts w:hint="eastAsia" w:ascii="宋体" w:hAnsi="宋体" w:eastAsia="宋体" w:cs="宋体"/>
          <w:b/>
          <w:bCs/>
          <w:color w:val="auto"/>
          <w:highlight w:val="none"/>
        </w:rPr>
      </w:pPr>
      <w:bookmarkStart w:id="380" w:name="_Toc10631"/>
      <w:bookmarkStart w:id="381" w:name="_Toc141"/>
      <w:bookmarkStart w:id="382" w:name="_Toc20678"/>
      <w:bookmarkStart w:id="383" w:name="_Toc32482"/>
      <w:r>
        <w:rPr>
          <w:rFonts w:hint="eastAsia" w:ascii="宋体" w:hAnsi="宋体" w:eastAsia="宋体" w:cs="宋体"/>
          <w:b/>
          <w:bCs/>
          <w:color w:val="auto"/>
          <w:highlight w:val="none"/>
        </w:rPr>
        <w:t>供应商应当提供的资格证明材料及其他类似效力要求的相关证明材料</w:t>
      </w:r>
    </w:p>
    <w:bookmarkEnd w:id="380"/>
    <w:bookmarkEnd w:id="381"/>
    <w:bookmarkEnd w:id="382"/>
    <w:p>
      <w:pPr>
        <w:pStyle w:val="33"/>
        <w:numPr>
          <w:ilvl w:val="1"/>
          <w:numId w:val="25"/>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供应商具有独立承担民事责任的能力的证明材料；</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供应商：①若为</w:t>
      </w:r>
      <w:r>
        <w:rPr>
          <w:rFonts w:hint="eastAsia" w:ascii="宋体" w:hAnsi="宋体" w:eastAsia="宋体" w:cs="宋体"/>
          <w:b/>
          <w:bCs/>
          <w:color w:val="auto"/>
          <w:highlight w:val="none"/>
        </w:rPr>
        <w:t>企业法人</w:t>
      </w:r>
      <w:r>
        <w:rPr>
          <w:rFonts w:hint="eastAsia" w:ascii="宋体" w:hAnsi="宋体" w:eastAsia="宋体" w:cs="宋体"/>
          <w:color w:val="auto"/>
          <w:highlight w:val="none"/>
        </w:rPr>
        <w:t>：提供“营业执照”副本复印件；未换证的提供“营业执照副本、税务登记证副本、组织机构代码证副本”复印件；②若为</w:t>
      </w:r>
      <w:r>
        <w:rPr>
          <w:rFonts w:hint="eastAsia" w:ascii="宋体" w:hAnsi="宋体" w:eastAsia="宋体" w:cs="宋体"/>
          <w:b/>
          <w:bCs/>
          <w:color w:val="auto"/>
          <w:highlight w:val="none"/>
        </w:rPr>
        <w:t>事业法人</w:t>
      </w:r>
      <w:r>
        <w:rPr>
          <w:rFonts w:hint="eastAsia" w:ascii="宋体" w:hAnsi="宋体" w:eastAsia="宋体" w:cs="宋体"/>
          <w:color w:val="auto"/>
          <w:highlight w:val="none"/>
        </w:rPr>
        <w:t>：提供“统一社会信用代码法人登记证书”复印件；未换证的提交“事业法人登记证书、组织机构代码证”复印件；③若为</w:t>
      </w:r>
      <w:r>
        <w:rPr>
          <w:rFonts w:hint="eastAsia" w:ascii="宋体" w:hAnsi="宋体" w:eastAsia="宋体" w:cs="宋体"/>
          <w:b/>
          <w:bCs/>
          <w:color w:val="auto"/>
          <w:highlight w:val="none"/>
        </w:rPr>
        <w:t>其他组织</w:t>
      </w:r>
      <w:r>
        <w:rPr>
          <w:rFonts w:hint="eastAsia" w:ascii="宋体" w:hAnsi="宋体" w:eastAsia="宋体" w:cs="宋体"/>
          <w:color w:val="auto"/>
          <w:highlight w:val="none"/>
        </w:rPr>
        <w:t>：提供“对应主管部门颁发的准许执业证明文件或营业执照副本”复印件；④若为</w:t>
      </w:r>
      <w:r>
        <w:rPr>
          <w:rFonts w:hint="eastAsia" w:ascii="宋体" w:hAnsi="宋体" w:eastAsia="宋体" w:cs="宋体"/>
          <w:b/>
          <w:bCs/>
          <w:color w:val="auto"/>
          <w:highlight w:val="none"/>
        </w:rPr>
        <w:t>自然人</w:t>
      </w:r>
      <w:r>
        <w:rPr>
          <w:rFonts w:hint="eastAsia" w:ascii="宋体" w:hAnsi="宋体" w:eastAsia="宋体" w:cs="宋体"/>
          <w:color w:val="auto"/>
          <w:highlight w:val="none"/>
        </w:rPr>
        <w:t>：提供“身份证明材料”。</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注：1.以上证明材料应满足此条要求①发证机关有年检要求的，应按规定通过年检；②在有效期内；③复印件加盖供应商公章；</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3.根据国务院办公厅关于加快推进“多证合一”改革的指导意见(国办发〔2017〕41号)等政策要求，若资格要求涉及的登记、备案等有关事项和各类证照已实行多证合一的，提供多证合一证照副本复印件。</w:t>
      </w:r>
    </w:p>
    <w:p>
      <w:pPr>
        <w:pStyle w:val="33"/>
        <w:numPr>
          <w:ilvl w:val="1"/>
          <w:numId w:val="25"/>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供应商具有良好的商业信誉和健全的财务会计制度的证明材料；</w:t>
      </w:r>
    </w:p>
    <w:p>
      <w:pPr>
        <w:pStyle w:val="36"/>
        <w:numPr>
          <w:ilvl w:val="2"/>
          <w:numId w:val="25"/>
        </w:num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供应商具有良好商业信誉的证明材料；</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提供具有良好的商业信誉的承诺函。</w:t>
      </w:r>
    </w:p>
    <w:p>
      <w:pPr>
        <w:pStyle w:val="46"/>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注：承诺函</w:t>
      </w:r>
      <w:r>
        <w:rPr>
          <w:rFonts w:hint="eastAsia" w:ascii="宋体" w:hAnsi="宋体" w:eastAsia="宋体" w:cs="宋体"/>
          <w:b/>
          <w:color w:val="auto"/>
          <w:highlight w:val="none"/>
        </w:rPr>
        <w:t>格式自拟，或参照《承诺及声明函》的格式提供</w:t>
      </w:r>
      <w:r>
        <w:rPr>
          <w:rFonts w:hint="eastAsia" w:ascii="宋体" w:hAnsi="宋体" w:eastAsia="宋体" w:cs="宋体"/>
          <w:b/>
          <w:bCs/>
          <w:color w:val="auto"/>
          <w:highlight w:val="none"/>
        </w:rPr>
        <w:t>。</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2.供应商具有健全的财务会计制度的证明材料；</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(1)供应商提供2022年度经过会计师事务所审计的财务报告复印件(经审计的有效财务报告应包括报告及报告中所附的完整内容，并由注册会计师签名、盖章以及会计师事务所盖章)；</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(2)供应商提供2022年度供应商内部的财务报表复印件(至少包含资产负债表)；</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(3)供应商提供响应文件递交截止日前一年内银行为其出具的资信证明复印件；</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(4)供应商注册时间截至响应文件递交截止日不足一年的，可提供公司章程复印件；</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(5)供应商提供具有健全的财务会计制度的承诺函。</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bCs/>
          <w:color w:val="auto"/>
          <w:highlight w:val="none"/>
        </w:rPr>
        <w:t>注：①具有健全的财务会计制度的证明材料中第(1)-(5)项具有同等的效力，供应商可根据自身实际情况选择提供其中任意一项。②承诺函</w:t>
      </w:r>
      <w:r>
        <w:rPr>
          <w:rFonts w:hint="eastAsia" w:ascii="宋体" w:hAnsi="宋体" w:eastAsia="宋体" w:cs="宋体"/>
          <w:color w:val="auto"/>
          <w:highlight w:val="none"/>
        </w:rPr>
        <w:t>格式自拟，或参照《承诺及声明函》的格式提供。</w:t>
      </w:r>
    </w:p>
    <w:p>
      <w:pPr>
        <w:pStyle w:val="33"/>
        <w:numPr>
          <w:ilvl w:val="1"/>
          <w:numId w:val="25"/>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供应商具有履行合同所必需的设备和专业技术能力证明材料；</w:t>
      </w:r>
    </w:p>
    <w:p>
      <w:pPr>
        <w:pStyle w:val="36"/>
        <w:numPr>
          <w:ilvl w:val="2"/>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提供具有履行合同所必需的设备和专业技术能力的承诺函。</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highlight w:val="none"/>
        </w:rPr>
        <w:t>承诺函</w:t>
      </w:r>
      <w:r>
        <w:rPr>
          <w:rFonts w:hint="eastAsia" w:ascii="宋体" w:hAnsi="宋体" w:eastAsia="宋体" w:cs="宋体"/>
          <w:color w:val="auto"/>
          <w:highlight w:val="none"/>
        </w:rPr>
        <w:t>格式自拟，或参照《承诺及声明函》的格式提供。</w:t>
      </w:r>
    </w:p>
    <w:p>
      <w:pPr>
        <w:pStyle w:val="33"/>
        <w:numPr>
          <w:ilvl w:val="1"/>
          <w:numId w:val="25"/>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供应商有依法缴纳税收和社会保障资金的良好记录的证明材料；</w:t>
      </w:r>
    </w:p>
    <w:p>
      <w:pPr>
        <w:pStyle w:val="36"/>
        <w:numPr>
          <w:ilvl w:val="2"/>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提供有</w:t>
      </w:r>
      <w:r>
        <w:rPr>
          <w:rFonts w:hint="eastAsia" w:ascii="宋体" w:hAnsi="宋体" w:eastAsia="宋体" w:cs="宋体"/>
          <w:color w:val="auto"/>
          <w:highlight w:val="none"/>
          <w:lang w:val="zh-CN"/>
        </w:rPr>
        <w:t>依法缴纳税收和社会保障资金的良好记录</w:t>
      </w:r>
      <w:r>
        <w:rPr>
          <w:rFonts w:hint="eastAsia" w:ascii="宋体" w:hAnsi="宋体" w:eastAsia="宋体" w:cs="宋体"/>
          <w:color w:val="auto"/>
          <w:highlight w:val="none"/>
        </w:rPr>
        <w:t>的承诺函。</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highlight w:val="none"/>
        </w:rPr>
        <w:t>承诺函</w:t>
      </w:r>
      <w:r>
        <w:rPr>
          <w:rFonts w:hint="eastAsia" w:ascii="宋体" w:hAnsi="宋体" w:eastAsia="宋体" w:cs="宋体"/>
          <w:color w:val="auto"/>
          <w:highlight w:val="none"/>
        </w:rPr>
        <w:t>格式自拟，或参照《承诺及声明函》的格式提供。</w:t>
      </w:r>
    </w:p>
    <w:p>
      <w:pPr>
        <w:pStyle w:val="33"/>
        <w:numPr>
          <w:ilvl w:val="1"/>
          <w:numId w:val="25"/>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供应商参加采购活动前三年内，在经营活动中没有重大违法记录的证明材料；</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提供参加本次采购活动前三年内，在经营活动中没有重大违法记录的书面声明(成立不足三年的，从成立之日起计算)。</w:t>
      </w:r>
    </w:p>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Cs/>
          <w:color w:val="auto"/>
          <w:highlight w:val="none"/>
        </w:rPr>
        <w:t>承诺函</w:t>
      </w:r>
      <w:r>
        <w:rPr>
          <w:rFonts w:hint="eastAsia" w:ascii="宋体" w:hAnsi="宋体" w:eastAsia="宋体" w:cs="宋体"/>
          <w:color w:val="auto"/>
          <w:highlight w:val="none"/>
        </w:rPr>
        <w:t>格式自拟，或参照《承诺及声明函》的格式提供。</w:t>
      </w:r>
    </w:p>
    <w:p>
      <w:pPr>
        <w:pStyle w:val="33"/>
        <w:adjustRightInd/>
        <w:snapToGrid/>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供应商</w:t>
      </w:r>
      <w:r>
        <w:rPr>
          <w:rFonts w:hint="eastAsia" w:ascii="宋体" w:hAnsi="宋体" w:eastAsia="宋体" w:cs="宋体"/>
          <w:b/>
          <w:bCs/>
          <w:color w:val="auto"/>
          <w:highlight w:val="none"/>
          <w:lang w:val="zh-CN"/>
        </w:rPr>
        <w:t>及其现任法定代表人、主要负责人不得具有行贿犯罪记录</w:t>
      </w:r>
      <w:r>
        <w:rPr>
          <w:rFonts w:hint="eastAsia" w:ascii="宋体" w:hAnsi="宋体" w:eastAsia="宋体" w:cs="宋体"/>
          <w:b/>
          <w:bCs/>
          <w:color w:val="auto"/>
          <w:highlight w:val="none"/>
        </w:rPr>
        <w:t>的证明材料</w:t>
      </w:r>
      <w:r>
        <w:rPr>
          <w:rFonts w:hint="eastAsia" w:ascii="宋体" w:hAnsi="宋体" w:eastAsia="宋体" w:cs="宋体"/>
          <w:b/>
          <w:bCs/>
          <w:color w:val="auto"/>
          <w:highlight w:val="none"/>
          <w:lang w:val="zh-CN"/>
        </w:rPr>
        <w:t>；</w:t>
      </w:r>
    </w:p>
    <w:p>
      <w:pPr>
        <w:pStyle w:val="47"/>
        <w:spacing w:line="520" w:lineRule="exact"/>
        <w:jc w:val="both"/>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1.在响应文件中作出供应商及其现任法定代表人(姓名和身份证号码)、主要负责人(姓名和身份证号码)10年内(</w:t>
      </w:r>
      <w:r>
        <w:rPr>
          <w:rFonts w:hint="eastAsia" w:ascii="宋体" w:hAnsi="宋体" w:eastAsia="宋体" w:cs="宋体"/>
          <w:b w:val="0"/>
          <w:bCs/>
          <w:color w:val="auto"/>
          <w:highlight w:val="none"/>
          <w:lang w:val="zh-CN"/>
        </w:rPr>
        <w:t>若</w:t>
      </w:r>
      <w:r>
        <w:rPr>
          <w:rFonts w:hint="eastAsia" w:ascii="宋体" w:hAnsi="宋体" w:eastAsia="宋体" w:cs="宋体"/>
          <w:b w:val="0"/>
          <w:bCs/>
          <w:color w:val="auto"/>
          <w:highlight w:val="none"/>
        </w:rPr>
        <w:t>供应商</w:t>
      </w:r>
      <w:r>
        <w:rPr>
          <w:rFonts w:hint="eastAsia" w:ascii="宋体" w:hAnsi="宋体" w:eastAsia="宋体" w:cs="宋体"/>
          <w:b w:val="0"/>
          <w:bCs/>
          <w:color w:val="auto"/>
          <w:highlight w:val="none"/>
          <w:lang w:val="zh-CN"/>
        </w:rPr>
        <w:t>成立不足10年的，</w:t>
      </w:r>
      <w:r>
        <w:rPr>
          <w:rFonts w:hint="eastAsia" w:ascii="宋体" w:hAnsi="宋体" w:eastAsia="宋体" w:cs="宋体"/>
          <w:b w:val="0"/>
          <w:bCs/>
          <w:color w:val="auto"/>
          <w:highlight w:val="none"/>
        </w:rPr>
        <w:t>承诺期限为</w:t>
      </w:r>
      <w:r>
        <w:rPr>
          <w:rFonts w:hint="eastAsia" w:ascii="宋体" w:hAnsi="宋体" w:eastAsia="宋体" w:cs="宋体"/>
          <w:b w:val="0"/>
          <w:bCs/>
          <w:color w:val="auto"/>
          <w:highlight w:val="none"/>
          <w:lang w:val="zh-CN"/>
        </w:rPr>
        <w:t>成立之日起</w:t>
      </w:r>
      <w:r>
        <w:rPr>
          <w:rFonts w:hint="eastAsia" w:ascii="宋体" w:hAnsi="宋体" w:eastAsia="宋体" w:cs="宋体"/>
          <w:b w:val="0"/>
          <w:bCs/>
          <w:color w:val="auto"/>
          <w:highlight w:val="none"/>
        </w:rPr>
        <w:t>至今)无行贿犯罪记录的承诺；</w:t>
      </w:r>
    </w:p>
    <w:p>
      <w:pPr>
        <w:pStyle w:val="47"/>
        <w:spacing w:line="520" w:lineRule="exact"/>
        <w:jc w:val="both"/>
        <w:rPr>
          <w:rFonts w:hint="eastAsia" w:ascii="宋体" w:hAnsi="宋体" w:eastAsia="宋体" w:cs="宋体"/>
          <w:b w:val="0"/>
          <w:bCs/>
          <w:color w:val="auto"/>
          <w:highlight w:val="none"/>
          <w:lang w:val="zh-CN"/>
        </w:rPr>
      </w:pPr>
      <w:r>
        <w:rPr>
          <w:rFonts w:hint="eastAsia" w:ascii="宋体" w:hAnsi="宋体" w:eastAsia="宋体" w:cs="宋体"/>
          <w:b w:val="0"/>
          <w:bCs/>
          <w:color w:val="auto"/>
          <w:highlight w:val="none"/>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ascii="宋体" w:hAnsi="宋体" w:eastAsia="宋体" w:cs="宋体"/>
          <w:b w:val="0"/>
          <w:bCs/>
          <w:color w:val="auto"/>
          <w:highlight w:val="none"/>
          <w:lang w:val="zh-CN"/>
        </w:rPr>
        <w:t>。</w:t>
      </w:r>
    </w:p>
    <w:p>
      <w:pPr>
        <w:pStyle w:val="63"/>
        <w:numPr>
          <w:ilvl w:val="3"/>
          <w:numId w:val="0"/>
        </w:numPr>
        <w:spacing w:line="520" w:lineRule="exact"/>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注：①供应商采用提供承诺函方式响应的，其内容必须符合上述第1款的要求，否则将视为无效承诺；②如供应商未提供有效承诺函，且未</w:t>
      </w:r>
      <w:r>
        <w:rPr>
          <w:rFonts w:hint="eastAsia" w:ascii="宋体" w:hAnsi="宋体" w:eastAsia="宋体" w:cs="宋体"/>
          <w:b/>
          <w:color w:val="auto"/>
          <w:highlight w:val="none"/>
        </w:rPr>
        <w:t>在响应文件中书面载明</w:t>
      </w:r>
      <w:r>
        <w:rPr>
          <w:rFonts w:hint="eastAsia" w:ascii="宋体" w:hAnsi="宋体" w:eastAsia="宋体" w:cs="宋体"/>
          <w:b/>
          <w:bCs/>
          <w:color w:val="auto"/>
          <w:highlight w:val="none"/>
        </w:rPr>
        <w:t>其“现任法定代表人”(姓名和身份证号码)、“主要负责人”(姓名和身份证号码)信息的，将被视为无效响应。</w:t>
      </w:r>
    </w:p>
    <w:p>
      <w:pPr>
        <w:pStyle w:val="33"/>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法定代表人/单位负责人授权书原件；</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注：①附法定代表人/单位负责人和被授权人身份证正反面复印件；②法定代表人/单位负责人亲自参与磋商时不需要提供。</w:t>
      </w:r>
    </w:p>
    <w:p>
      <w:pPr>
        <w:pStyle w:val="33"/>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法定代表人/单位负责人证明书；</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注：①附法定代表人/单位负责人身份证正反面复印件；②法定代表人/单位负责人亲自参加磋商时提供本证明书。</w:t>
      </w:r>
    </w:p>
    <w:p>
      <w:pPr>
        <w:pStyle w:val="33"/>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法律、</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"http://www.lawtime.cn/info/sifakaoshi/xingzhengfa/" \t "_blank"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行政法</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规规定的其他条件的证明材料；</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提供符合法律、</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"http://www.lawtime.cn/info/sifakaoshi/xingzhengfa/" \t "_blank"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行政法</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规规定的其他条件的承诺函。</w:t>
      </w:r>
    </w:p>
    <w:p>
      <w:pPr>
        <w:pStyle w:val="33"/>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根据采购项目的特殊要求，规定供应商的特定条件的证明材料；</w:t>
      </w:r>
    </w:p>
    <w:p>
      <w:pPr>
        <w:pStyle w:val="36"/>
        <w:numPr>
          <w:ilvl w:val="2"/>
          <w:numId w:val="0"/>
        </w:numPr>
        <w:spacing w:line="52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提供未与其他供应商组成联合体参与本次采购活动的承诺函。</w:t>
      </w:r>
    </w:p>
    <w:p>
      <w:pPr>
        <w:pStyle w:val="33"/>
        <w:spacing w:line="50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提供有效的磋商保证金提交凭证；</w:t>
      </w:r>
    </w:p>
    <w:p>
      <w:pPr>
        <w:pStyle w:val="36"/>
        <w:numPr>
          <w:ilvl w:val="2"/>
          <w:numId w:val="0"/>
        </w:numPr>
        <w:spacing w:line="500" w:lineRule="exact"/>
        <w:ind w:left="480" w:leftChars="200"/>
        <w:rPr>
          <w:rFonts w:hint="eastAsia" w:ascii="宋体" w:hAnsi="宋体" w:eastAsia="宋体" w:cs="宋体"/>
          <w:color w:val="auto"/>
          <w:highlight w:val="none"/>
        </w:rPr>
      </w:pPr>
      <w:r>
        <w:rPr>
          <w:rFonts w:hint="eastAsia" w:ascii="宋体" w:hAnsi="宋体" w:eastAsia="宋体" w:cs="宋体"/>
          <w:color w:val="auto"/>
          <w:highlight w:val="none"/>
        </w:rPr>
        <w:t>提交磋商保证金的银行回单复印件(若以保函方式提交磋商保证金的，提供保函原件)。</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②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③重大违法记录中的较大数额罚款的具体金额标准及范围是：根据</w:t>
      </w:r>
      <w:bookmarkStart w:id="384" w:name="sendNo"/>
      <w:r>
        <w:rPr>
          <w:rFonts w:hint="eastAsia" w:ascii="宋体" w:hAnsi="宋体" w:eastAsia="宋体" w:cs="宋体"/>
          <w:color w:val="auto"/>
          <w:highlight w:val="none"/>
        </w:rPr>
        <w:t>财库〔2022〕3 号</w:t>
      </w:r>
      <w:bookmarkEnd w:id="384"/>
      <w:r>
        <w:rPr>
          <w:rFonts w:hint="eastAsia" w:ascii="宋体" w:hAnsi="宋体" w:eastAsia="宋体" w:cs="宋体"/>
          <w:color w:val="auto"/>
          <w:highlight w:val="none"/>
        </w:rPr>
        <w:t>文件关于“较大数额罚款”认定为200万元以上的罚款，法律、行政法规以及国务院有关部门明确规定相关领域“较大数额罚款”标准高于200万元的，从其规定。</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④供应商应对其所提供的资格证明材料来源的合法性、真实性承担法律责任。</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5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⑤</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以上承诺及声明函可参照第三章响应文件格式“承诺及声明函”格式或自拟格式填写均有效。</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6 \* GB3 \* MERGEFORMAT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⑥</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本章要求提供的相关证明材料应当结合采购项目具体情况和供应商的组织机构性质确定，不得一概而论。</w:t>
      </w:r>
    </w:p>
    <w:bookmarkEnd w:id="383"/>
    <w:p>
      <w:pPr>
        <w:spacing w:line="520" w:lineRule="exact"/>
        <w:rPr>
          <w:rFonts w:hint="eastAsia" w:ascii="宋体" w:hAnsi="宋体" w:eastAsia="宋体" w:cs="宋体"/>
          <w:color w:val="auto"/>
          <w:highlight w:val="none"/>
        </w:rPr>
      </w:pPr>
      <w:r>
        <w:rPr>
          <w:rFonts w:hint="eastAsia" w:ascii="宋体" w:hAnsi="宋体" w:eastAsia="宋体" w:cs="宋体"/>
          <w:color w:val="auto"/>
          <w:sz w:val="36"/>
          <w:szCs w:val="36"/>
          <w:highlight w:val="none"/>
        </w:rPr>
        <w:br w:type="page"/>
      </w:r>
    </w:p>
    <w:p>
      <w:pPr>
        <w:pStyle w:val="48"/>
        <w:numPr>
          <w:ilvl w:val="0"/>
          <w:numId w:val="24"/>
        </w:numPr>
        <w:spacing w:before="120" w:after="120"/>
        <w:rPr>
          <w:rFonts w:hint="eastAsia" w:ascii="宋体" w:hAnsi="宋体" w:eastAsia="宋体" w:cs="宋体"/>
          <w:color w:val="auto"/>
          <w:highlight w:val="none"/>
        </w:rPr>
      </w:pPr>
      <w:bookmarkStart w:id="385" w:name="_Toc30303"/>
      <w:bookmarkStart w:id="386" w:name="_Toc19236"/>
      <w:r>
        <w:rPr>
          <w:rFonts w:hint="eastAsia" w:ascii="宋体" w:hAnsi="宋体" w:eastAsia="宋体" w:cs="宋体"/>
          <w:color w:val="auto"/>
          <w:szCs w:val="36"/>
          <w:highlight w:val="none"/>
        </w:rPr>
        <w:t>采购项目技术、服务、合同内容条款及商务要求</w:t>
      </w:r>
      <w:bookmarkEnd w:id="385"/>
      <w:bookmarkEnd w:id="386"/>
    </w:p>
    <w:p>
      <w:pPr>
        <w:pStyle w:val="35"/>
        <w:spacing w:line="520" w:lineRule="exact"/>
        <w:ind w:firstLine="482"/>
        <w:rPr>
          <w:rFonts w:hint="eastAsia" w:ascii="宋体" w:hAnsi="宋体" w:eastAsia="宋体" w:cs="宋体"/>
          <w:color w:val="auto"/>
          <w:highlight w:val="none"/>
        </w:rPr>
      </w:pPr>
      <w:bookmarkStart w:id="387" w:name="_Toc18478"/>
      <w:bookmarkStart w:id="388" w:name="_Toc4748"/>
      <w:bookmarkStart w:id="389" w:name="_Toc24785"/>
      <w:bookmarkStart w:id="390" w:name="_Toc27469"/>
      <w:bookmarkStart w:id="391" w:name="_Toc28932"/>
      <w:bookmarkStart w:id="392" w:name="_Toc1684"/>
      <w:bookmarkStart w:id="393" w:name="_Toc309897566"/>
      <w:bookmarkStart w:id="394" w:name="_Toc32159"/>
      <w:bookmarkStart w:id="395" w:name="_Toc1839"/>
      <w:bookmarkStart w:id="396" w:name="_Toc307564899"/>
      <w:bookmarkStart w:id="397" w:name="_Toc217446060"/>
      <w:bookmarkStart w:id="398" w:name="_Toc12025"/>
      <w:bookmarkStart w:id="399" w:name="_Toc308188201"/>
      <w:bookmarkStart w:id="400" w:name="_Toc308084648"/>
      <w:bookmarkStart w:id="401" w:name="_Toc319439948"/>
      <w:bookmarkStart w:id="402" w:name="_Toc1541"/>
      <w:bookmarkStart w:id="403" w:name="_Toc217446099"/>
      <w:bookmarkStart w:id="404" w:name="_Toc319440192"/>
      <w:bookmarkStart w:id="405" w:name="_Toc23360"/>
      <w:bookmarkStart w:id="406" w:name="_Toc327196343"/>
      <w:bookmarkStart w:id="407" w:name="_Toc29864"/>
      <w:bookmarkStart w:id="408" w:name="_Toc307501157"/>
      <w:r>
        <w:rPr>
          <w:rFonts w:hint="eastAsia" w:ascii="宋体" w:hAnsi="宋体" w:eastAsia="宋体" w:cs="宋体"/>
          <w:color w:val="auto"/>
          <w:highlight w:val="none"/>
        </w:rPr>
        <w:t>项目概况</w:t>
      </w:r>
      <w:bookmarkEnd w:id="387"/>
      <w:bookmarkEnd w:id="388"/>
      <w:bookmarkEnd w:id="389"/>
    </w:p>
    <w:p>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成都市技师学院铁道工程学院专业教学资源库建设，拟建设10门课程资源、1套专业教学资源库采集工具、1套资源库项目管理平台。</w:t>
      </w:r>
      <w:r>
        <w:rPr>
          <w:rFonts w:hint="eastAsia" w:ascii="宋体" w:hAnsi="宋体" w:eastAsia="宋体" w:cs="宋体"/>
          <w:color w:val="auto"/>
          <w:highlight w:val="none"/>
          <w:lang w:val="en-US" w:eastAsia="zh-CN"/>
        </w:rPr>
        <w:t>拟通过本次采购确定一名供应商提供相关服务</w:t>
      </w:r>
      <w:r>
        <w:rPr>
          <w:rFonts w:hint="eastAsia" w:ascii="宋体" w:hAnsi="宋体" w:eastAsia="宋体" w:cs="宋体"/>
          <w:color w:val="auto"/>
          <w:highlight w:val="none"/>
        </w:rPr>
        <w:t>。</w:t>
      </w:r>
    </w:p>
    <w:p>
      <w:pPr>
        <w:pStyle w:val="35"/>
        <w:spacing w:line="520" w:lineRule="exact"/>
        <w:ind w:firstLine="482"/>
        <w:rPr>
          <w:rFonts w:hint="eastAsia" w:ascii="宋体" w:hAnsi="宋体" w:eastAsia="宋体" w:cs="宋体"/>
          <w:color w:val="auto"/>
          <w:highlight w:val="none"/>
        </w:rPr>
      </w:pPr>
      <w:bookmarkStart w:id="409" w:name="_Toc14302"/>
      <w:bookmarkStart w:id="410" w:name="_Toc11256"/>
      <w:bookmarkStart w:id="411" w:name="_Toc1672"/>
      <w:bookmarkStart w:id="412" w:name="_Toc12968"/>
      <w:bookmarkStart w:id="413" w:name="_Toc30785"/>
      <w:bookmarkStart w:id="414" w:name="_Toc15303"/>
      <w:r>
        <w:rPr>
          <w:rFonts w:hint="eastAsia" w:ascii="宋体" w:hAnsi="宋体" w:eastAsia="宋体" w:cs="宋体"/>
          <w:color w:val="auto"/>
          <w:highlight w:val="none"/>
        </w:rPr>
        <w:t>★采购标的</w:t>
      </w:r>
      <w:bookmarkEnd w:id="409"/>
      <w:bookmarkEnd w:id="410"/>
    </w:p>
    <w:tbl>
      <w:tblPr>
        <w:tblStyle w:val="23"/>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541"/>
        <w:gridCol w:w="1583"/>
        <w:gridCol w:w="1600"/>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vAlign w:val="center"/>
          </w:tcPr>
          <w:p>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37" w:type="pct"/>
            <w:vAlign w:val="center"/>
          </w:tcPr>
          <w:p>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833" w:type="pct"/>
            <w:vAlign w:val="center"/>
          </w:tcPr>
          <w:p>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计量单位</w:t>
            </w:r>
          </w:p>
        </w:tc>
        <w:tc>
          <w:tcPr>
            <w:tcW w:w="842" w:type="pct"/>
            <w:vAlign w:val="center"/>
          </w:tcPr>
          <w:p>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505" w:type="pct"/>
            <w:vAlign w:val="center"/>
          </w:tcPr>
          <w:p>
            <w:pPr>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2" w:type="pct"/>
            <w:vAlign w:val="center"/>
          </w:tcPr>
          <w:p>
            <w:pPr>
              <w:wordWrap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37" w:type="pct"/>
            <w:vAlign w:val="center"/>
          </w:tcPr>
          <w:p>
            <w:pPr>
              <w:adjustRightInd w:val="0"/>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铁道工程学院专业教学资源库建设</w:t>
            </w:r>
          </w:p>
        </w:tc>
        <w:tc>
          <w:tcPr>
            <w:tcW w:w="833" w:type="pct"/>
            <w:vAlign w:val="center"/>
          </w:tcPr>
          <w:p>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w:t>
            </w:r>
          </w:p>
        </w:tc>
        <w:tc>
          <w:tcPr>
            <w:tcW w:w="842" w:type="pct"/>
            <w:vAlign w:val="center"/>
          </w:tcPr>
          <w:p>
            <w:pPr>
              <w:wordWrap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05" w:type="pct"/>
            <w:vAlign w:val="center"/>
          </w:tcPr>
          <w:p>
            <w:pPr>
              <w:wordWrap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软件和信息技术服务业</w:t>
            </w:r>
          </w:p>
        </w:tc>
      </w:tr>
      <w:bookmarkEnd w:id="411"/>
      <w:bookmarkEnd w:id="412"/>
      <w:bookmarkEnd w:id="413"/>
      <w:bookmarkEnd w:id="414"/>
    </w:tbl>
    <w:p>
      <w:pPr>
        <w:pStyle w:val="35"/>
        <w:spacing w:line="520" w:lineRule="exact"/>
        <w:ind w:firstLine="482"/>
        <w:rPr>
          <w:rFonts w:hint="eastAsia" w:ascii="宋体" w:hAnsi="宋体" w:eastAsia="宋体" w:cs="宋体"/>
          <w:color w:val="auto"/>
          <w:highlight w:val="none"/>
        </w:rPr>
      </w:pPr>
      <w:bookmarkStart w:id="415" w:name="_Toc19629"/>
      <w:r>
        <w:rPr>
          <w:rFonts w:hint="eastAsia" w:ascii="宋体" w:hAnsi="宋体" w:eastAsia="宋体" w:cs="宋体"/>
          <w:color w:val="auto"/>
          <w:highlight w:val="none"/>
        </w:rPr>
        <w:t>★技术及服务要求</w:t>
      </w:r>
      <w:bookmarkEnd w:id="415"/>
    </w:p>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ascii="宋体" w:hAnsi="宋体" w:eastAsia="宋体" w:cs="宋体"/>
          <w:color w:val="auto"/>
          <w:highlight w:val="none"/>
          <w:lang w:val="en-US" w:eastAsia="zh-CN"/>
        </w:rPr>
      </w:pPr>
      <w:bookmarkStart w:id="416" w:name="_Toc22985"/>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服务内容</w:t>
      </w:r>
      <w:bookmarkEnd w:id="416"/>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7"/>
        <w:gridCol w:w="2532"/>
        <w:gridCol w:w="232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课程名称</w:t>
            </w:r>
          </w:p>
        </w:tc>
        <w:tc>
          <w:tcPr>
            <w:tcW w:w="127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录制视频分钟数</w:t>
            </w:r>
          </w:p>
        </w:tc>
        <w:tc>
          <w:tcPr>
            <w:tcW w:w="11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微课视频分钟数</w:t>
            </w:r>
          </w:p>
        </w:tc>
        <w:tc>
          <w:tcPr>
            <w:tcW w:w="10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动画</w:t>
            </w:r>
            <w:r>
              <w:rPr>
                <w:rFonts w:hint="eastAsia" w:cs="宋体"/>
                <w:b/>
                <w:bCs/>
                <w:color w:val="auto"/>
                <w:sz w:val="21"/>
                <w:szCs w:val="21"/>
                <w:highlight w:val="none"/>
                <w:lang w:eastAsia="zh-CN"/>
              </w:rPr>
              <w:t>(</w:t>
            </w:r>
            <w:r>
              <w:rPr>
                <w:rFonts w:hint="eastAsia" w:ascii="宋体" w:hAnsi="宋体" w:eastAsia="宋体" w:cs="宋体"/>
                <w:b/>
                <w:bCs/>
                <w:color w:val="auto"/>
                <w:sz w:val="21"/>
                <w:szCs w:val="21"/>
                <w:highlight w:val="none"/>
              </w:rPr>
              <w:t>秒数</w:t>
            </w:r>
            <w:r>
              <w:rPr>
                <w:rFonts w:hint="eastAsia"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控制测量</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 </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无人机测量基础</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38 </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 </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机械基础</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 </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隧道施工机械</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32 </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38 </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工程测量</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 </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 </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土木工程地质</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 </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 </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土木工程材料</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72 </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铁路轨道构造与施工</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 </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铁路桥隧检测</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工程制图基础</w:t>
            </w:r>
          </w:p>
        </w:tc>
        <w:tc>
          <w:tcPr>
            <w:tcW w:w="1271"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 </w:t>
            </w:r>
          </w:p>
        </w:tc>
        <w:tc>
          <w:tcPr>
            <w:tcW w:w="1165"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 </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服务名称</w:t>
            </w:r>
          </w:p>
        </w:tc>
        <w:tc>
          <w:tcPr>
            <w:tcW w:w="2436" w:type="pct"/>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专业教学资源库采集工具</w:t>
            </w:r>
          </w:p>
        </w:tc>
        <w:tc>
          <w:tcPr>
            <w:tcW w:w="2436" w:type="pct"/>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资源库项目管理平台</w:t>
            </w:r>
          </w:p>
        </w:tc>
        <w:tc>
          <w:tcPr>
            <w:tcW w:w="2436" w:type="pct"/>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58" w:type="pct"/>
            <w:noWrap/>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bl>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ascii="宋体" w:hAnsi="宋体" w:eastAsia="宋体" w:cs="宋体"/>
          <w:color w:val="auto"/>
          <w:highlight w:val="none"/>
          <w:lang w:val="en-US" w:eastAsia="zh-CN"/>
        </w:rPr>
      </w:pPr>
      <w:bookmarkStart w:id="417" w:name="_Toc17290"/>
      <w:r>
        <w:rPr>
          <w:rFonts w:hint="eastAsia" w:ascii="宋体" w:hAnsi="宋体" w:eastAsia="宋体" w:cs="宋体"/>
          <w:color w:val="auto"/>
          <w:highlight w:val="none"/>
          <w:lang w:val="en-US" w:eastAsia="zh-CN"/>
        </w:rPr>
        <w:t>技术要求</w:t>
      </w:r>
      <w:bookmarkEnd w:id="417"/>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75"/>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bCs w:val="0"/>
                <w:color w:val="auto"/>
                <w:sz w:val="21"/>
                <w:szCs w:val="21"/>
                <w:highlight w:val="none"/>
                <w:vertAlign w:val="baseline"/>
                <w:lang w:val="en-US" w:eastAsia="zh-CN"/>
              </w:rPr>
            </w:pPr>
            <w:bookmarkStart w:id="418" w:name="_Toc14330"/>
            <w:r>
              <w:rPr>
                <w:rFonts w:hint="eastAsia" w:ascii="宋体" w:hAnsi="宋体" w:eastAsia="宋体" w:cs="宋体"/>
                <w:b/>
                <w:bCs w:val="0"/>
                <w:color w:val="auto"/>
                <w:sz w:val="21"/>
                <w:szCs w:val="21"/>
                <w:highlight w:val="none"/>
                <w:vertAlign w:val="baseline"/>
                <w:lang w:val="en-US" w:eastAsia="zh-CN"/>
              </w:rPr>
              <w:t>序号</w:t>
            </w:r>
            <w:bookmarkEnd w:id="418"/>
          </w:p>
        </w:tc>
        <w:tc>
          <w:tcPr>
            <w:tcW w:w="157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bCs w:val="0"/>
                <w:color w:val="auto"/>
                <w:sz w:val="21"/>
                <w:szCs w:val="21"/>
                <w:highlight w:val="none"/>
                <w:vertAlign w:val="baseline"/>
                <w:lang w:val="en-US" w:eastAsia="zh-CN"/>
              </w:rPr>
            </w:pPr>
            <w:bookmarkStart w:id="419" w:name="_Toc22210"/>
            <w:r>
              <w:rPr>
                <w:rFonts w:hint="eastAsia" w:ascii="宋体" w:hAnsi="宋体" w:eastAsia="宋体" w:cs="宋体"/>
                <w:b/>
                <w:bCs w:val="0"/>
                <w:color w:val="auto"/>
                <w:sz w:val="21"/>
                <w:szCs w:val="21"/>
                <w:highlight w:val="none"/>
                <w:vertAlign w:val="baseline"/>
                <w:lang w:val="en-US" w:eastAsia="zh-CN"/>
              </w:rPr>
              <w:t>内容项</w:t>
            </w:r>
            <w:bookmarkEnd w:id="419"/>
          </w:p>
        </w:tc>
        <w:tc>
          <w:tcPr>
            <w:tcW w:w="7672"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bCs w:val="0"/>
                <w:color w:val="auto"/>
                <w:sz w:val="21"/>
                <w:szCs w:val="21"/>
                <w:highlight w:val="none"/>
                <w:vertAlign w:val="baseline"/>
                <w:lang w:val="en-US" w:eastAsia="zh-CN"/>
              </w:rPr>
            </w:pPr>
            <w:bookmarkStart w:id="420" w:name="_Toc4753"/>
            <w:r>
              <w:rPr>
                <w:rFonts w:hint="eastAsia" w:ascii="宋体" w:hAnsi="宋体" w:eastAsia="宋体" w:cs="宋体"/>
                <w:b/>
                <w:bCs w:val="0"/>
                <w:color w:val="auto"/>
                <w:sz w:val="21"/>
                <w:szCs w:val="21"/>
                <w:highlight w:val="none"/>
                <w:vertAlign w:val="baseline"/>
                <w:lang w:val="en-US" w:eastAsia="zh-CN"/>
              </w:rPr>
              <w:t>技术要求</w:t>
            </w:r>
            <w:bookmarkEnd w:id="4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21" w:name="_Toc12640"/>
            <w:r>
              <w:rPr>
                <w:rFonts w:hint="eastAsia" w:ascii="宋体" w:hAnsi="宋体" w:eastAsia="宋体" w:cs="宋体"/>
                <w:b w:val="0"/>
                <w:bCs/>
                <w:color w:val="auto"/>
                <w:sz w:val="21"/>
                <w:szCs w:val="21"/>
                <w:highlight w:val="none"/>
                <w:vertAlign w:val="baseline"/>
                <w:lang w:val="en-US" w:eastAsia="zh-CN"/>
              </w:rPr>
              <w:t>1</w:t>
            </w:r>
            <w:bookmarkEnd w:id="421"/>
          </w:p>
        </w:tc>
        <w:tc>
          <w:tcPr>
            <w:tcW w:w="157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22" w:name="_Toc20015"/>
            <w:r>
              <w:rPr>
                <w:rFonts w:hint="eastAsia" w:ascii="宋体" w:hAnsi="宋体" w:eastAsia="宋体" w:cs="宋体"/>
                <w:b w:val="0"/>
                <w:bCs/>
                <w:color w:val="auto"/>
                <w:sz w:val="21"/>
                <w:szCs w:val="21"/>
                <w:highlight w:val="none"/>
                <w:vertAlign w:val="baseline"/>
                <w:lang w:val="en-US" w:eastAsia="zh-CN"/>
              </w:rPr>
              <w:t>★动画资源-二维动画</w:t>
            </w:r>
            <w:bookmarkEnd w:id="422"/>
          </w:p>
        </w:tc>
        <w:tc>
          <w:tcPr>
            <w:tcW w:w="7672" w:type="dxa"/>
            <w:vAlign w:val="top"/>
          </w:tcPr>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通过对专业特点的分析，调研专业涉及的教学和实际工作场景。对知识点进行故事情节、案例设计及配音。通过技术手段，呈现完整、无误的动画成果，时长3分钟以内。</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整体要求</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完整性：动画内容需要符合老师讲课逻辑，且保证知识点内容的完整性；</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正确性：每个动画上的文字、图片、语音等不能出现学科性错误；</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体验感：播放流畅，画面清晰，声音清楚舒服、有良好的体验感。</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分镜脚本设计：为故事进行段落分解，形成分镜头文字；按动画分镜脚本设计的规范要求，清晰直观的表现每个镜头呈现的画面。</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人物角色场景设计：按规范绘制主要角色；其他出场人物可根据分镜自行发挥，风格与主角统一；按分镜头需要制作动画背景；背景命名不得随意改动。</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参数设置：1280*720</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16:9</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、1024*576</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16:9</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；帧率为25秒/帧；格式为MP4；总比特率不低于300kdps；动画音频质量比特率≥32</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发布设置-音频流</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画面要求：动画表现方面不能过于单调；画面制作需按照动画分镜进行,不得大面积更改动画分镜的时间和任务动作；动画内容中的位图需清晰，不能有迷糊不清的现象(特效除外)；动画画面不能错位,组件缺损,跳帧,少帧等；动画中纯静态面面停留时间不得超过5秒；动画播放过程避免采用简单重复方式以保持动面播放时间；人物若涉及单独场景，需有结构阴影和地面投影</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适用于写实风</w:t>
            </w:r>
            <w:r>
              <w:rPr>
                <w:rFonts w:hint="eastAsia"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；动画特效由团队自行创作，做到颜色、风格统一。</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动画设计：根据分镜头及脚本，运用AdobeAnimate、Adobe After Effects等相关软件制作生成动画文件。</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文字要求：动画中的文字需清晰；不能出现多字、少字、错字、别字、实心字、乱码等。</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声音要求：不允许删除、添加模板中的声音,不得延长或者缩短字幕与声音的时间。严格按照模板字幕和声音时间制作动面。</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封装发布：开发出来的成果需要按照标准、技术参数进行成果的封装、打包与成果发布，将成果文件储存至U盘或是通过其它媒介进行内容存储，最后对成果文件封口进行处理。</w:t>
            </w:r>
          </w:p>
          <w:p>
            <w:pPr>
              <w:keepNext w:val="0"/>
              <w:keepLines w:val="0"/>
              <w:pageBreakBefore w:val="0"/>
              <w:widowControl w:val="0"/>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rPr>
              <w:t>10</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版权要求：资源中选用的所有非原创性资源不存在版权争议。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23" w:name="_Toc31799"/>
            <w:r>
              <w:rPr>
                <w:rFonts w:hint="eastAsia" w:ascii="宋体" w:hAnsi="宋体" w:eastAsia="宋体" w:cs="宋体"/>
                <w:b w:val="0"/>
                <w:bCs/>
                <w:color w:val="auto"/>
                <w:sz w:val="21"/>
                <w:szCs w:val="21"/>
                <w:highlight w:val="none"/>
                <w:vertAlign w:val="baseline"/>
                <w:lang w:val="en-US" w:eastAsia="zh-CN"/>
              </w:rPr>
              <w:t>2</w:t>
            </w:r>
            <w:bookmarkEnd w:id="423"/>
          </w:p>
        </w:tc>
        <w:tc>
          <w:tcPr>
            <w:tcW w:w="157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24" w:name="_Toc21552"/>
            <w:r>
              <w:rPr>
                <w:rFonts w:hint="eastAsia" w:ascii="宋体" w:hAnsi="宋体" w:eastAsia="宋体" w:cs="宋体"/>
                <w:b w:val="0"/>
                <w:bCs/>
                <w:color w:val="auto"/>
                <w:sz w:val="21"/>
                <w:szCs w:val="21"/>
                <w:highlight w:val="none"/>
                <w:vertAlign w:val="baseline"/>
                <w:lang w:val="en-US" w:eastAsia="zh-CN"/>
              </w:rPr>
              <w:t>★动画资源-二维交互动画</w:t>
            </w:r>
            <w:bookmarkEnd w:id="424"/>
          </w:p>
        </w:tc>
        <w:tc>
          <w:tcPr>
            <w:tcW w:w="7672" w:type="dxa"/>
            <w:vAlign w:val="top"/>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25" w:name="_Toc6085"/>
            <w:r>
              <w:rPr>
                <w:rFonts w:hint="eastAsia" w:ascii="宋体" w:hAnsi="宋体" w:eastAsia="宋体" w:cs="宋体"/>
                <w:b w:val="0"/>
                <w:bCs/>
                <w:color w:val="auto"/>
                <w:sz w:val="21"/>
                <w:szCs w:val="21"/>
                <w:highlight w:val="none"/>
                <w:vertAlign w:val="baseline"/>
                <w:lang w:val="en-US" w:eastAsia="zh-CN"/>
              </w:rPr>
              <w:t>以动画、视频等方式展现仿真技能点，具有交互功能。交互内容难度合适，方式有趣、有用，能有效提高学习者的学习兴趣。</w:t>
            </w:r>
            <w:bookmarkEnd w:id="425"/>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26" w:name="_Toc21885"/>
            <w:r>
              <w:rPr>
                <w:rFonts w:hint="eastAsia" w:ascii="宋体" w:hAnsi="宋体" w:eastAsia="宋体" w:cs="宋体"/>
                <w:b w:val="0"/>
                <w:bCs/>
                <w:color w:val="auto"/>
                <w:sz w:val="21"/>
                <w:szCs w:val="21"/>
                <w:highlight w:val="none"/>
                <w:vertAlign w:val="baseline"/>
                <w:lang w:val="en-US" w:eastAsia="zh-CN"/>
              </w:rPr>
              <w:t>1.分镜脚本设计：为故事进行段落分解，形成分镜头文字；按动画分镜脚本设计的规范要求，清晰直观的表现每个镜头呈现的画面。</w:t>
            </w:r>
            <w:bookmarkEnd w:id="426"/>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27" w:name="_Toc546"/>
            <w:r>
              <w:rPr>
                <w:rFonts w:hint="eastAsia" w:ascii="宋体" w:hAnsi="宋体" w:eastAsia="宋体" w:cs="宋体"/>
                <w:b w:val="0"/>
                <w:bCs/>
                <w:color w:val="auto"/>
                <w:sz w:val="21"/>
                <w:szCs w:val="21"/>
                <w:highlight w:val="none"/>
                <w:vertAlign w:val="baseline"/>
                <w:lang w:val="en-US" w:eastAsia="zh-CN"/>
              </w:rPr>
              <w:t>2.参数设置：主流动画尺寸为1280*720</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16:9</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及以上；帧率都为25秒/帧，格式为.swf。</w:t>
            </w:r>
            <w:bookmarkEnd w:id="42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28" w:name="_Toc3383"/>
            <w:r>
              <w:rPr>
                <w:rFonts w:hint="eastAsia" w:ascii="宋体" w:hAnsi="宋体" w:eastAsia="宋体" w:cs="宋体"/>
                <w:b w:val="0"/>
                <w:bCs/>
                <w:color w:val="auto"/>
                <w:sz w:val="21"/>
                <w:szCs w:val="21"/>
                <w:highlight w:val="none"/>
                <w:vertAlign w:val="baseline"/>
                <w:lang w:val="en-US" w:eastAsia="zh-CN"/>
              </w:rPr>
              <w:t>3.图形原件：图形需为矢量图形，，采用Adobe Photoshop、Illustrator等软件；</w:t>
            </w:r>
            <w:bookmarkEnd w:id="428"/>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29" w:name="_Toc12693"/>
            <w:r>
              <w:rPr>
                <w:rFonts w:hint="eastAsia" w:ascii="宋体" w:hAnsi="宋体" w:eastAsia="宋体" w:cs="宋体"/>
                <w:b w:val="0"/>
                <w:bCs/>
                <w:color w:val="auto"/>
                <w:sz w:val="21"/>
                <w:szCs w:val="21"/>
                <w:highlight w:val="none"/>
                <w:vertAlign w:val="baseline"/>
                <w:lang w:val="en-US" w:eastAsia="zh-CN"/>
              </w:rPr>
              <w:t>图像清晰，不能有图像模糊等现象出现</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特效除外</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w:t>
            </w:r>
            <w:bookmarkEnd w:id="429"/>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30" w:name="_Toc18837"/>
            <w:r>
              <w:rPr>
                <w:rFonts w:hint="eastAsia" w:ascii="宋体" w:hAnsi="宋体" w:eastAsia="宋体" w:cs="宋体"/>
                <w:b w:val="0"/>
                <w:bCs/>
                <w:color w:val="auto"/>
                <w:sz w:val="21"/>
                <w:szCs w:val="21"/>
                <w:highlight w:val="none"/>
                <w:vertAlign w:val="baseline"/>
                <w:lang w:val="en-US" w:eastAsia="zh-CN"/>
              </w:rPr>
              <w:t>4.素材整合：交互中可选用的素材形式有：图片、视频、音乐、文本、富文本、PSD等。</w:t>
            </w:r>
            <w:bookmarkEnd w:id="43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31" w:name="_Toc12408"/>
            <w:r>
              <w:rPr>
                <w:rFonts w:hint="eastAsia" w:ascii="宋体" w:hAnsi="宋体" w:eastAsia="宋体" w:cs="宋体"/>
                <w:b w:val="0"/>
                <w:bCs/>
                <w:color w:val="auto"/>
                <w:sz w:val="21"/>
                <w:szCs w:val="21"/>
                <w:highlight w:val="none"/>
                <w:vertAlign w:val="baseline"/>
                <w:lang w:val="en-US" w:eastAsia="zh-CN"/>
              </w:rPr>
              <w:t>5.交互控制：点击、鼠标上移/下移、手指按动/离开、滑动等。</w:t>
            </w:r>
            <w:bookmarkEnd w:id="431"/>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32" w:name="_Toc29847"/>
            <w:r>
              <w:rPr>
                <w:rFonts w:hint="eastAsia" w:ascii="宋体" w:hAnsi="宋体" w:eastAsia="宋体" w:cs="宋体"/>
                <w:b w:val="0"/>
                <w:bCs/>
                <w:color w:val="auto"/>
                <w:sz w:val="21"/>
                <w:szCs w:val="21"/>
                <w:highlight w:val="none"/>
                <w:vertAlign w:val="baseline"/>
                <w:lang w:val="en-US" w:eastAsia="zh-CN"/>
              </w:rPr>
              <w:t>6.音效要求：背景音效、按键提示音、操作提示音、胜利/失败提示音等，可自动控制音量、效果音以及背景音等。</w:t>
            </w:r>
            <w:bookmarkEnd w:id="43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33" w:name="_Toc28052"/>
            <w:r>
              <w:rPr>
                <w:rFonts w:hint="eastAsia" w:ascii="宋体" w:hAnsi="宋体" w:eastAsia="宋体" w:cs="宋体"/>
                <w:b w:val="0"/>
                <w:bCs/>
                <w:color w:val="auto"/>
                <w:sz w:val="21"/>
                <w:szCs w:val="21"/>
                <w:highlight w:val="none"/>
                <w:vertAlign w:val="baseline"/>
                <w:lang w:val="en-US" w:eastAsia="zh-CN"/>
              </w:rPr>
              <w:t>7.版权要求：资源中选用的所有非原创性资源不存在版权争议。</w:t>
            </w:r>
            <w:bookmarkEnd w:id="4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34" w:name="_Toc25478"/>
            <w:r>
              <w:rPr>
                <w:rFonts w:hint="eastAsia" w:ascii="宋体" w:hAnsi="宋体" w:eastAsia="宋体" w:cs="宋体"/>
                <w:b w:val="0"/>
                <w:bCs/>
                <w:color w:val="auto"/>
                <w:sz w:val="21"/>
                <w:szCs w:val="21"/>
                <w:highlight w:val="none"/>
                <w:vertAlign w:val="baseline"/>
                <w:lang w:val="en-US" w:eastAsia="zh-CN"/>
              </w:rPr>
              <w:t>3</w:t>
            </w:r>
            <w:bookmarkEnd w:id="434"/>
          </w:p>
        </w:tc>
        <w:tc>
          <w:tcPr>
            <w:tcW w:w="157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35" w:name="_Toc3107"/>
            <w:r>
              <w:rPr>
                <w:rFonts w:hint="eastAsia" w:ascii="宋体" w:hAnsi="宋体" w:eastAsia="宋体" w:cs="宋体"/>
                <w:b w:val="0"/>
                <w:bCs/>
                <w:color w:val="auto"/>
                <w:sz w:val="21"/>
                <w:szCs w:val="21"/>
                <w:highlight w:val="none"/>
                <w:vertAlign w:val="baseline"/>
                <w:lang w:val="en-US" w:eastAsia="zh-CN"/>
              </w:rPr>
              <w:t>★动画资源-三维动画</w:t>
            </w:r>
            <w:bookmarkEnd w:id="435"/>
          </w:p>
        </w:tc>
        <w:tc>
          <w:tcPr>
            <w:tcW w:w="7672" w:type="dxa"/>
            <w:vAlign w:val="top"/>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36" w:name="_Toc11104"/>
            <w:r>
              <w:rPr>
                <w:rFonts w:hint="eastAsia" w:ascii="宋体" w:hAnsi="宋体" w:eastAsia="宋体" w:cs="宋体"/>
                <w:b w:val="0"/>
                <w:bCs/>
                <w:color w:val="auto"/>
                <w:sz w:val="21"/>
                <w:szCs w:val="21"/>
                <w:highlight w:val="none"/>
                <w:vertAlign w:val="baseline"/>
                <w:lang w:val="en-US" w:eastAsia="zh-CN"/>
              </w:rPr>
              <w:t>三维动画，主要用于展现难以理解的复杂原理以及肉眼难以捕捉的微观现象，让学习者能够更加直观的理解教学内容。单个视频时长为90秒以内。</w:t>
            </w:r>
            <w:bookmarkEnd w:id="436"/>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37" w:name="_Toc6423"/>
            <w:r>
              <w:rPr>
                <w:rFonts w:hint="eastAsia" w:ascii="宋体" w:hAnsi="宋体" w:eastAsia="宋体" w:cs="宋体"/>
                <w:b w:val="0"/>
                <w:bCs/>
                <w:color w:val="auto"/>
                <w:sz w:val="21"/>
                <w:szCs w:val="21"/>
                <w:highlight w:val="none"/>
                <w:vertAlign w:val="baseline"/>
                <w:lang w:val="en-US" w:eastAsia="zh-CN"/>
              </w:rPr>
              <w:t>1.整体要求：</w:t>
            </w:r>
            <w:bookmarkEnd w:id="43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38" w:name="_Toc27032"/>
            <w:r>
              <w:rPr>
                <w:rFonts w:hint="eastAsia" w:ascii="宋体" w:hAnsi="宋体" w:eastAsia="宋体" w:cs="宋体"/>
                <w:b w:val="0"/>
                <w:bCs/>
                <w:color w:val="auto"/>
                <w:sz w:val="21"/>
                <w:szCs w:val="21"/>
                <w:highlight w:val="none"/>
                <w:vertAlign w:val="baseline"/>
                <w:lang w:val="en-US" w:eastAsia="zh-CN"/>
              </w:rPr>
              <w:t>完整性：动画内容符合老师讲课逻辑，保证知识点内容完整。</w:t>
            </w:r>
            <w:bookmarkEnd w:id="438"/>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39" w:name="_Toc30549"/>
            <w:r>
              <w:rPr>
                <w:rFonts w:hint="eastAsia" w:ascii="宋体" w:hAnsi="宋体" w:eastAsia="宋体" w:cs="宋体"/>
                <w:b w:val="0"/>
                <w:bCs/>
                <w:color w:val="auto"/>
                <w:sz w:val="21"/>
                <w:szCs w:val="21"/>
                <w:highlight w:val="none"/>
                <w:vertAlign w:val="baseline"/>
                <w:lang w:val="en-US" w:eastAsia="zh-CN"/>
              </w:rPr>
              <w:t>正确性：动画上的文字、图片、语音等不能出现学科性错误。</w:t>
            </w:r>
            <w:bookmarkEnd w:id="439"/>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0" w:name="_Toc11215"/>
            <w:r>
              <w:rPr>
                <w:rFonts w:hint="eastAsia" w:ascii="宋体" w:hAnsi="宋体" w:eastAsia="宋体" w:cs="宋体"/>
                <w:b w:val="0"/>
                <w:bCs/>
                <w:color w:val="auto"/>
                <w:sz w:val="21"/>
                <w:szCs w:val="21"/>
                <w:highlight w:val="none"/>
                <w:vertAlign w:val="baseline"/>
                <w:lang w:val="en-US" w:eastAsia="zh-CN"/>
              </w:rPr>
              <w:t>体验感：播放流畅，画面清晰，声音清楚。</w:t>
            </w:r>
            <w:bookmarkEnd w:id="44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1" w:name="_Toc8961"/>
            <w:r>
              <w:rPr>
                <w:rFonts w:hint="eastAsia" w:ascii="宋体" w:hAnsi="宋体" w:eastAsia="宋体" w:cs="宋体"/>
                <w:b w:val="0"/>
                <w:bCs/>
                <w:color w:val="auto"/>
                <w:sz w:val="21"/>
                <w:szCs w:val="21"/>
                <w:highlight w:val="none"/>
                <w:vertAlign w:val="baseline"/>
                <w:lang w:val="en-US" w:eastAsia="zh-CN"/>
              </w:rPr>
              <w:t>2.画面要求：画面制作需按照动画分镜进行,不得大面积更改动画分镜的时间和任务动作；动画内容中的位图需清晰，不能有迷糊不清的现象(特效除外)；动画画面不能错位,组件缺损,跳帧,少帧等；动画中纯静态面面停留时间不得超过5秒；动画播放过程避免采用简单重复方式以保持动面播放时间；人物若涉及到单独场景，要有结构阴影和地面投影。动画特效由团队自行创作，做到颜色、风格统一。</w:t>
            </w:r>
            <w:bookmarkEnd w:id="441"/>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2" w:name="_Toc13944"/>
            <w:r>
              <w:rPr>
                <w:rFonts w:hint="eastAsia" w:ascii="宋体" w:hAnsi="宋体" w:eastAsia="宋体" w:cs="宋体"/>
                <w:b w:val="0"/>
                <w:bCs/>
                <w:color w:val="auto"/>
                <w:sz w:val="21"/>
                <w:szCs w:val="21"/>
                <w:highlight w:val="none"/>
                <w:vertAlign w:val="baseline"/>
                <w:lang w:val="en-US" w:eastAsia="zh-CN"/>
              </w:rPr>
              <w:t>3.分镜头脚本设计：为故事进行段落分解，形成分镜头文字；按动画分镜脚本设计的规范要求，清晰直观的表现每个镜头呈现的画面。</w:t>
            </w:r>
            <w:bookmarkEnd w:id="44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3" w:name="_Toc11291"/>
            <w:r>
              <w:rPr>
                <w:rFonts w:hint="eastAsia" w:ascii="宋体" w:hAnsi="宋体" w:eastAsia="宋体" w:cs="宋体"/>
                <w:b w:val="0"/>
                <w:bCs/>
                <w:color w:val="auto"/>
                <w:sz w:val="21"/>
                <w:szCs w:val="21"/>
                <w:highlight w:val="none"/>
                <w:vertAlign w:val="baseline"/>
                <w:lang w:val="en-US" w:eastAsia="zh-CN"/>
              </w:rPr>
              <w:t>4.参数设置：主流动画尺寸为1280*720</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16:9</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及以上；动画的帧率为25秒/帧，格式为MP4。</w:t>
            </w:r>
            <w:bookmarkEnd w:id="443"/>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4" w:name="_Toc10632"/>
            <w:r>
              <w:rPr>
                <w:rFonts w:hint="eastAsia" w:ascii="宋体" w:hAnsi="宋体" w:eastAsia="宋体" w:cs="宋体"/>
                <w:b w:val="0"/>
                <w:bCs/>
                <w:color w:val="auto"/>
                <w:sz w:val="21"/>
                <w:szCs w:val="21"/>
                <w:highlight w:val="none"/>
                <w:vertAlign w:val="baseline"/>
                <w:lang w:val="en-US" w:eastAsia="zh-CN"/>
              </w:rPr>
              <w:t>5.建模要求：主流软件3DMax、Maya、C4D等进行建模制作，不能出现空点、露面、黑面等问题。</w:t>
            </w:r>
            <w:bookmarkEnd w:id="444"/>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5" w:name="_Toc2801"/>
            <w:r>
              <w:rPr>
                <w:rFonts w:hint="eastAsia" w:ascii="宋体" w:hAnsi="宋体" w:eastAsia="宋体" w:cs="宋体"/>
                <w:b w:val="0"/>
                <w:bCs/>
                <w:color w:val="auto"/>
                <w:sz w:val="21"/>
                <w:szCs w:val="21"/>
                <w:highlight w:val="none"/>
                <w:vertAlign w:val="baseline"/>
                <w:lang w:val="en-US" w:eastAsia="zh-CN"/>
              </w:rPr>
              <w:t>6.材质贴图：贴图分辨率不低于256*256的标准，并要求图像清晰、色彩和谐。体现模型的颜色、透明度、反光强度、粗糙度等。</w:t>
            </w:r>
            <w:bookmarkEnd w:id="445"/>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6" w:name="_Toc15254"/>
            <w:r>
              <w:rPr>
                <w:rFonts w:hint="eastAsia" w:ascii="宋体" w:hAnsi="宋体" w:eastAsia="宋体" w:cs="宋体"/>
                <w:b w:val="0"/>
                <w:bCs/>
                <w:color w:val="auto"/>
                <w:sz w:val="21"/>
                <w:szCs w:val="21"/>
                <w:highlight w:val="none"/>
                <w:vertAlign w:val="baseline"/>
                <w:lang w:val="en-US" w:eastAsia="zh-CN"/>
              </w:rPr>
              <w:t>7.灯光要求：使用CR灯光、CR太阳、泛光灯和方向灯。</w:t>
            </w:r>
            <w:bookmarkEnd w:id="446"/>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7" w:name="_Toc17717"/>
            <w:r>
              <w:rPr>
                <w:rFonts w:hint="eastAsia" w:ascii="宋体" w:hAnsi="宋体" w:eastAsia="宋体" w:cs="宋体"/>
                <w:b w:val="0"/>
                <w:bCs/>
                <w:color w:val="auto"/>
                <w:sz w:val="21"/>
                <w:szCs w:val="21"/>
                <w:highlight w:val="none"/>
                <w:vertAlign w:val="baseline"/>
                <w:lang w:val="en-US" w:eastAsia="zh-CN"/>
              </w:rPr>
              <w:t>8.动画设计：根据分镜头脚本，运用已建模型在三维动画制作软件中制作出动画片段，符合自然规律和基本运动规律。</w:t>
            </w:r>
            <w:bookmarkEnd w:id="44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8" w:name="_Toc18208"/>
            <w:r>
              <w:rPr>
                <w:rFonts w:hint="eastAsia" w:ascii="宋体" w:hAnsi="宋体" w:eastAsia="宋体" w:cs="宋体"/>
                <w:b w:val="0"/>
                <w:bCs/>
                <w:color w:val="auto"/>
                <w:sz w:val="21"/>
                <w:szCs w:val="21"/>
                <w:highlight w:val="none"/>
                <w:vertAlign w:val="baseline"/>
                <w:lang w:val="en-US" w:eastAsia="zh-CN"/>
              </w:rPr>
              <w:t>9.渲染要求：使用Corona、MetalRay、Vray渲染器渲染，输出图像需清晰，质感明显。</w:t>
            </w:r>
            <w:bookmarkEnd w:id="448"/>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49" w:name="_Toc20666"/>
            <w:r>
              <w:rPr>
                <w:rFonts w:hint="eastAsia" w:ascii="宋体" w:hAnsi="宋体" w:eastAsia="宋体" w:cs="宋体"/>
                <w:b w:val="0"/>
                <w:bCs/>
                <w:color w:val="auto"/>
                <w:sz w:val="21"/>
                <w:szCs w:val="21"/>
                <w:highlight w:val="none"/>
                <w:vertAlign w:val="baseline"/>
                <w:lang w:val="en-US" w:eastAsia="zh-CN"/>
              </w:rPr>
              <w:t>10.文字要求：动画内容中出现的文字需清晰；不能出现多字、少字、错字、别字、实心字、乱码等情况。</w:t>
            </w:r>
            <w:bookmarkEnd w:id="449"/>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50" w:name="_Toc716"/>
            <w:r>
              <w:rPr>
                <w:rFonts w:hint="eastAsia" w:ascii="宋体" w:hAnsi="宋体" w:eastAsia="宋体" w:cs="宋体"/>
                <w:b w:val="0"/>
                <w:bCs/>
                <w:color w:val="auto"/>
                <w:sz w:val="21"/>
                <w:szCs w:val="21"/>
                <w:highlight w:val="none"/>
                <w:vertAlign w:val="baseline"/>
                <w:lang w:val="en-US" w:eastAsia="zh-CN"/>
              </w:rPr>
              <w:t>11.声音要求：严格按动画内容的字幕和声音制作，不得延长或缩短字幕与声音的时间；配音与画面协调一致。</w:t>
            </w:r>
            <w:bookmarkEnd w:id="45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51" w:name="_Toc18725"/>
            <w:r>
              <w:rPr>
                <w:rFonts w:hint="eastAsia" w:ascii="宋体" w:hAnsi="宋体" w:eastAsia="宋体" w:cs="宋体"/>
                <w:b w:val="0"/>
                <w:bCs/>
                <w:color w:val="auto"/>
                <w:sz w:val="21"/>
                <w:szCs w:val="21"/>
                <w:highlight w:val="none"/>
                <w:vertAlign w:val="baseline"/>
                <w:lang w:val="en-US" w:eastAsia="zh-CN"/>
              </w:rPr>
              <w:t>12.版权要求：资源中选用的所有非原创性资源不存在版权争议。</w:t>
            </w:r>
            <w:bookmarkEnd w:id="4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52" w:name="_Toc17630"/>
            <w:r>
              <w:rPr>
                <w:rFonts w:hint="eastAsia" w:ascii="宋体" w:hAnsi="宋体" w:eastAsia="宋体" w:cs="宋体"/>
                <w:b w:val="0"/>
                <w:bCs/>
                <w:color w:val="auto"/>
                <w:sz w:val="21"/>
                <w:szCs w:val="21"/>
                <w:highlight w:val="none"/>
                <w:vertAlign w:val="baseline"/>
                <w:lang w:val="en-US" w:eastAsia="zh-CN"/>
              </w:rPr>
              <w:t>4</w:t>
            </w:r>
            <w:bookmarkEnd w:id="452"/>
          </w:p>
        </w:tc>
        <w:tc>
          <w:tcPr>
            <w:tcW w:w="157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53" w:name="_Toc30740"/>
            <w:r>
              <w:rPr>
                <w:rFonts w:hint="eastAsia" w:ascii="宋体" w:hAnsi="宋体" w:eastAsia="宋体" w:cs="宋体"/>
                <w:b w:val="0"/>
                <w:bCs/>
                <w:color w:val="auto"/>
                <w:sz w:val="21"/>
                <w:szCs w:val="21"/>
                <w:highlight w:val="none"/>
                <w:vertAlign w:val="baseline"/>
                <w:lang w:val="en-US" w:eastAsia="zh-CN"/>
              </w:rPr>
              <w:t>★动画资源-三维交互</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实训仿真</w:t>
            </w:r>
            <w:bookmarkEnd w:id="453"/>
            <w:r>
              <w:rPr>
                <w:rFonts w:hint="eastAsia" w:cs="宋体"/>
                <w:b w:val="0"/>
                <w:bCs/>
                <w:color w:val="auto"/>
                <w:sz w:val="21"/>
                <w:szCs w:val="21"/>
                <w:highlight w:val="none"/>
                <w:vertAlign w:val="baseline"/>
                <w:lang w:val="en-US" w:eastAsia="zh-CN"/>
              </w:rPr>
              <w:t>)</w:t>
            </w:r>
          </w:p>
        </w:tc>
        <w:tc>
          <w:tcPr>
            <w:tcW w:w="7672" w:type="dxa"/>
            <w:vAlign w:val="top"/>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54" w:name="_Toc29504"/>
            <w:r>
              <w:rPr>
                <w:rFonts w:hint="eastAsia" w:ascii="宋体" w:hAnsi="宋体" w:eastAsia="宋体" w:cs="宋体"/>
                <w:b w:val="0"/>
                <w:bCs/>
                <w:color w:val="auto"/>
                <w:sz w:val="21"/>
                <w:szCs w:val="21"/>
                <w:highlight w:val="none"/>
                <w:vertAlign w:val="baseline"/>
                <w:lang w:val="en-US" w:eastAsia="zh-CN"/>
              </w:rPr>
              <w:t>三维交互资源应根据国家、省相关标注要求，有针对性的开发以虚助实、以实带虚、虚实结合的虚拟仿真实训资源，更加注重现场感和体验感，主要用于展现“看不见、进不去、动不得、难再现”等不能开展现场教学的场景环境过程。</w:t>
            </w:r>
            <w:bookmarkEnd w:id="454"/>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55" w:name="_Toc27526"/>
            <w:r>
              <w:rPr>
                <w:rFonts w:hint="eastAsia" w:ascii="宋体" w:hAnsi="宋体" w:eastAsia="宋体" w:cs="宋体"/>
                <w:b w:val="0"/>
                <w:bCs/>
                <w:color w:val="auto"/>
                <w:sz w:val="21"/>
                <w:szCs w:val="21"/>
                <w:highlight w:val="none"/>
                <w:vertAlign w:val="baseline"/>
                <w:lang w:val="en-US" w:eastAsia="zh-CN"/>
              </w:rPr>
              <w:t>1.场景要求：场景切换流畅，无卡顿感；虚拟人物满足人设要求；应用程序无颠簸、抖动和黑色拖尾效应。</w:t>
            </w:r>
            <w:bookmarkEnd w:id="455"/>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56" w:name="_Toc3267"/>
            <w:r>
              <w:rPr>
                <w:rFonts w:hint="eastAsia" w:ascii="宋体" w:hAnsi="宋体" w:eastAsia="宋体" w:cs="宋体"/>
                <w:b w:val="0"/>
                <w:bCs/>
                <w:color w:val="auto"/>
                <w:sz w:val="21"/>
                <w:szCs w:val="21"/>
                <w:highlight w:val="none"/>
                <w:vertAlign w:val="baseline"/>
                <w:lang w:val="en-US" w:eastAsia="zh-CN"/>
              </w:rPr>
              <w:t>2.3UE设计：软件UE设计以用户为中心，包括人机交互界面、用户体验等，布局合理，导航清晰，操作方便。</w:t>
            </w:r>
            <w:bookmarkEnd w:id="456"/>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57" w:name="_Toc29841"/>
            <w:r>
              <w:rPr>
                <w:rFonts w:hint="eastAsia" w:ascii="宋体" w:hAnsi="宋体" w:eastAsia="宋体" w:cs="宋体"/>
                <w:b w:val="0"/>
                <w:bCs/>
                <w:color w:val="auto"/>
                <w:sz w:val="21"/>
                <w:szCs w:val="21"/>
                <w:highlight w:val="none"/>
                <w:vertAlign w:val="baseline"/>
                <w:lang w:val="en-US" w:eastAsia="zh-CN"/>
              </w:rPr>
              <w:t>3.模型位置：模型零部件中心点为物理中心位置，如果模型需要运动则以运动轴心优先。</w:t>
            </w:r>
            <w:bookmarkEnd w:id="45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58" w:name="_Toc23947"/>
            <w:r>
              <w:rPr>
                <w:rFonts w:hint="eastAsia" w:ascii="宋体" w:hAnsi="宋体" w:eastAsia="宋体" w:cs="宋体"/>
                <w:b w:val="0"/>
                <w:bCs/>
                <w:color w:val="auto"/>
                <w:sz w:val="21"/>
                <w:szCs w:val="21"/>
                <w:highlight w:val="none"/>
                <w:vertAlign w:val="baseline"/>
                <w:lang w:val="en-US" w:eastAsia="zh-CN"/>
              </w:rPr>
              <w:t>4.模型大小：4M以内。</w:t>
            </w:r>
            <w:bookmarkEnd w:id="458"/>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59" w:name="_Toc30879"/>
            <w:r>
              <w:rPr>
                <w:rFonts w:hint="eastAsia" w:ascii="宋体" w:hAnsi="宋体" w:eastAsia="宋体" w:cs="宋体"/>
                <w:b w:val="0"/>
                <w:bCs/>
                <w:color w:val="auto"/>
                <w:sz w:val="21"/>
                <w:szCs w:val="21"/>
                <w:highlight w:val="none"/>
                <w:vertAlign w:val="baseline"/>
                <w:lang w:val="en-US" w:eastAsia="zh-CN"/>
              </w:rPr>
              <w:t>5.模型面数：三维模型构建的场景及物体多边形面数原则上在30万面以内，分辨率可支持1280×720，1600×900，1920×1080常规分辨率。</w:t>
            </w:r>
            <w:bookmarkEnd w:id="459"/>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60" w:name="_Toc16327"/>
            <w:r>
              <w:rPr>
                <w:rFonts w:hint="eastAsia" w:ascii="宋体" w:hAnsi="宋体" w:eastAsia="宋体" w:cs="宋体"/>
                <w:b w:val="0"/>
                <w:bCs/>
                <w:color w:val="auto"/>
                <w:sz w:val="21"/>
                <w:szCs w:val="21"/>
                <w:highlight w:val="none"/>
                <w:vertAlign w:val="baseline"/>
                <w:lang w:val="en-US" w:eastAsia="zh-CN"/>
              </w:rPr>
              <w:t>6.交互技术：复杂场区提供小地图及多视角以及场景自由到达与快速到达功能；虚拟仿真由“虚拟环境+虚拟物体+虚拟设备+虚拟人物”构成，具有内容自主可选择性；具备完整的注释说明，代码整洁。</w:t>
            </w:r>
            <w:bookmarkEnd w:id="46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61" w:name="_Toc4562"/>
            <w:r>
              <w:rPr>
                <w:rFonts w:hint="eastAsia" w:ascii="宋体" w:hAnsi="宋体" w:eastAsia="宋体" w:cs="宋体"/>
                <w:b w:val="0"/>
                <w:bCs/>
                <w:color w:val="auto"/>
                <w:sz w:val="21"/>
                <w:szCs w:val="21"/>
                <w:highlight w:val="none"/>
                <w:vertAlign w:val="baseline"/>
                <w:lang w:val="en-US" w:eastAsia="zh-CN"/>
              </w:rPr>
              <w:t>7.动画帧设置：动画关键帧的帧节点对场景中的所有部件加上关键帧，动画分割后的子动画首、末帧打上关键帧。</w:t>
            </w:r>
            <w:bookmarkEnd w:id="461"/>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62" w:name="_Toc4891"/>
            <w:r>
              <w:rPr>
                <w:rFonts w:hint="eastAsia" w:ascii="宋体" w:hAnsi="宋体" w:eastAsia="宋体" w:cs="宋体"/>
                <w:b w:val="0"/>
                <w:bCs/>
                <w:color w:val="auto"/>
                <w:sz w:val="21"/>
                <w:szCs w:val="21"/>
                <w:highlight w:val="none"/>
                <w:vertAlign w:val="baseline"/>
                <w:lang w:val="en-US" w:eastAsia="zh-CN"/>
              </w:rPr>
              <w:t>8.视口比例：导入模型时，支持在Game窗口预览并调整模型的比例，以便适配摄像机的视口，模型占屏幕的2/3为宜。</w:t>
            </w:r>
            <w:bookmarkEnd w:id="46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63" w:name="_Toc7992"/>
            <w:r>
              <w:rPr>
                <w:rFonts w:hint="eastAsia" w:ascii="宋体" w:hAnsi="宋体" w:eastAsia="宋体" w:cs="宋体"/>
                <w:b w:val="0"/>
                <w:bCs/>
                <w:color w:val="auto"/>
                <w:sz w:val="21"/>
                <w:szCs w:val="21"/>
                <w:highlight w:val="none"/>
                <w:vertAlign w:val="baseline"/>
                <w:lang w:val="en-US" w:eastAsia="zh-CN"/>
              </w:rPr>
              <w:t>9.输出格式：输出格式为html，支持WebGL浏览器应用。</w:t>
            </w:r>
            <w:bookmarkEnd w:id="463"/>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64" w:name="_Toc10342"/>
            <w:r>
              <w:rPr>
                <w:rFonts w:hint="eastAsia" w:ascii="宋体" w:hAnsi="宋体" w:eastAsia="宋体" w:cs="宋体"/>
                <w:b w:val="0"/>
                <w:bCs/>
                <w:color w:val="auto"/>
                <w:sz w:val="21"/>
                <w:szCs w:val="21"/>
                <w:highlight w:val="none"/>
                <w:vertAlign w:val="baseline"/>
                <w:lang w:val="en-US" w:eastAsia="zh-CN"/>
              </w:rPr>
              <w:t>10.版权要求：资源中选用的所有非原创性资源不存在版权争议。</w:t>
            </w:r>
            <w:bookmarkEnd w:id="4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65" w:name="_Toc11258"/>
            <w:r>
              <w:rPr>
                <w:rFonts w:hint="eastAsia" w:ascii="宋体" w:hAnsi="宋体" w:eastAsia="宋体" w:cs="宋体"/>
                <w:b w:val="0"/>
                <w:bCs/>
                <w:color w:val="auto"/>
                <w:sz w:val="21"/>
                <w:szCs w:val="21"/>
                <w:highlight w:val="none"/>
                <w:vertAlign w:val="baseline"/>
                <w:lang w:val="en-US" w:eastAsia="zh-CN"/>
              </w:rPr>
              <w:t>5</w:t>
            </w:r>
            <w:bookmarkEnd w:id="465"/>
          </w:p>
        </w:tc>
        <w:tc>
          <w:tcPr>
            <w:tcW w:w="157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66" w:name="_Toc3285"/>
            <w:r>
              <w:rPr>
                <w:rFonts w:hint="eastAsia" w:ascii="宋体" w:hAnsi="宋体" w:eastAsia="宋体" w:cs="宋体"/>
                <w:b w:val="0"/>
                <w:bCs/>
                <w:color w:val="auto"/>
                <w:sz w:val="21"/>
                <w:szCs w:val="21"/>
                <w:highlight w:val="none"/>
                <w:vertAlign w:val="baseline"/>
                <w:lang w:val="en-US" w:eastAsia="zh-CN"/>
              </w:rPr>
              <w:t>★视频资源</w:t>
            </w:r>
            <w:bookmarkEnd w:id="466"/>
          </w:p>
        </w:tc>
        <w:tc>
          <w:tcPr>
            <w:tcW w:w="7672" w:type="dxa"/>
            <w:vAlign w:val="top"/>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67" w:name="_Toc3244"/>
            <w:r>
              <w:rPr>
                <w:rFonts w:hint="eastAsia" w:ascii="宋体" w:hAnsi="宋体" w:eastAsia="宋体" w:cs="宋体"/>
                <w:b w:val="0"/>
                <w:bCs/>
                <w:color w:val="auto"/>
                <w:sz w:val="21"/>
                <w:szCs w:val="21"/>
                <w:highlight w:val="none"/>
                <w:vertAlign w:val="baseline"/>
                <w:lang w:val="en-US" w:eastAsia="zh-CN"/>
              </w:rPr>
              <w:t>教学视频资源主要是通过拍摄、录制或者软件制作完成教学内容讲解记录、剪辑。本项目中视频资源主要包括视频微课、</w:t>
            </w:r>
            <w:bookmarkStart w:id="468" w:name="_Hlk123120421"/>
            <w:r>
              <w:rPr>
                <w:rFonts w:hint="eastAsia" w:ascii="宋体" w:hAnsi="宋体" w:eastAsia="宋体" w:cs="宋体"/>
                <w:b w:val="0"/>
                <w:bCs/>
                <w:color w:val="auto"/>
                <w:sz w:val="21"/>
                <w:szCs w:val="21"/>
                <w:highlight w:val="none"/>
                <w:vertAlign w:val="baseline"/>
                <w:lang w:val="en-US" w:eastAsia="zh-CN"/>
              </w:rPr>
              <w:t>教学片段</w:t>
            </w:r>
            <w:bookmarkEnd w:id="468"/>
            <w:bookmarkStart w:id="469" w:name="_Hlk123120541"/>
            <w:r>
              <w:rPr>
                <w:rFonts w:hint="eastAsia" w:ascii="宋体" w:hAnsi="宋体" w:eastAsia="宋体" w:cs="宋体"/>
                <w:b w:val="0"/>
                <w:bCs/>
                <w:color w:val="auto"/>
                <w:sz w:val="21"/>
                <w:szCs w:val="21"/>
                <w:highlight w:val="none"/>
                <w:vertAlign w:val="baseline"/>
                <w:lang w:val="en-US" w:eastAsia="zh-CN"/>
              </w:rPr>
              <w:t>/实操</w:t>
            </w:r>
            <w:bookmarkEnd w:id="469"/>
            <w:r>
              <w:rPr>
                <w:rFonts w:hint="eastAsia" w:ascii="宋体" w:hAnsi="宋体" w:eastAsia="宋体" w:cs="宋体"/>
                <w:b w:val="0"/>
                <w:bCs/>
                <w:color w:val="auto"/>
                <w:sz w:val="21"/>
                <w:szCs w:val="21"/>
                <w:highlight w:val="none"/>
                <w:vertAlign w:val="baseline"/>
                <w:lang w:val="en-US" w:eastAsia="zh-CN"/>
              </w:rPr>
              <w:t>视频、示范课/课堂实录、课程宣传片。其中，视频微课时长约为5-10分钟/个；教学片段时长约为11-20分钟/个；示范课/课堂实录时长约为35-40分钟。</w:t>
            </w:r>
            <w:bookmarkEnd w:id="46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0" w:name="_Toc13915"/>
            <w:r>
              <w:rPr>
                <w:rFonts w:hint="eastAsia" w:ascii="宋体" w:hAnsi="宋体" w:eastAsia="宋体" w:cs="宋体"/>
                <w:b w:val="0"/>
                <w:bCs/>
                <w:color w:val="auto"/>
                <w:sz w:val="21"/>
                <w:szCs w:val="21"/>
                <w:highlight w:val="none"/>
                <w:vertAlign w:val="baseline"/>
                <w:lang w:val="en-US" w:eastAsia="zh-CN"/>
              </w:rPr>
              <w:t>1.内容要求：视频内容符合我国法律法规，尊重各民族的风俗习惯，版权不存在争议。</w:t>
            </w:r>
            <w:bookmarkEnd w:id="47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1" w:name="_Toc19555"/>
            <w:r>
              <w:rPr>
                <w:rFonts w:hint="eastAsia" w:ascii="宋体" w:hAnsi="宋体" w:eastAsia="宋体" w:cs="宋体"/>
                <w:b w:val="0"/>
                <w:bCs/>
                <w:color w:val="auto"/>
                <w:sz w:val="21"/>
                <w:szCs w:val="21"/>
                <w:highlight w:val="none"/>
                <w:vertAlign w:val="baseline"/>
                <w:lang w:val="en-US" w:eastAsia="zh-CN"/>
              </w:rPr>
              <w:t>2.拍摄方式：采用多机位拍摄</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2机位及以上，教学课件作为单独一路信号输入采集</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；机位数量及位置根据现场环境、项目或技能授课要求合理设置。实现全面、多方位、多角度地拍摄教学过程。</w:t>
            </w:r>
            <w:bookmarkEnd w:id="471"/>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2" w:name="_Toc25855"/>
            <w:r>
              <w:rPr>
                <w:rFonts w:hint="eastAsia" w:ascii="宋体" w:hAnsi="宋体" w:eastAsia="宋体" w:cs="宋体"/>
                <w:b w:val="0"/>
                <w:bCs/>
                <w:color w:val="auto"/>
                <w:sz w:val="21"/>
                <w:szCs w:val="21"/>
                <w:highlight w:val="none"/>
                <w:vertAlign w:val="baseline"/>
                <w:lang w:val="en-US" w:eastAsia="zh-CN"/>
              </w:rPr>
              <w:t>3.录像设备：摄像机硬件设备要求不低于专业级数字设备，标清与高清不可在同一门课程中混用。</w:t>
            </w:r>
            <w:bookmarkEnd w:id="47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3" w:name="_Toc3904"/>
            <w:r>
              <w:rPr>
                <w:rFonts w:hint="eastAsia" w:ascii="宋体" w:hAnsi="宋体" w:eastAsia="宋体" w:cs="宋体"/>
                <w:b w:val="0"/>
                <w:bCs/>
                <w:color w:val="auto"/>
                <w:sz w:val="21"/>
                <w:szCs w:val="21"/>
                <w:highlight w:val="none"/>
                <w:vertAlign w:val="baseline"/>
                <w:lang w:val="en-US" w:eastAsia="zh-CN"/>
              </w:rPr>
              <w:t>4.收音设备：使用若干个胸麦采集音频，保证教师和学生发言的录音质量。</w:t>
            </w:r>
            <w:bookmarkEnd w:id="473"/>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4" w:name="_Toc26540"/>
            <w:r>
              <w:rPr>
                <w:rFonts w:hint="eastAsia" w:ascii="宋体" w:hAnsi="宋体" w:eastAsia="宋体" w:cs="宋体"/>
                <w:b w:val="0"/>
                <w:bCs/>
                <w:color w:val="auto"/>
                <w:sz w:val="21"/>
                <w:szCs w:val="21"/>
                <w:highlight w:val="none"/>
                <w:vertAlign w:val="baseline"/>
                <w:lang w:val="en-US" w:eastAsia="zh-CN"/>
              </w:rPr>
              <w:t>5.画面要求：视频类素材每帧图像颜色不低于256色或灰色级不低于128级；视频图像清晰，播放时没有明显的噪点，播放流畅；彩色视频素材每帧图像颜色均为真彩色</w:t>
            </w:r>
            <w:bookmarkEnd w:id="474"/>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5" w:name="_Toc32400"/>
            <w:r>
              <w:rPr>
                <w:rFonts w:hint="eastAsia" w:ascii="宋体" w:hAnsi="宋体" w:eastAsia="宋体" w:cs="宋体"/>
                <w:b w:val="0"/>
                <w:bCs/>
                <w:color w:val="auto"/>
                <w:sz w:val="21"/>
                <w:szCs w:val="21"/>
                <w:highlight w:val="none"/>
                <w:vertAlign w:val="baseline"/>
                <w:lang w:val="en-US" w:eastAsia="zh-CN"/>
              </w:rPr>
              <w:t>6.稳定性：全片图像同步性能稳定，无失步现象，CTL同步控制信号连续；图像无抖动跳跃，色彩无突变，编辑点处图像稳定。</w:t>
            </w:r>
            <w:bookmarkEnd w:id="475"/>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6" w:name="_Toc10334"/>
            <w:r>
              <w:rPr>
                <w:rFonts w:hint="eastAsia" w:ascii="宋体" w:hAnsi="宋体" w:eastAsia="宋体" w:cs="宋体"/>
                <w:b w:val="0"/>
                <w:bCs/>
                <w:color w:val="auto"/>
                <w:sz w:val="21"/>
                <w:szCs w:val="21"/>
                <w:highlight w:val="none"/>
                <w:vertAlign w:val="baseline"/>
                <w:lang w:val="en-US" w:eastAsia="zh-CN"/>
              </w:rPr>
              <w:t>7.信噪比：图像信噪比不低于55dB，无明显杂波。</w:t>
            </w:r>
            <w:bookmarkEnd w:id="476"/>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7" w:name="_Toc12979"/>
            <w:r>
              <w:rPr>
                <w:rFonts w:hint="eastAsia" w:ascii="宋体" w:hAnsi="宋体" w:eastAsia="宋体" w:cs="宋体"/>
                <w:b w:val="0"/>
                <w:bCs/>
                <w:color w:val="auto"/>
                <w:sz w:val="21"/>
                <w:szCs w:val="21"/>
                <w:highlight w:val="none"/>
                <w:vertAlign w:val="baseline"/>
                <w:lang w:val="en-US" w:eastAsia="zh-CN"/>
              </w:rPr>
              <w:t>8.色调：白平衡正确，无明显偏色，多机拍摄的镜头衔接处无明显色差。</w:t>
            </w:r>
            <w:bookmarkEnd w:id="47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8" w:name="_Toc17126"/>
            <w:r>
              <w:rPr>
                <w:rFonts w:hint="eastAsia" w:ascii="宋体" w:hAnsi="宋体" w:eastAsia="宋体" w:cs="宋体"/>
                <w:b w:val="0"/>
                <w:bCs/>
                <w:color w:val="auto"/>
                <w:sz w:val="21"/>
                <w:szCs w:val="21"/>
                <w:highlight w:val="none"/>
                <w:vertAlign w:val="baseline"/>
                <w:lang w:val="en-US" w:eastAsia="zh-CN"/>
              </w:rPr>
              <w:t>9.视频电平：视频全讯号幅度为1Ⅴp-p，最大不超过1.1Ⅴp-p。消隐电平为0V时，白电平幅度0.7Ⅴp-p，同步信号-0.3V，色同步信号幅度0.3Vp-p</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以消隐线上下对称</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，保持全片一致。</w:t>
            </w:r>
            <w:bookmarkEnd w:id="478"/>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79" w:name="_Toc29027"/>
            <w:r>
              <w:rPr>
                <w:rFonts w:hint="eastAsia" w:ascii="宋体" w:hAnsi="宋体" w:eastAsia="宋体" w:cs="宋体"/>
                <w:b w:val="0"/>
                <w:bCs/>
                <w:color w:val="auto"/>
                <w:sz w:val="21"/>
                <w:szCs w:val="21"/>
                <w:highlight w:val="none"/>
                <w:vertAlign w:val="baseline"/>
                <w:lang w:val="en-US" w:eastAsia="zh-CN"/>
              </w:rPr>
              <w:t>10.音频信号源：声道：中文内容记录于第1声道，音乐、音效、同期声记录于第2声道，其他文字解说记录于第3声道</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如录音设备无第3声道，则录于第2声道</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电平指标：-2db—-8db声音应无明显失真、放音过冲、过弱。音频信噪比不低于48db。声音和画面同步，无交流声或其他杂音等缺陷。伴音清晰、饱满、圆润，无失真、噪声杂音干扰、音量忽大忽小现象。解说声与现场声、背景音乐声无明显比例失调。必须是双声道，必须做混音处理。</w:t>
            </w:r>
            <w:bookmarkEnd w:id="479"/>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80" w:name="_Toc17051"/>
            <w:r>
              <w:rPr>
                <w:rFonts w:hint="eastAsia" w:ascii="宋体" w:hAnsi="宋体" w:eastAsia="宋体" w:cs="宋体"/>
                <w:b w:val="0"/>
                <w:bCs/>
                <w:color w:val="auto"/>
                <w:sz w:val="21"/>
                <w:szCs w:val="21"/>
                <w:highlight w:val="none"/>
                <w:vertAlign w:val="baseline"/>
                <w:lang w:val="en-US" w:eastAsia="zh-CN"/>
              </w:rPr>
              <w:t>11.视频成品压缩：采用常用流媒体格式</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.mp4/.mpg</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，视频码流率：动态码流的最高码率不高于2500Kbps，最低码率不得低于1024Kbps。视频帧率为25帧/秒；数字化音频制作使用双声道，音频的采样频率不低于44.1kHz，压缩采用ACC</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MPEG-4 Part3</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格式，码流率不低于128Kbps。</w:t>
            </w:r>
            <w:bookmarkEnd w:id="48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81" w:name="_Toc2839"/>
            <w:r>
              <w:rPr>
                <w:rFonts w:hint="eastAsia" w:ascii="宋体" w:hAnsi="宋体" w:eastAsia="宋体" w:cs="宋体"/>
                <w:b w:val="0"/>
                <w:bCs/>
                <w:color w:val="auto"/>
                <w:sz w:val="21"/>
                <w:szCs w:val="21"/>
                <w:highlight w:val="none"/>
                <w:vertAlign w:val="baseline"/>
                <w:lang w:val="en-US" w:eastAsia="zh-CN"/>
              </w:rPr>
              <w:t>12.片头片尾：体现学校版权标识、专业或课程信息、主讲教师等信息；为每门课程设计制作一个符合课程特色的片头，时长为6-10秒。</w:t>
            </w:r>
            <w:bookmarkEnd w:id="481"/>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82" w:name="_Toc18090"/>
            <w:r>
              <w:rPr>
                <w:rFonts w:hint="eastAsia" w:ascii="宋体" w:hAnsi="宋体" w:eastAsia="宋体" w:cs="宋体"/>
                <w:b w:val="0"/>
                <w:bCs/>
                <w:color w:val="auto"/>
                <w:sz w:val="21"/>
                <w:szCs w:val="21"/>
                <w:highlight w:val="none"/>
                <w:vertAlign w:val="baseline"/>
                <w:lang w:val="en-US" w:eastAsia="zh-CN"/>
              </w:rPr>
              <w:t>13.文件格式：扩展名*.MP4</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优选选用MP4格式</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w:t>
            </w:r>
            <w:bookmarkEnd w:id="48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83" w:name="_Toc14480"/>
            <w:r>
              <w:rPr>
                <w:rFonts w:hint="eastAsia" w:ascii="宋体" w:hAnsi="宋体" w:eastAsia="宋体" w:cs="宋体"/>
                <w:b w:val="0"/>
                <w:bCs/>
                <w:color w:val="auto"/>
                <w:sz w:val="21"/>
                <w:szCs w:val="21"/>
                <w:highlight w:val="none"/>
                <w:vertAlign w:val="baseline"/>
                <w:lang w:val="en-US" w:eastAsia="zh-CN"/>
              </w:rPr>
              <w:t>14.品质要求：</w:t>
            </w:r>
            <w:bookmarkStart w:id="484" w:name="_Hlk124598797"/>
            <w:r>
              <w:rPr>
                <w:rFonts w:hint="eastAsia" w:ascii="宋体" w:hAnsi="宋体" w:eastAsia="宋体" w:cs="宋体"/>
                <w:b w:val="0"/>
                <w:bCs/>
                <w:color w:val="auto"/>
                <w:sz w:val="21"/>
                <w:szCs w:val="21"/>
                <w:highlight w:val="none"/>
                <w:vertAlign w:val="baseline"/>
                <w:lang w:val="en-US" w:eastAsia="zh-CN"/>
              </w:rPr>
              <w:t>视频压缩采用H.264(MPEG-4 Part10：profile=main，level=3.0)编码方式，平均码率不小于2Mbps，帧率不低于25fbs，分辨率不低于1280*720；视频后期成果渲染尺寸为1920*1080或1280*720。</w:t>
            </w:r>
            <w:bookmarkEnd w:id="483"/>
            <w:bookmarkEnd w:id="484"/>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85" w:name="_Toc2540"/>
            <w:r>
              <w:rPr>
                <w:rFonts w:hint="eastAsia" w:ascii="宋体" w:hAnsi="宋体" w:eastAsia="宋体" w:cs="宋体"/>
                <w:b w:val="0"/>
                <w:bCs/>
                <w:color w:val="auto"/>
                <w:sz w:val="21"/>
                <w:szCs w:val="21"/>
                <w:highlight w:val="none"/>
                <w:vertAlign w:val="baseline"/>
                <w:lang w:val="en-US" w:eastAsia="zh-CN"/>
              </w:rPr>
              <w:t>15.文件命名：文件命名必须规范有意义，不能随意命名。</w:t>
            </w:r>
            <w:bookmarkEnd w:id="485"/>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86" w:name="_Toc8671"/>
            <w:r>
              <w:rPr>
                <w:rFonts w:hint="eastAsia" w:ascii="宋体" w:hAnsi="宋体" w:eastAsia="宋体" w:cs="宋体"/>
                <w:b w:val="0"/>
                <w:bCs/>
                <w:color w:val="auto"/>
                <w:sz w:val="21"/>
                <w:szCs w:val="21"/>
                <w:highlight w:val="none"/>
                <w:vertAlign w:val="baseline"/>
                <w:lang w:val="en-US" w:eastAsia="zh-CN"/>
              </w:rPr>
              <w:t>16.外挂字幕文件：采用独立的SRT格式的字幕文件；每屏只有一行字幕；画幅比为4:3的，每行不超过15个字；画幅比为16:9的，每行不超过20个字；唱词中可使用书名号、书名中的标点、间隔号、连接号等，使用空格代替标点表示语气停顿，所有标点及空格均需使用全角模式。字幕断句不简单按照字数断句，以内容为断句依据；字幕中的数学公式、化学分子式、物理量和单位，尽量以文本文字呈现；使用符合国家标准的规范字，不出现繁体字、异体字</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国家规定的除外</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、错别字；字幕的字体、大小、色彩搭配、摆放位置、停留时间、出入屏方式力求与其他要素</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画面、解说词、音乐</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配合适当，不能破坏原有画面。</w:t>
            </w:r>
            <w:bookmarkEnd w:id="4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87" w:name="_Toc29288"/>
            <w:r>
              <w:rPr>
                <w:rFonts w:hint="eastAsia" w:ascii="宋体" w:hAnsi="宋体" w:eastAsia="宋体" w:cs="宋体"/>
                <w:b w:val="0"/>
                <w:bCs/>
                <w:color w:val="auto"/>
                <w:sz w:val="21"/>
                <w:szCs w:val="21"/>
                <w:highlight w:val="none"/>
                <w:vertAlign w:val="baseline"/>
                <w:lang w:val="en-US" w:eastAsia="zh-CN"/>
              </w:rPr>
              <w:t>6</w:t>
            </w:r>
            <w:bookmarkEnd w:id="487"/>
          </w:p>
        </w:tc>
        <w:tc>
          <w:tcPr>
            <w:tcW w:w="157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488" w:name="_Toc16978"/>
            <w:r>
              <w:rPr>
                <w:rFonts w:hint="eastAsia" w:ascii="宋体" w:hAnsi="宋体" w:eastAsia="宋体" w:cs="宋体"/>
                <w:b w:val="0"/>
                <w:bCs/>
                <w:color w:val="auto"/>
                <w:sz w:val="21"/>
                <w:szCs w:val="21"/>
                <w:highlight w:val="none"/>
                <w:vertAlign w:val="baseline"/>
                <w:lang w:val="en-US" w:eastAsia="zh-CN"/>
              </w:rPr>
              <w:t>★专业教学资源库拍摄工具</w:t>
            </w:r>
            <w:bookmarkEnd w:id="488"/>
          </w:p>
        </w:tc>
        <w:tc>
          <w:tcPr>
            <w:tcW w:w="7672" w:type="dxa"/>
            <w:vAlign w:val="top"/>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89" w:name="_Toc11760"/>
            <w:r>
              <w:rPr>
                <w:rFonts w:hint="eastAsia" w:ascii="宋体" w:hAnsi="宋体" w:eastAsia="宋体" w:cs="宋体"/>
                <w:b w:val="0"/>
                <w:bCs/>
                <w:color w:val="auto"/>
                <w:sz w:val="21"/>
                <w:szCs w:val="21"/>
                <w:highlight w:val="none"/>
                <w:vertAlign w:val="baseline"/>
                <w:lang w:val="en-US" w:eastAsia="zh-CN"/>
              </w:rPr>
              <w:t>1.高清摄像头：设备自带高清500万高清CMOS摄像头。</w:t>
            </w:r>
            <w:bookmarkEnd w:id="489"/>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0" w:name="_Toc14648"/>
            <w:r>
              <w:rPr>
                <w:rFonts w:hint="eastAsia" w:ascii="宋体" w:hAnsi="宋体" w:eastAsia="宋体" w:cs="宋体"/>
                <w:b w:val="0"/>
                <w:bCs/>
                <w:color w:val="auto"/>
                <w:sz w:val="21"/>
                <w:szCs w:val="21"/>
                <w:highlight w:val="none"/>
                <w:vertAlign w:val="baseline"/>
                <w:lang w:val="en-US" w:eastAsia="zh-CN"/>
              </w:rPr>
              <w:t>2.软件语言设置：操作软件界面支持英语、法语、德语、日语、俄语等语言修改。</w:t>
            </w:r>
            <w:bookmarkEnd w:id="49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1" w:name="_Toc19563"/>
            <w:r>
              <w:rPr>
                <w:rFonts w:hint="eastAsia" w:ascii="宋体" w:hAnsi="宋体" w:eastAsia="宋体" w:cs="宋体"/>
                <w:b w:val="0"/>
                <w:bCs/>
                <w:color w:val="auto"/>
                <w:sz w:val="21"/>
                <w:szCs w:val="21"/>
                <w:highlight w:val="none"/>
                <w:vertAlign w:val="baseline"/>
                <w:lang w:val="en-US" w:eastAsia="zh-CN"/>
              </w:rPr>
              <w:t>3.证件识别：支持身份证、护照、港澳通行证、增值税专用发票、增值税普通发票、火车票。</w:t>
            </w:r>
            <w:bookmarkEnd w:id="491"/>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2" w:name="_Toc21853"/>
            <w:r>
              <w:rPr>
                <w:rFonts w:hint="eastAsia" w:ascii="宋体" w:hAnsi="宋体" w:eastAsia="宋体" w:cs="宋体"/>
                <w:b w:val="0"/>
                <w:bCs/>
                <w:color w:val="auto"/>
                <w:sz w:val="21"/>
                <w:szCs w:val="21"/>
                <w:highlight w:val="none"/>
                <w:vertAlign w:val="baseline"/>
                <w:lang w:val="en-US" w:eastAsia="zh-CN"/>
              </w:rPr>
              <w:t>4.多功能拍摄按键：设备可选配外置一键拍摄按键，以及脚踏按键，方便做双手按压书刊，做书刊拍摄时，通过脚踏或者指按的方式进行一键拍摄。</w:t>
            </w:r>
            <w:bookmarkEnd w:id="49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3" w:name="_Toc3546"/>
            <w:r>
              <w:rPr>
                <w:rFonts w:hint="eastAsia" w:ascii="宋体" w:hAnsi="宋体" w:eastAsia="宋体" w:cs="宋体"/>
                <w:b w:val="0"/>
                <w:bCs/>
                <w:color w:val="auto"/>
                <w:sz w:val="21"/>
                <w:szCs w:val="21"/>
                <w:highlight w:val="none"/>
                <w:vertAlign w:val="baseline"/>
                <w:lang w:val="en-US" w:eastAsia="zh-CN"/>
              </w:rPr>
              <w:t>5.视频水印：录制视频并且在视频中添加水印，可设置水印内容、尺寸、位置、颜色、字体、斜体、加粗、下划线、透明度、角度。</w:t>
            </w:r>
            <w:bookmarkEnd w:id="493"/>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4" w:name="_Toc22941"/>
            <w:r>
              <w:rPr>
                <w:rFonts w:hint="eastAsia" w:ascii="宋体" w:hAnsi="宋体" w:eastAsia="宋体" w:cs="宋体"/>
                <w:b w:val="0"/>
                <w:bCs/>
                <w:color w:val="auto"/>
                <w:sz w:val="21"/>
                <w:szCs w:val="21"/>
                <w:highlight w:val="none"/>
                <w:vertAlign w:val="baseline"/>
                <w:lang w:val="en-US" w:eastAsia="zh-CN"/>
              </w:rPr>
              <w:t>6.支持系统：支持Windows,Mac、麒麟、UOS、中科方德等系统的图像采集和处理软件。</w:t>
            </w:r>
            <w:bookmarkEnd w:id="494"/>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5" w:name="_Toc2326"/>
            <w:r>
              <w:rPr>
                <w:rFonts w:hint="eastAsia" w:ascii="宋体" w:hAnsi="宋体" w:eastAsia="宋体" w:cs="宋体"/>
                <w:b w:val="0"/>
                <w:bCs/>
                <w:color w:val="auto"/>
                <w:sz w:val="21"/>
                <w:szCs w:val="21"/>
                <w:highlight w:val="none"/>
                <w:vertAlign w:val="baseline"/>
                <w:lang w:val="en-US" w:eastAsia="zh-CN"/>
              </w:rPr>
              <w:t>7.文字方向矫正：自动识别拍摄的文档做自动文字方向矫正。</w:t>
            </w:r>
            <w:bookmarkEnd w:id="495"/>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6" w:name="_Toc11027"/>
            <w:r>
              <w:rPr>
                <w:rFonts w:hint="eastAsia" w:ascii="宋体" w:hAnsi="宋体" w:eastAsia="宋体" w:cs="宋体"/>
                <w:b w:val="0"/>
                <w:bCs/>
                <w:color w:val="auto"/>
                <w:sz w:val="21"/>
                <w:szCs w:val="21"/>
                <w:highlight w:val="none"/>
                <w:vertAlign w:val="baseline"/>
                <w:lang w:val="en-US" w:eastAsia="zh-CN"/>
              </w:rPr>
              <w:t>8.AI拍照：智能识别拍摄文档是否为黑白、红印、书籍等功能，并且做相应的图像处理</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去底色、红印加深、书刊展平等</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并能友好的提示是否拍摄介质为重复拍摄。</w:t>
            </w:r>
            <w:bookmarkEnd w:id="496"/>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7" w:name="_Toc14801"/>
            <w:r>
              <w:rPr>
                <w:rFonts w:hint="eastAsia" w:ascii="宋体" w:hAnsi="宋体" w:eastAsia="宋体" w:cs="宋体"/>
                <w:b w:val="0"/>
                <w:bCs/>
                <w:color w:val="auto"/>
                <w:sz w:val="21"/>
                <w:szCs w:val="21"/>
                <w:highlight w:val="none"/>
                <w:vertAlign w:val="baseline"/>
                <w:lang w:val="en-US" w:eastAsia="zh-CN"/>
              </w:rPr>
              <w:t>9.框选翻译：智能框选视频区域内文档的内容，做识别翻译，支持语音翻译朗读功能。</w:t>
            </w:r>
            <w:bookmarkEnd w:id="49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8" w:name="_Toc23973"/>
            <w:r>
              <w:rPr>
                <w:rFonts w:hint="eastAsia" w:ascii="宋体" w:hAnsi="宋体" w:eastAsia="宋体" w:cs="宋体"/>
                <w:b w:val="0"/>
                <w:bCs/>
                <w:color w:val="auto"/>
                <w:sz w:val="21"/>
                <w:szCs w:val="21"/>
                <w:highlight w:val="none"/>
                <w:vertAlign w:val="baseline"/>
                <w:lang w:val="en-US" w:eastAsia="zh-CN"/>
              </w:rPr>
              <w:t>10.TTS功能：智能识别文档中的文字信息，支持将文档转换为语音，生成MP3等语音文件格式。且语音源OCR文件可以编写、修改。</w:t>
            </w:r>
            <w:bookmarkEnd w:id="498"/>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499" w:name="_Toc14189"/>
            <w:r>
              <w:rPr>
                <w:rFonts w:hint="eastAsia" w:ascii="宋体" w:hAnsi="宋体" w:eastAsia="宋体" w:cs="宋体"/>
                <w:b w:val="0"/>
                <w:bCs/>
                <w:color w:val="auto"/>
                <w:sz w:val="21"/>
                <w:szCs w:val="21"/>
                <w:highlight w:val="none"/>
                <w:vertAlign w:val="baseline"/>
                <w:lang w:val="en-US" w:eastAsia="zh-CN"/>
              </w:rPr>
              <w:t>11.可检索PDF：可一键生成可检索PDF文档。</w:t>
            </w:r>
            <w:bookmarkEnd w:id="499"/>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0" w:name="_Toc31226"/>
            <w:r>
              <w:rPr>
                <w:rFonts w:hint="eastAsia" w:ascii="宋体" w:hAnsi="宋体" w:eastAsia="宋体" w:cs="宋体"/>
                <w:b w:val="0"/>
                <w:bCs/>
                <w:color w:val="auto"/>
                <w:sz w:val="21"/>
                <w:szCs w:val="21"/>
                <w:highlight w:val="none"/>
                <w:vertAlign w:val="baseline"/>
                <w:lang w:val="en-US" w:eastAsia="zh-CN"/>
              </w:rPr>
              <w:t>12.智能裁切：可在视频中通过绿框自动框选需要拍摄的文档，并且拍摄的时候自动去掉黑边，只采集框选文档。</w:t>
            </w:r>
            <w:bookmarkEnd w:id="50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1" w:name="_Toc9111"/>
            <w:r>
              <w:rPr>
                <w:rFonts w:hint="eastAsia" w:ascii="宋体" w:hAnsi="宋体" w:eastAsia="宋体" w:cs="宋体"/>
                <w:b w:val="0"/>
                <w:bCs/>
                <w:color w:val="auto"/>
                <w:sz w:val="21"/>
                <w:szCs w:val="21"/>
                <w:highlight w:val="none"/>
                <w:vertAlign w:val="baseline"/>
                <w:lang w:val="en-US" w:eastAsia="zh-CN"/>
              </w:rPr>
              <w:t>13.视频框选：可同时框选视频中多张文档，并且拍摄的时候一次性生成多张图片。</w:t>
            </w:r>
            <w:bookmarkEnd w:id="501"/>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2" w:name="_Toc28704"/>
            <w:r>
              <w:rPr>
                <w:rFonts w:hint="eastAsia" w:ascii="宋体" w:hAnsi="宋体" w:eastAsia="宋体" w:cs="宋体"/>
                <w:b w:val="0"/>
                <w:bCs/>
                <w:color w:val="auto"/>
                <w:sz w:val="21"/>
                <w:szCs w:val="21"/>
                <w:highlight w:val="none"/>
                <w:vertAlign w:val="baseline"/>
                <w:lang w:val="en-US" w:eastAsia="zh-CN"/>
              </w:rPr>
              <w:t>14.手动裁切：支持自定义矩形、梯形裁切。</w:t>
            </w:r>
            <w:bookmarkEnd w:id="50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3" w:name="_Toc5847"/>
            <w:r>
              <w:rPr>
                <w:rFonts w:hint="eastAsia" w:ascii="宋体" w:hAnsi="宋体" w:eastAsia="宋体" w:cs="宋体"/>
                <w:b w:val="0"/>
                <w:bCs/>
                <w:color w:val="auto"/>
                <w:sz w:val="21"/>
                <w:szCs w:val="21"/>
                <w:highlight w:val="none"/>
                <w:vertAlign w:val="baseline"/>
                <w:lang w:val="en-US" w:eastAsia="zh-CN"/>
              </w:rPr>
              <w:t>15.通用OCR：可一键生成Word、Excel、Txt、EPUB</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电子书</w:t>
            </w:r>
            <w:r>
              <w:rPr>
                <w:rFonts w:hint="eastAsia" w:cs="宋体"/>
                <w:b w:val="0"/>
                <w:bCs/>
                <w:color w:val="auto"/>
                <w:sz w:val="21"/>
                <w:szCs w:val="21"/>
                <w:highlight w:val="none"/>
                <w:vertAlign w:val="baseline"/>
                <w:lang w:val="en-US" w:eastAsia="zh-CN"/>
              </w:rPr>
              <w:t>)</w:t>
            </w:r>
            <w:r>
              <w:rPr>
                <w:rFonts w:hint="eastAsia" w:ascii="宋体" w:hAnsi="宋体" w:eastAsia="宋体" w:cs="宋体"/>
                <w:b w:val="0"/>
                <w:bCs/>
                <w:color w:val="auto"/>
                <w:sz w:val="21"/>
                <w:szCs w:val="21"/>
                <w:highlight w:val="none"/>
                <w:vertAlign w:val="baseline"/>
                <w:lang w:val="en-US" w:eastAsia="zh-CN"/>
              </w:rPr>
              <w:t>等文件格式，并完美保留版面。</w:t>
            </w:r>
            <w:bookmarkEnd w:id="503"/>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4" w:name="_Toc1134"/>
            <w:r>
              <w:rPr>
                <w:rFonts w:hint="eastAsia" w:ascii="宋体" w:hAnsi="宋体" w:eastAsia="宋体" w:cs="宋体"/>
                <w:b w:val="0"/>
                <w:bCs/>
                <w:color w:val="auto"/>
                <w:sz w:val="21"/>
                <w:szCs w:val="21"/>
                <w:highlight w:val="none"/>
                <w:vertAlign w:val="baseline"/>
                <w:lang w:val="en-US" w:eastAsia="zh-CN"/>
              </w:rPr>
              <w:t>16.红印文档拍摄：拍摄的文档，底色变白，文字变黑，红章更红，打印效果与原图一致。</w:t>
            </w:r>
            <w:bookmarkEnd w:id="504"/>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5" w:name="_Toc17001"/>
            <w:r>
              <w:rPr>
                <w:rFonts w:hint="eastAsia" w:ascii="宋体" w:hAnsi="宋体" w:eastAsia="宋体" w:cs="宋体"/>
                <w:b w:val="0"/>
                <w:bCs/>
                <w:color w:val="auto"/>
                <w:sz w:val="21"/>
                <w:szCs w:val="21"/>
                <w:highlight w:val="none"/>
                <w:vertAlign w:val="baseline"/>
                <w:lang w:val="en-US" w:eastAsia="zh-CN"/>
              </w:rPr>
              <w:t>17.文档缺角修复: 可根据图片颜色填补文档中残缺部分或者黑边。</w:t>
            </w:r>
            <w:bookmarkEnd w:id="505"/>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6" w:name="_Toc12387"/>
            <w:r>
              <w:rPr>
                <w:rFonts w:hint="eastAsia" w:ascii="宋体" w:hAnsi="宋体" w:eastAsia="宋体" w:cs="宋体"/>
                <w:b w:val="0"/>
                <w:bCs/>
                <w:color w:val="auto"/>
                <w:sz w:val="21"/>
                <w:szCs w:val="21"/>
                <w:highlight w:val="none"/>
                <w:vertAlign w:val="baseline"/>
                <w:lang w:val="en-US" w:eastAsia="zh-CN"/>
              </w:rPr>
              <w:t>18.彩色优化：拍摄文档颜色更艳丽，更明亮。</w:t>
            </w:r>
            <w:bookmarkEnd w:id="506"/>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7" w:name="_Toc31265"/>
            <w:r>
              <w:rPr>
                <w:rFonts w:hint="eastAsia" w:ascii="宋体" w:hAnsi="宋体" w:eastAsia="宋体" w:cs="宋体"/>
                <w:b w:val="0"/>
                <w:bCs/>
                <w:color w:val="auto"/>
                <w:sz w:val="21"/>
                <w:szCs w:val="21"/>
                <w:highlight w:val="none"/>
                <w:vertAlign w:val="baseline"/>
                <w:lang w:val="en-US" w:eastAsia="zh-CN"/>
              </w:rPr>
              <w:t>19.自动感知连拍：自动判断视频变化进行拍摄，当视频有变化才拍摄，免去定时连拍过快或者过慢的问题。</w:t>
            </w:r>
            <w:bookmarkEnd w:id="50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8" w:name="_Toc32659"/>
            <w:r>
              <w:rPr>
                <w:rFonts w:hint="eastAsia" w:ascii="宋体" w:hAnsi="宋体" w:eastAsia="宋体" w:cs="宋体"/>
                <w:b w:val="0"/>
                <w:bCs/>
                <w:color w:val="auto"/>
                <w:sz w:val="21"/>
                <w:szCs w:val="21"/>
                <w:highlight w:val="none"/>
                <w:vertAlign w:val="baseline"/>
                <w:lang w:val="en-US" w:eastAsia="zh-CN"/>
              </w:rPr>
              <w:t>20.图像合并：可以主副头图像合并，正反面合并，多页图像合并。</w:t>
            </w:r>
            <w:bookmarkEnd w:id="508"/>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09" w:name="_Toc11815"/>
            <w:r>
              <w:rPr>
                <w:rFonts w:hint="eastAsia" w:ascii="宋体" w:hAnsi="宋体" w:eastAsia="宋体" w:cs="宋体"/>
                <w:b w:val="0"/>
                <w:bCs/>
                <w:color w:val="auto"/>
                <w:sz w:val="21"/>
                <w:szCs w:val="21"/>
                <w:highlight w:val="none"/>
                <w:vertAlign w:val="baseline"/>
                <w:lang w:val="en-US" w:eastAsia="zh-CN"/>
              </w:rPr>
              <w:t>21.条码识别：支持一维码、二维码的识别。票、机动车销售统一发票、恒大电子汇票、增值税电子发票、人民币冠字号的识别。且可支持物体、动物识别。</w:t>
            </w:r>
            <w:bookmarkEnd w:id="5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510" w:name="_Toc28896"/>
            <w:r>
              <w:rPr>
                <w:rFonts w:hint="eastAsia" w:ascii="宋体" w:hAnsi="宋体" w:eastAsia="宋体" w:cs="宋体"/>
                <w:b w:val="0"/>
                <w:bCs/>
                <w:color w:val="auto"/>
                <w:sz w:val="21"/>
                <w:szCs w:val="21"/>
                <w:highlight w:val="none"/>
                <w:vertAlign w:val="baseline"/>
                <w:lang w:val="en-US" w:eastAsia="zh-CN"/>
              </w:rPr>
              <w:t>7</w:t>
            </w:r>
            <w:bookmarkEnd w:id="510"/>
          </w:p>
        </w:tc>
        <w:tc>
          <w:tcPr>
            <w:tcW w:w="1575" w:type="dxa"/>
            <w:vAlign w:val="center"/>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jc w:val="center"/>
              <w:textAlignment w:val="auto"/>
              <w:outlineLvl w:val="9"/>
              <w:rPr>
                <w:rFonts w:hint="eastAsia" w:ascii="宋体" w:hAnsi="宋体" w:eastAsia="宋体" w:cs="宋体"/>
                <w:b w:val="0"/>
                <w:bCs/>
                <w:color w:val="auto"/>
                <w:sz w:val="21"/>
                <w:szCs w:val="21"/>
                <w:highlight w:val="none"/>
                <w:vertAlign w:val="baseline"/>
                <w:lang w:val="en-US" w:eastAsia="zh-CN"/>
              </w:rPr>
            </w:pPr>
            <w:bookmarkStart w:id="511" w:name="_Toc23495"/>
            <w:r>
              <w:rPr>
                <w:rFonts w:hint="eastAsia" w:ascii="宋体" w:hAnsi="宋体" w:eastAsia="宋体" w:cs="宋体"/>
                <w:b w:val="0"/>
                <w:bCs/>
                <w:color w:val="auto"/>
                <w:sz w:val="21"/>
                <w:szCs w:val="21"/>
                <w:highlight w:val="none"/>
                <w:vertAlign w:val="baseline"/>
                <w:lang w:val="en-US" w:eastAsia="zh-CN"/>
              </w:rPr>
              <w:t>资源库项目管理平台</w:t>
            </w:r>
            <w:bookmarkEnd w:id="511"/>
          </w:p>
        </w:tc>
        <w:tc>
          <w:tcPr>
            <w:tcW w:w="7672" w:type="dxa"/>
            <w:vAlign w:val="top"/>
          </w:tcPr>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12" w:name="_Toc26254"/>
            <w:r>
              <w:rPr>
                <w:rFonts w:hint="eastAsia" w:ascii="宋体" w:hAnsi="宋体" w:eastAsia="宋体" w:cs="宋体"/>
                <w:b w:val="0"/>
                <w:bCs/>
                <w:color w:val="auto"/>
                <w:sz w:val="21"/>
                <w:szCs w:val="21"/>
                <w:highlight w:val="none"/>
                <w:vertAlign w:val="baseline"/>
                <w:lang w:val="en-US" w:eastAsia="zh-CN"/>
              </w:rPr>
              <w:t>1.★资源库项目管理平台：平台需具备资源管理、项目进度监控、平台管理功能，服务于课程资源开发管理及资源成果使用。学校可以随时查看、更新、审核课程资源建设进度，集中存储和在线使用课程资源素材、资源成果。</w:t>
            </w:r>
            <w:bookmarkEnd w:id="51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13" w:name="_Toc30133"/>
            <w:r>
              <w:rPr>
                <w:rFonts w:hint="eastAsia" w:ascii="宋体" w:hAnsi="宋体" w:eastAsia="宋体" w:cs="宋体"/>
                <w:b w:val="0"/>
                <w:bCs/>
                <w:color w:val="auto"/>
                <w:sz w:val="21"/>
                <w:szCs w:val="21"/>
                <w:highlight w:val="none"/>
                <w:vertAlign w:val="baseline"/>
                <w:lang w:val="en-US" w:eastAsia="zh-CN"/>
              </w:rPr>
              <w:t>2.★登录安全措施：需使用帐号和密码认证登录；具有拦截非法访问功能；使用MD5加密方式对密码进行加密；采用验证码进行校验以防止服务器攻击，平台管理员可以管理组织机构下的用户，对用户信息进行维护。</w:t>
            </w:r>
            <w:bookmarkEnd w:id="513"/>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14" w:name="_Toc17402"/>
            <w:r>
              <w:rPr>
                <w:rFonts w:hint="eastAsia" w:ascii="宋体" w:hAnsi="宋体" w:eastAsia="宋体" w:cs="宋体"/>
                <w:b w:val="0"/>
                <w:bCs/>
                <w:color w:val="auto"/>
                <w:sz w:val="21"/>
                <w:szCs w:val="21"/>
                <w:highlight w:val="none"/>
                <w:vertAlign w:val="baseline"/>
                <w:lang w:val="en-US" w:eastAsia="zh-CN"/>
              </w:rPr>
              <w:t>3.★平台架构：平台基于B/S模式架构，页面使用vue3.0，组件使用elementui，后台使用springboot，数据库使用mysql开发，不需要另行安装插件就可以支持IE9及以上版本、FireFox、Chrome、360等浏览器，浏览器兼容性好。</w:t>
            </w:r>
            <w:bookmarkEnd w:id="514"/>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15" w:name="_Toc1903"/>
            <w:r>
              <w:rPr>
                <w:rFonts w:hint="eastAsia" w:ascii="宋体" w:hAnsi="宋体" w:eastAsia="宋体" w:cs="宋体"/>
                <w:b w:val="0"/>
                <w:bCs/>
                <w:color w:val="auto"/>
                <w:sz w:val="21"/>
                <w:szCs w:val="21"/>
                <w:highlight w:val="none"/>
                <w:vertAlign w:val="baseline"/>
                <w:lang w:val="en-US" w:eastAsia="zh-CN"/>
              </w:rPr>
              <w:t>4.▲平台界面简洁美观，结构合理，访问快速便捷。上传的课程资源的类型至少支持：文档、图片、音频、视频，至少支持的类型：png、jpg、ppt、doc、docx、txt、mp3、mp4等。上传的文件为word文件时，平台可进行自动转换为pdf文件，在网站上能够在线预览。上传的图片、视频、音频、pdf等文件支持在线预览。</w:t>
            </w:r>
            <w:bookmarkEnd w:id="515"/>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16" w:name="_Toc3573"/>
            <w:r>
              <w:rPr>
                <w:rFonts w:hint="eastAsia" w:ascii="宋体" w:hAnsi="宋体" w:eastAsia="宋体" w:cs="宋体"/>
                <w:b w:val="0"/>
                <w:bCs/>
                <w:color w:val="auto"/>
                <w:sz w:val="21"/>
                <w:szCs w:val="21"/>
                <w:highlight w:val="none"/>
                <w:vertAlign w:val="baseline"/>
                <w:lang w:val="en-US" w:eastAsia="zh-CN"/>
              </w:rPr>
              <w:t>5.▲资源管理目录为树型结构，支持多层级节点管理，可根据实际课程结构新增、删除课程资源目录结构，支持对目录结构进行排序。</w:t>
            </w:r>
            <w:bookmarkEnd w:id="516"/>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17" w:name="_Toc13473"/>
            <w:r>
              <w:rPr>
                <w:rFonts w:hint="eastAsia" w:ascii="宋体" w:hAnsi="宋体" w:eastAsia="宋体" w:cs="宋体"/>
                <w:b w:val="0"/>
                <w:bCs/>
                <w:color w:val="auto"/>
                <w:sz w:val="21"/>
                <w:szCs w:val="21"/>
                <w:highlight w:val="none"/>
                <w:vertAlign w:val="baseline"/>
                <w:lang w:val="en-US" w:eastAsia="zh-CN"/>
              </w:rPr>
              <w:t>6.★资源检索：支持资源检索功能，可根据资源所在目录、资源名称、上传人和资源标签进行搜索，并对搜索结果中的资源进行预览和下载。</w:t>
            </w:r>
            <w:bookmarkEnd w:id="517"/>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18" w:name="_Toc19223"/>
            <w:r>
              <w:rPr>
                <w:rFonts w:hint="eastAsia" w:ascii="宋体" w:hAnsi="宋体" w:eastAsia="宋体" w:cs="宋体"/>
                <w:b w:val="0"/>
                <w:bCs/>
                <w:color w:val="auto"/>
                <w:sz w:val="21"/>
                <w:szCs w:val="21"/>
                <w:highlight w:val="none"/>
                <w:vertAlign w:val="baseline"/>
                <w:lang w:val="en-US" w:eastAsia="zh-CN"/>
              </w:rPr>
              <w:t>7.★资源上传管理：支持多种格式的资源批量上传功能，单次可上传500个文件，支持对上传成果进行在线预览、下载和文件管理。</w:t>
            </w:r>
            <w:bookmarkEnd w:id="518"/>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19" w:name="_Toc31927"/>
            <w:r>
              <w:rPr>
                <w:rFonts w:hint="eastAsia" w:ascii="宋体" w:hAnsi="宋体" w:eastAsia="宋体" w:cs="宋体"/>
                <w:b w:val="0"/>
                <w:bCs/>
                <w:color w:val="auto"/>
                <w:sz w:val="21"/>
                <w:szCs w:val="21"/>
                <w:highlight w:val="none"/>
                <w:vertAlign w:val="baseline"/>
                <w:lang w:val="en-US" w:eastAsia="zh-CN"/>
              </w:rPr>
              <w:t>8.★资源统计：支持对已上传的资源进行统计，可分目录查看上传用户、上传时间、预览数、下载数、当前目录的资源总容量和总数量，并可对列表中的资源进行预览和下载。</w:t>
            </w:r>
            <w:bookmarkEnd w:id="519"/>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20" w:name="_Toc2947"/>
            <w:r>
              <w:rPr>
                <w:rFonts w:hint="eastAsia" w:ascii="宋体" w:hAnsi="宋体" w:eastAsia="宋体" w:cs="宋体"/>
                <w:b w:val="0"/>
                <w:bCs/>
                <w:color w:val="auto"/>
                <w:sz w:val="21"/>
                <w:szCs w:val="21"/>
                <w:highlight w:val="none"/>
                <w:vertAlign w:val="baseline"/>
                <w:lang w:val="en-US" w:eastAsia="zh-CN"/>
              </w:rPr>
              <w:t>9.▲支持项目管理：可新增项目，自定义项目名称、项目编码，设置项目周期、项目时间节点和责任人；</w:t>
            </w:r>
            <w:bookmarkEnd w:id="520"/>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21" w:name="_Toc11270"/>
            <w:r>
              <w:rPr>
                <w:rFonts w:hint="eastAsia" w:ascii="宋体" w:hAnsi="宋体" w:eastAsia="宋体" w:cs="宋体"/>
                <w:b w:val="0"/>
                <w:bCs/>
                <w:color w:val="auto"/>
                <w:sz w:val="21"/>
                <w:szCs w:val="21"/>
                <w:highlight w:val="none"/>
                <w:vertAlign w:val="baseline"/>
                <w:lang w:val="en-US" w:eastAsia="zh-CN"/>
              </w:rPr>
              <w:t>10.▲项目管理：可通过时间线查看项目进度；</w:t>
            </w:r>
            <w:bookmarkEnd w:id="521"/>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22" w:name="_Toc31734"/>
            <w:r>
              <w:rPr>
                <w:rFonts w:hint="eastAsia" w:ascii="宋体" w:hAnsi="宋体" w:eastAsia="宋体" w:cs="宋体"/>
                <w:b w:val="0"/>
                <w:bCs/>
                <w:color w:val="auto"/>
                <w:sz w:val="21"/>
                <w:szCs w:val="21"/>
                <w:highlight w:val="none"/>
                <w:vertAlign w:val="baseline"/>
                <w:lang w:val="en-US" w:eastAsia="zh-CN"/>
              </w:rPr>
              <w:t>11.▲项目管理：可修改项目名称、项目编码、责任人，管理项目节点和当前进度。</w:t>
            </w:r>
            <w:bookmarkEnd w:id="522"/>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23" w:name="_Toc28464"/>
            <w:r>
              <w:rPr>
                <w:rFonts w:hint="eastAsia" w:ascii="宋体" w:hAnsi="宋体" w:eastAsia="宋体" w:cs="宋体"/>
                <w:b w:val="0"/>
                <w:bCs/>
                <w:color w:val="auto"/>
                <w:sz w:val="21"/>
                <w:szCs w:val="21"/>
                <w:highlight w:val="none"/>
                <w:vertAlign w:val="baseline"/>
                <w:lang w:val="en-US" w:eastAsia="zh-CN"/>
              </w:rPr>
              <w:t>12.▲支持项目查看功能，可查看项目名称、项目编码、项目责任人、通过时间线查看项目进度。</w:t>
            </w:r>
            <w:bookmarkEnd w:id="523"/>
          </w:p>
          <w:p>
            <w:pPr>
              <w:pStyle w:val="35"/>
              <w:keepNext w:val="0"/>
              <w:keepLines w:val="0"/>
              <w:pageBreakBefore w:val="0"/>
              <w:widowControl w:val="0"/>
              <w:numPr>
                <w:ilvl w:val="1"/>
                <w:numId w:val="0"/>
              </w:numPr>
              <w:kinsoku/>
              <w:overflowPunct/>
              <w:autoSpaceDE/>
              <w:autoSpaceDN/>
              <w:bidi w:val="0"/>
              <w:adjustRightInd w:val="0"/>
              <w:snapToGrid w:val="0"/>
              <w:spacing w:line="360" w:lineRule="exact"/>
              <w:ind w:firstLine="0" w:firstLineChars="0"/>
              <w:textAlignment w:val="auto"/>
              <w:outlineLvl w:val="9"/>
              <w:rPr>
                <w:rFonts w:hint="eastAsia" w:ascii="宋体" w:hAnsi="宋体" w:eastAsia="宋体" w:cs="宋体"/>
                <w:b w:val="0"/>
                <w:bCs/>
                <w:color w:val="auto"/>
                <w:sz w:val="21"/>
                <w:szCs w:val="21"/>
                <w:highlight w:val="none"/>
                <w:vertAlign w:val="baseline"/>
                <w:lang w:val="en-US" w:eastAsia="zh-CN"/>
              </w:rPr>
            </w:pPr>
            <w:bookmarkStart w:id="524" w:name="_Toc17937"/>
            <w:r>
              <w:rPr>
                <w:rFonts w:hint="eastAsia" w:ascii="宋体" w:hAnsi="宋体" w:eastAsia="宋体" w:cs="宋体"/>
                <w:b w:val="0"/>
                <w:bCs/>
                <w:color w:val="auto"/>
                <w:sz w:val="21"/>
                <w:szCs w:val="21"/>
                <w:highlight w:val="none"/>
                <w:vertAlign w:val="baseline"/>
                <w:lang w:val="en-US" w:eastAsia="zh-CN"/>
              </w:rPr>
              <w:t>13.▲权限管理：平台管理员可设置不同角色的平台使用权限，包括资源管理权限、项目进度监控权限和平台管理权限。</w:t>
            </w:r>
            <w:bookmarkEnd w:id="524"/>
          </w:p>
        </w:tc>
      </w:tr>
    </w:tbl>
    <w:p>
      <w:pPr>
        <w:pStyle w:val="49"/>
        <w:keepNext w:val="0"/>
        <w:keepLines w:val="0"/>
        <w:pageBreakBefore w:val="0"/>
        <w:widowControl w:val="0"/>
        <w:kinsoku/>
        <w:wordWrap w:val="0"/>
        <w:overflowPunct/>
        <w:topLinePunct/>
        <w:autoSpaceDE/>
        <w:autoSpaceDN/>
        <w:bidi w:val="0"/>
        <w:adjustRightInd w:val="0"/>
        <w:snapToGrid w:val="0"/>
        <w:spacing w:line="520" w:lineRule="exact"/>
        <w:textAlignment w:val="auto"/>
        <w:rPr>
          <w:rFonts w:hint="eastAsia" w:ascii="宋体" w:hAnsi="宋体" w:eastAsia="宋体" w:cs="宋体"/>
          <w:color w:val="auto"/>
          <w:highlight w:val="none"/>
          <w:lang w:val="en-US" w:eastAsia="zh-CN"/>
        </w:rPr>
      </w:pPr>
      <w:bookmarkStart w:id="525" w:name="_Toc25264"/>
      <w:bookmarkStart w:id="526" w:name="_Toc30834"/>
      <w:bookmarkStart w:id="527" w:name="_Toc29013"/>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课程交付</w:t>
      </w:r>
      <w:bookmarkEnd w:id="525"/>
    </w:p>
    <w:p>
      <w:pPr>
        <w:pStyle w:val="63"/>
        <w:spacing w:line="52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交付成果：根据不同应交场景需要，课程成果支持发布成不同版本。包括：①单机版：能够在任何PC机上，无须安装任何专用插件，即可访问使用。</w:t>
      </w:r>
      <w:r>
        <w:rPr>
          <w:rFonts w:hint="eastAsia" w:ascii="宋体" w:hAnsi="宋体" w:eastAsia="宋体" w:cs="宋体"/>
          <w:bCs/>
          <w:color w:val="auto"/>
          <w:highlight w:val="none"/>
          <w:lang w:eastAsia="zh-CN"/>
        </w:rPr>
        <w:t>②</w:t>
      </w:r>
      <w:r>
        <w:rPr>
          <w:rFonts w:hint="eastAsia" w:ascii="宋体" w:hAnsi="宋体" w:eastAsia="宋体" w:cs="宋体"/>
          <w:bCs/>
          <w:color w:val="auto"/>
          <w:highlight w:val="none"/>
        </w:rPr>
        <w:t>普通网络版：能够在任何Web服务器、网络教学平台管理下运行，支持服务器端跨平台。③多媒体教学资源包：能够在PC机上通过播放器直接播放的视频、教学课件或上传到网络教学平台用于助教助学的资源以及开发过程中的源文件、相关脚本、素材等项目材料。</w:t>
      </w:r>
    </w:p>
    <w:p>
      <w:pPr>
        <w:pStyle w:val="63"/>
        <w:spacing w:line="52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交付载体：所有课程网站成果、动画视频文件、相应的媒体文件</w:t>
      </w:r>
      <w:r>
        <w:rPr>
          <w:rFonts w:hint="eastAsia" w:cs="宋体"/>
          <w:bCs/>
          <w:color w:val="auto"/>
          <w:highlight w:val="none"/>
          <w:lang w:eastAsia="zh-CN"/>
        </w:rPr>
        <w:t>(</w:t>
      </w:r>
      <w:r>
        <w:rPr>
          <w:rFonts w:hint="eastAsia" w:ascii="宋体" w:hAnsi="宋体" w:eastAsia="宋体" w:cs="宋体"/>
          <w:bCs/>
          <w:color w:val="auto"/>
          <w:highlight w:val="none"/>
        </w:rPr>
        <w:t>PPT、PDF等</w:t>
      </w:r>
      <w:r>
        <w:rPr>
          <w:rFonts w:hint="eastAsia" w:cs="宋体"/>
          <w:bCs/>
          <w:color w:val="auto"/>
          <w:highlight w:val="none"/>
          <w:lang w:eastAsia="zh-CN"/>
        </w:rPr>
        <w:t>)</w:t>
      </w:r>
      <w:r>
        <w:rPr>
          <w:rFonts w:hint="eastAsia" w:ascii="宋体" w:hAnsi="宋体" w:eastAsia="宋体" w:cs="宋体"/>
          <w:bCs/>
          <w:color w:val="auto"/>
          <w:highlight w:val="none"/>
        </w:rPr>
        <w:t>及相关的材料均通过硬盘或U盘提交。同时，所有教学文件或资源须注明标题等信息。音、视频压缩格式及技术参数，按照制作要求进行。</w:t>
      </w:r>
    </w:p>
    <w:p>
      <w:pPr>
        <w:pStyle w:val="63"/>
        <w:spacing w:line="52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课程部署：供应商需负责把成果内容安装部署至我校课程教学系统、资源库管理系统、试题库管理等相关系统，并交付正常使用</w:t>
      </w:r>
      <w:r>
        <w:rPr>
          <w:rFonts w:hint="eastAsia" w:cs="宋体"/>
          <w:bCs/>
          <w:color w:val="auto"/>
          <w:highlight w:val="none"/>
          <w:lang w:eastAsia="zh-CN"/>
        </w:rPr>
        <w:t>(</w:t>
      </w:r>
      <w:r>
        <w:rPr>
          <w:rFonts w:hint="eastAsia" w:ascii="宋体" w:hAnsi="宋体" w:eastAsia="宋体" w:cs="宋体"/>
          <w:bCs/>
          <w:color w:val="auto"/>
          <w:highlight w:val="none"/>
        </w:rPr>
        <w:t>如果有牵涉系统整合所产生的费用均由供应商承担</w:t>
      </w:r>
      <w:r>
        <w:rPr>
          <w:rFonts w:hint="eastAsia" w:cs="宋体"/>
          <w:bCs/>
          <w:color w:val="auto"/>
          <w:highlight w:val="none"/>
          <w:lang w:eastAsia="zh-CN"/>
        </w:rPr>
        <w:t>)</w:t>
      </w:r>
      <w:r>
        <w:rPr>
          <w:rFonts w:hint="eastAsia" w:ascii="宋体" w:hAnsi="宋体" w:eastAsia="宋体" w:cs="宋体"/>
          <w:bCs/>
          <w:color w:val="auto"/>
          <w:highlight w:val="none"/>
        </w:rPr>
        <w:t>。</w:t>
      </w:r>
    </w:p>
    <w:p>
      <w:pPr>
        <w:pStyle w:val="35"/>
        <w:spacing w:line="520" w:lineRule="exact"/>
        <w:ind w:firstLine="482"/>
        <w:rPr>
          <w:rFonts w:hint="eastAsia" w:ascii="宋体" w:hAnsi="宋体" w:eastAsia="宋体" w:cs="宋体"/>
          <w:color w:val="auto"/>
          <w:highlight w:val="none"/>
        </w:rPr>
      </w:pPr>
      <w:bookmarkStart w:id="528" w:name="_Toc20547"/>
      <w:r>
        <w:rPr>
          <w:rFonts w:hint="eastAsia" w:ascii="宋体" w:hAnsi="宋体" w:eastAsia="宋体" w:cs="宋体"/>
          <w:color w:val="auto"/>
          <w:highlight w:val="none"/>
        </w:rPr>
        <w:t>★商务要求</w:t>
      </w:r>
      <w:bookmarkEnd w:id="526"/>
      <w:bookmarkEnd w:id="527"/>
      <w:bookmarkEnd w:id="528"/>
    </w:p>
    <w:p>
      <w:pPr>
        <w:pStyle w:val="33"/>
        <w:numPr>
          <w:ilvl w:val="1"/>
          <w:numId w:val="26"/>
        </w:numPr>
        <w:spacing w:line="520" w:lineRule="exact"/>
        <w:ind w:firstLine="482"/>
        <w:rPr>
          <w:rFonts w:hint="eastAsia" w:ascii="宋体" w:hAnsi="宋体" w:eastAsia="宋体" w:cs="宋体"/>
          <w:b/>
          <w:bCs/>
          <w:color w:val="auto"/>
          <w:highlight w:val="none"/>
        </w:rPr>
      </w:pPr>
      <w:bookmarkStart w:id="529" w:name="_Toc8510"/>
      <w:r>
        <w:rPr>
          <w:rFonts w:hint="eastAsia" w:ascii="宋体" w:hAnsi="宋体" w:eastAsia="宋体" w:cs="宋体"/>
          <w:b/>
          <w:bCs/>
          <w:color w:val="auto"/>
          <w:highlight w:val="none"/>
        </w:rPr>
        <w:t>履约</w:t>
      </w:r>
      <w:r>
        <w:rPr>
          <w:rFonts w:hint="eastAsia" w:ascii="宋体" w:hAnsi="宋体" w:eastAsia="宋体" w:cs="宋体"/>
          <w:b/>
          <w:bCs/>
          <w:color w:val="auto"/>
          <w:highlight w:val="none"/>
          <w:lang w:val="en-US" w:eastAsia="zh-CN"/>
        </w:rPr>
        <w:t>时间</w:t>
      </w:r>
      <w:r>
        <w:rPr>
          <w:rFonts w:hint="eastAsia" w:ascii="宋体" w:hAnsi="宋体" w:eastAsia="宋体" w:cs="宋体"/>
          <w:b/>
          <w:bCs/>
          <w:color w:val="auto"/>
          <w:highlight w:val="none"/>
        </w:rPr>
        <w:t>和地点</w:t>
      </w:r>
      <w:bookmarkEnd w:id="529"/>
    </w:p>
    <w:p>
      <w:pPr>
        <w:pStyle w:val="63"/>
        <w:spacing w:line="52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履约</w:t>
      </w:r>
      <w:r>
        <w:rPr>
          <w:rFonts w:hint="eastAsia" w:ascii="宋体" w:hAnsi="宋体" w:eastAsia="宋体" w:cs="宋体"/>
          <w:bCs/>
          <w:color w:val="auto"/>
          <w:highlight w:val="none"/>
          <w:lang w:val="en-US" w:eastAsia="zh-CN"/>
        </w:rPr>
        <w:t>时间</w:t>
      </w:r>
      <w:r>
        <w:rPr>
          <w:rFonts w:hint="eastAsia" w:ascii="宋体" w:hAnsi="宋体" w:eastAsia="宋体" w:cs="宋体"/>
          <w:bCs/>
          <w:color w:val="auto"/>
          <w:highlight w:val="none"/>
        </w:rPr>
        <w:t>：合同签订后</w:t>
      </w:r>
      <w:r>
        <w:rPr>
          <w:rFonts w:hint="eastAsia" w:ascii="宋体" w:hAnsi="宋体" w:eastAsia="宋体" w:cs="宋体"/>
          <w:bCs/>
          <w:color w:val="auto"/>
          <w:highlight w:val="none"/>
          <w:lang w:val="en-US" w:eastAsia="zh-CN"/>
        </w:rPr>
        <w:t>60</w:t>
      </w:r>
      <w:r>
        <w:rPr>
          <w:rFonts w:hint="eastAsia" w:ascii="宋体" w:hAnsi="宋体" w:eastAsia="宋体" w:cs="宋体"/>
          <w:bCs/>
          <w:color w:val="auto"/>
          <w:highlight w:val="none"/>
        </w:rPr>
        <w:t>个日历天内完成</w:t>
      </w:r>
      <w:r>
        <w:rPr>
          <w:rFonts w:hint="eastAsia" w:ascii="宋体" w:hAnsi="宋体" w:eastAsia="宋体" w:cs="宋体"/>
          <w:bCs/>
          <w:color w:val="auto"/>
          <w:highlight w:val="none"/>
          <w:lang w:val="en-US" w:eastAsia="zh-CN"/>
        </w:rPr>
        <w:t>所有</w:t>
      </w:r>
      <w:r>
        <w:rPr>
          <w:rFonts w:hint="eastAsia" w:ascii="宋体" w:hAnsi="宋体" w:eastAsia="宋体" w:cs="宋体"/>
          <w:bCs/>
          <w:color w:val="auto"/>
          <w:highlight w:val="none"/>
        </w:rPr>
        <w:t>工作，并提交验收相关资料。</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履约地点：四川省</w:t>
      </w:r>
      <w:r>
        <w:rPr>
          <w:rFonts w:hint="eastAsia" w:ascii="宋体" w:hAnsi="宋体" w:eastAsia="宋体" w:cs="宋体"/>
          <w:color w:val="auto"/>
          <w:highlight w:val="none"/>
          <w:lang w:eastAsia="zh-CN"/>
        </w:rPr>
        <w:t>郫都区</w:t>
      </w:r>
      <w:r>
        <w:rPr>
          <w:rFonts w:hint="eastAsia" w:ascii="宋体" w:hAnsi="宋体" w:eastAsia="宋体" w:cs="宋体"/>
          <w:color w:val="auto"/>
          <w:highlight w:val="none"/>
        </w:rPr>
        <w:t>高店路1666号。</w:t>
      </w:r>
    </w:p>
    <w:p>
      <w:pPr>
        <w:pStyle w:val="33"/>
        <w:numPr>
          <w:ilvl w:val="1"/>
          <w:numId w:val="26"/>
        </w:numPr>
        <w:spacing w:line="520" w:lineRule="exact"/>
        <w:ind w:firstLine="482"/>
        <w:rPr>
          <w:rFonts w:hint="eastAsia" w:ascii="宋体" w:hAnsi="宋体" w:eastAsia="宋体" w:cs="宋体"/>
          <w:b/>
          <w:bCs/>
          <w:color w:val="auto"/>
          <w:highlight w:val="none"/>
        </w:rPr>
      </w:pPr>
      <w:bookmarkStart w:id="530" w:name="_Toc19371"/>
      <w:r>
        <w:rPr>
          <w:rFonts w:hint="eastAsia" w:ascii="宋体" w:hAnsi="宋体" w:eastAsia="宋体" w:cs="宋体"/>
          <w:b/>
          <w:bCs/>
          <w:color w:val="auto"/>
          <w:highlight w:val="none"/>
        </w:rPr>
        <w:t>合同价款</w:t>
      </w:r>
      <w:bookmarkEnd w:id="530"/>
    </w:p>
    <w:p>
      <w:pPr>
        <w:wordWrap w:val="0"/>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成交价为固定包干价，包括但不限于人员劳务、差旅、设备投入、成果、培训、风险、税金等所需的一切费用,采购人无需另行支付其他任何费用。本项目合同执行期间合同总价不变，采购人无需另向供应商支付本项目合同规定之外的其他任何费用。</w:t>
      </w:r>
    </w:p>
    <w:p>
      <w:pPr>
        <w:pStyle w:val="33"/>
        <w:numPr>
          <w:ilvl w:val="1"/>
          <w:numId w:val="26"/>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付款方式</w:t>
      </w:r>
    </w:p>
    <w:p>
      <w:pPr>
        <w:pStyle w:val="63"/>
        <w:numPr>
          <w:ilvl w:val="3"/>
          <w:numId w:val="27"/>
        </w:numPr>
        <w:tabs>
          <w:tab w:val="left" w:pos="426"/>
        </w:tabs>
        <w:spacing w:line="520" w:lineRule="exact"/>
        <w:ind w:firstLine="480"/>
        <w:rPr>
          <w:rFonts w:hint="eastAsia" w:ascii="宋体" w:hAnsi="宋体" w:eastAsia="宋体" w:cs="宋体"/>
          <w:bCs/>
          <w:color w:val="auto"/>
          <w:highlight w:val="none"/>
        </w:rPr>
      </w:pPr>
      <w:bookmarkStart w:id="531" w:name="_Toc12890"/>
      <w:bookmarkStart w:id="532" w:name="_Toc10233"/>
      <w:bookmarkStart w:id="533" w:name="_Toc27602"/>
      <w:r>
        <w:rPr>
          <w:rFonts w:hint="eastAsia" w:ascii="宋体" w:hAnsi="宋体" w:eastAsia="宋体" w:cs="宋体"/>
          <w:bCs/>
          <w:color w:val="auto"/>
          <w:highlight w:val="none"/>
        </w:rPr>
        <w:t>签订合同后5个工作日内</w:t>
      </w:r>
      <w:r>
        <w:rPr>
          <w:rFonts w:hint="eastAsia" w:ascii="宋体" w:hAnsi="宋体" w:eastAsia="宋体" w:cs="宋体"/>
          <w:bCs/>
          <w:color w:val="auto"/>
          <w:highlight w:val="none"/>
          <w:lang w:val="en-US" w:eastAsia="zh-CN"/>
        </w:rPr>
        <w:t>采购人</w:t>
      </w:r>
      <w:r>
        <w:rPr>
          <w:rFonts w:hint="eastAsia" w:ascii="宋体" w:hAnsi="宋体" w:eastAsia="宋体" w:cs="宋体"/>
          <w:bCs/>
          <w:color w:val="auto"/>
          <w:highlight w:val="none"/>
        </w:rPr>
        <w:t>向</w:t>
      </w:r>
      <w:r>
        <w:rPr>
          <w:rFonts w:hint="eastAsia" w:ascii="宋体" w:hAnsi="宋体" w:eastAsia="宋体" w:cs="宋体"/>
          <w:bCs/>
          <w:color w:val="auto"/>
          <w:highlight w:val="none"/>
          <w:lang w:val="en-US" w:eastAsia="zh-CN"/>
        </w:rPr>
        <w:t>供应商</w:t>
      </w:r>
      <w:r>
        <w:rPr>
          <w:rFonts w:hint="eastAsia" w:ascii="宋体" w:hAnsi="宋体" w:eastAsia="宋体" w:cs="宋体"/>
          <w:bCs/>
          <w:color w:val="auto"/>
          <w:highlight w:val="none"/>
        </w:rPr>
        <w:t>支付合同总金额50%的预付款，</w:t>
      </w:r>
      <w:r>
        <w:rPr>
          <w:rFonts w:hint="eastAsia" w:ascii="宋体" w:hAnsi="宋体" w:eastAsia="宋体" w:cs="宋体"/>
          <w:bCs/>
          <w:color w:val="auto"/>
          <w:highlight w:val="none"/>
          <w:lang w:val="en-US" w:eastAsia="zh-CN"/>
        </w:rPr>
        <w:t>供应商</w:t>
      </w:r>
      <w:r>
        <w:rPr>
          <w:rFonts w:hint="eastAsia" w:ascii="宋体" w:hAnsi="宋体" w:eastAsia="宋体" w:cs="宋体"/>
          <w:bCs/>
          <w:color w:val="auto"/>
          <w:highlight w:val="none"/>
        </w:rPr>
        <w:t>将成果提交验收合格后5个工作日内，开具全额发票给</w:t>
      </w:r>
      <w:r>
        <w:rPr>
          <w:rFonts w:hint="eastAsia" w:ascii="宋体" w:hAnsi="宋体" w:eastAsia="宋体" w:cs="宋体"/>
          <w:bCs/>
          <w:color w:val="auto"/>
          <w:highlight w:val="none"/>
          <w:lang w:val="en-US" w:eastAsia="zh-CN"/>
        </w:rPr>
        <w:t>采购人</w:t>
      </w: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采购人</w:t>
      </w:r>
      <w:r>
        <w:rPr>
          <w:rFonts w:hint="eastAsia" w:ascii="宋体" w:hAnsi="宋体" w:eastAsia="宋体" w:cs="宋体"/>
          <w:bCs/>
          <w:color w:val="auto"/>
          <w:highlight w:val="none"/>
        </w:rPr>
        <w:t>在5个工作日内向</w:t>
      </w:r>
      <w:r>
        <w:rPr>
          <w:rFonts w:hint="eastAsia" w:ascii="宋体" w:hAnsi="宋体" w:eastAsia="宋体" w:cs="宋体"/>
          <w:bCs/>
          <w:color w:val="auto"/>
          <w:highlight w:val="none"/>
          <w:lang w:val="en-US" w:eastAsia="zh-CN"/>
        </w:rPr>
        <w:t>供应商支付</w:t>
      </w:r>
      <w:r>
        <w:rPr>
          <w:rFonts w:hint="eastAsia" w:ascii="宋体" w:hAnsi="宋体" w:eastAsia="宋体" w:cs="宋体"/>
          <w:bCs/>
          <w:color w:val="auto"/>
          <w:highlight w:val="none"/>
        </w:rPr>
        <w:t>剩余的50%合同款。</w:t>
      </w:r>
    </w:p>
    <w:p>
      <w:pPr>
        <w:pStyle w:val="63"/>
        <w:numPr>
          <w:ilvl w:val="3"/>
          <w:numId w:val="27"/>
        </w:numPr>
        <w:tabs>
          <w:tab w:val="left" w:pos="426"/>
        </w:tabs>
        <w:spacing w:line="52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供应商保证提供的银行账户信息真实有效，如果供应商账户信息更改(原则上采购人不同意账户信息更改)，需要在采购人付款前10个日历天内告知采购人，若因供应商原因导致采购人无法付款或错误付款，后果由供应商自行承担。</w:t>
      </w:r>
      <w:bookmarkEnd w:id="531"/>
      <w:bookmarkEnd w:id="532"/>
      <w:bookmarkEnd w:id="533"/>
    </w:p>
    <w:p>
      <w:pPr>
        <w:pStyle w:val="33"/>
        <w:numPr>
          <w:ilvl w:val="1"/>
          <w:numId w:val="26"/>
        </w:numPr>
        <w:spacing w:line="520" w:lineRule="exact"/>
        <w:ind w:firstLine="482"/>
        <w:rPr>
          <w:rFonts w:hint="eastAsia" w:ascii="宋体" w:hAnsi="宋体" w:eastAsia="宋体" w:cs="宋体"/>
          <w:b/>
          <w:bCs/>
          <w:color w:val="auto"/>
          <w:highlight w:val="none"/>
          <w:lang w:val="zh-CN"/>
        </w:rPr>
      </w:pPr>
      <w:bookmarkStart w:id="534" w:name="_Toc32286_WPSOffice_Level2"/>
      <w:bookmarkStart w:id="535" w:name="_Toc27313"/>
      <w:r>
        <w:rPr>
          <w:rFonts w:hint="eastAsia" w:ascii="宋体" w:hAnsi="宋体" w:eastAsia="宋体" w:cs="宋体"/>
          <w:b/>
          <w:bCs/>
          <w:color w:val="auto"/>
          <w:highlight w:val="none"/>
          <w:lang w:val="en-US" w:eastAsia="zh-CN"/>
        </w:rPr>
        <w:t>售后服务要求</w:t>
      </w:r>
    </w:p>
    <w:p>
      <w:pPr>
        <w:pStyle w:val="63"/>
        <w:keepNext w:val="0"/>
        <w:keepLines w:val="0"/>
        <w:pageBreakBefore w:val="0"/>
        <w:widowControl w:val="0"/>
        <w:numPr>
          <w:ilvl w:val="3"/>
          <w:numId w:val="0"/>
        </w:numPr>
        <w:tabs>
          <w:tab w:val="left" w:pos="426"/>
        </w:tabs>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1.质保期：在开发完成并安装部署验收后，投标单位至少提供1年的免费售后服务工作，在1年服务期满后，双方友好协商此后的服务事宜。</w:t>
      </w:r>
    </w:p>
    <w:p>
      <w:pPr>
        <w:pStyle w:val="63"/>
        <w:keepNext w:val="0"/>
        <w:keepLines w:val="0"/>
        <w:pageBreakBefore w:val="0"/>
        <w:widowControl w:val="0"/>
        <w:numPr>
          <w:ilvl w:val="3"/>
          <w:numId w:val="0"/>
        </w:numPr>
        <w:tabs>
          <w:tab w:val="left" w:pos="426"/>
        </w:tabs>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2.</w:t>
      </w:r>
      <w:r>
        <w:rPr>
          <w:rFonts w:hint="eastAsia" w:cs="宋体"/>
          <w:bCs/>
          <w:color w:val="auto"/>
          <w:highlight w:val="none"/>
          <w:lang w:val="en-US" w:eastAsia="zh-CN"/>
        </w:rPr>
        <w:t>供应商</w:t>
      </w:r>
      <w:r>
        <w:rPr>
          <w:rFonts w:hint="eastAsia" w:ascii="宋体" w:hAnsi="宋体" w:eastAsia="宋体" w:cs="宋体"/>
          <w:bCs/>
          <w:color w:val="auto"/>
          <w:highlight w:val="none"/>
          <w:lang w:val="en-US" w:eastAsia="zh-CN"/>
        </w:rPr>
        <w:t>提供在约定服务期内的人工在线实时咨询，同时提供在线帮助文档、即时通信工具、电话或邮件帮助服务。出现故障且对于问题不大或者可以通过远程沟通直接解决的问题，应立即解决。如客户遇到的问题不能通过远程沟通方式立即解决，则服务人员需做好问题登记，将问题转交相关人员。一般问题应在48小时内解决，重大问题或其它无法迅速解决的问题应在一周内解决。</w:t>
      </w:r>
    </w:p>
    <w:p>
      <w:pPr>
        <w:pStyle w:val="63"/>
        <w:keepNext w:val="0"/>
        <w:keepLines w:val="0"/>
        <w:pageBreakBefore w:val="0"/>
        <w:widowControl w:val="0"/>
        <w:numPr>
          <w:ilvl w:val="3"/>
          <w:numId w:val="0"/>
        </w:numPr>
        <w:tabs>
          <w:tab w:val="left" w:pos="426"/>
        </w:tabs>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s="宋体"/>
          <w:bCs/>
          <w:color w:val="auto"/>
          <w:highlight w:val="none"/>
          <w:lang w:val="zh-CN"/>
        </w:rPr>
      </w:pPr>
      <w:r>
        <w:rPr>
          <w:rFonts w:hint="eastAsia" w:ascii="宋体" w:hAnsi="宋体" w:eastAsia="宋体" w:cs="宋体"/>
          <w:bCs/>
          <w:color w:val="auto"/>
          <w:highlight w:val="none"/>
          <w:lang w:val="en-US" w:eastAsia="zh-CN"/>
        </w:rPr>
        <w:t>3.技术人员采用现场或远程部署安装、调试，并提供免费咨询培训服务，保证学校能够熟练使用开发成果。各项性能指标达到技术要求的，由合作双方共同签字认可，签订验收报告。</w:t>
      </w:r>
    </w:p>
    <w:p>
      <w:pPr>
        <w:pStyle w:val="33"/>
        <w:numPr>
          <w:ilvl w:val="1"/>
          <w:numId w:val="26"/>
        </w:numPr>
        <w:spacing w:line="520" w:lineRule="exact"/>
        <w:ind w:firstLine="482"/>
        <w:rPr>
          <w:rFonts w:hint="eastAsia" w:ascii="宋体" w:hAnsi="宋体" w:eastAsia="宋体" w:cs="宋体"/>
          <w:b/>
          <w:bCs/>
          <w:color w:val="auto"/>
          <w:highlight w:val="none"/>
        </w:rPr>
      </w:pPr>
      <w:bookmarkStart w:id="536" w:name="_Toc79"/>
      <w:bookmarkStart w:id="537" w:name="_Toc14381"/>
      <w:bookmarkStart w:id="538" w:name="_Toc19452"/>
      <w:r>
        <w:rPr>
          <w:rFonts w:hint="eastAsia" w:ascii="宋体" w:hAnsi="宋体" w:eastAsia="宋体" w:cs="宋体"/>
          <w:b/>
          <w:bCs/>
          <w:color w:val="auto"/>
          <w:highlight w:val="none"/>
        </w:rPr>
        <w:t>验收、交付标准和方法</w:t>
      </w:r>
    </w:p>
    <w:p>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1.验收主体：</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w:t>
      </w:r>
    </w:p>
    <w:p>
      <w:pPr>
        <w:spacing w:line="520" w:lineRule="exact"/>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2.验收的方式：内部验收</w:t>
      </w:r>
      <w:r>
        <w:rPr>
          <w:rFonts w:hint="eastAsia" w:ascii="宋体" w:hAnsi="宋体" w:eastAsia="宋体" w:cs="宋体"/>
          <w:color w:val="auto"/>
          <w:highlight w:val="none"/>
          <w:lang w:eastAsia="zh-CN"/>
        </w:rPr>
        <w:t>。</w:t>
      </w:r>
    </w:p>
    <w:p>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3.验收时间及验收程序：项目履行完毕后乙方书面通知</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验收，</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自收到</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验收申请之日起5个工作日内组织验收小组进行验收。</w:t>
      </w:r>
    </w:p>
    <w:p>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4.验收内容：根据服务内容及要求、商务要求的履约情况。</w:t>
      </w:r>
    </w:p>
    <w:p>
      <w:p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验收标准：按采购文件的技术要求和商务要求、乙方的响应文件及承诺、合同约定进行验收。其他未尽事宜应参照《财政部关于进一步加强政府采购需求和履约验收管理的指导意见》(财库〔2016〕205号)的要求进行验收。</w:t>
      </w:r>
    </w:p>
    <w:p>
      <w:pPr>
        <w:pStyle w:val="35"/>
        <w:spacing w:line="520" w:lineRule="exact"/>
        <w:ind w:firstLine="480"/>
        <w:rPr>
          <w:rFonts w:hint="eastAsia" w:ascii="宋体" w:hAnsi="宋体" w:eastAsia="宋体" w:cs="宋体"/>
          <w:bCs/>
          <w:color w:val="auto"/>
          <w:highlight w:val="none"/>
        </w:rPr>
      </w:pPr>
      <w:bookmarkStart w:id="539" w:name="_Toc1962"/>
      <w:r>
        <w:rPr>
          <w:rFonts w:hint="eastAsia" w:ascii="宋体" w:hAnsi="宋体" w:eastAsia="宋体" w:cs="宋体"/>
          <w:b w:val="0"/>
          <w:color w:val="auto"/>
          <w:highlight w:val="none"/>
        </w:rPr>
        <w:t>★</w:t>
      </w:r>
      <w:r>
        <w:rPr>
          <w:rFonts w:hint="eastAsia" w:ascii="宋体" w:hAnsi="宋体" w:eastAsia="宋体" w:cs="宋体"/>
          <w:bCs/>
          <w:color w:val="auto"/>
          <w:highlight w:val="none"/>
        </w:rPr>
        <w:t>履约保证金</w:t>
      </w:r>
      <w:bookmarkEnd w:id="536"/>
      <w:bookmarkEnd w:id="537"/>
      <w:bookmarkEnd w:id="538"/>
      <w:bookmarkEnd w:id="539"/>
    </w:p>
    <w:p>
      <w:pPr>
        <w:pStyle w:val="29"/>
        <w:widowControl w:val="0"/>
        <w:numPr>
          <w:ilvl w:val="0"/>
          <w:numId w:val="28"/>
        </w:numPr>
        <w:spacing w:line="520" w:lineRule="exact"/>
        <w:ind w:firstLine="480" w:firstLineChars="200"/>
        <w:rPr>
          <w:rFonts w:hint="eastAsia" w:ascii="宋体" w:hAnsi="宋体" w:eastAsia="宋体" w:cs="宋体"/>
          <w:color w:val="auto"/>
          <w:sz w:val="24"/>
          <w:szCs w:val="24"/>
          <w:highlight w:val="none"/>
        </w:rPr>
      </w:pPr>
      <w:bookmarkStart w:id="540" w:name="_Toc1535"/>
      <w:bookmarkStart w:id="541" w:name="_Toc24953"/>
      <w:r>
        <w:rPr>
          <w:rFonts w:hint="eastAsia" w:ascii="宋体" w:hAnsi="宋体" w:eastAsia="宋体" w:cs="宋体"/>
          <w:color w:val="auto"/>
          <w:sz w:val="24"/>
          <w:szCs w:val="24"/>
          <w:highlight w:val="none"/>
        </w:rPr>
        <w:t>履约保证金为成交金额的百分之五，供应商应在成交通知书发出之日起至合同签订前以银行转账、支票、汇票、本票等非现金形式向采购人提交履约保证金。</w:t>
      </w:r>
      <w:bookmarkEnd w:id="540"/>
    </w:p>
    <w:p>
      <w:pPr>
        <w:pStyle w:val="29"/>
        <w:widowControl w:val="0"/>
        <w:numPr>
          <w:ilvl w:val="0"/>
          <w:numId w:val="28"/>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履行合同约定完毕且不存在任何违约情形的，采购人在收到供应商提交的“履约保证金的收据”、“履约保证金退还申请”等资料并审核通过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的收据”“履约保证金退还申请”的，则采购人不承担逾期退还违约责任。</w:t>
      </w:r>
    </w:p>
    <w:p>
      <w:pPr>
        <w:pStyle w:val="29"/>
        <w:widowControl w:val="0"/>
        <w:numPr>
          <w:ilvl w:val="0"/>
          <w:numId w:val="28"/>
        </w:numPr>
        <w:spacing w:line="520" w:lineRule="exact"/>
        <w:ind w:firstLine="480" w:firstLineChars="200"/>
        <w:rPr>
          <w:rFonts w:hint="eastAsia" w:ascii="宋体" w:hAnsi="宋体" w:eastAsia="宋体" w:cs="宋体"/>
          <w:color w:val="auto"/>
          <w:sz w:val="24"/>
          <w:szCs w:val="24"/>
          <w:highlight w:val="none"/>
        </w:rPr>
      </w:pPr>
      <w:bookmarkStart w:id="542" w:name="_Toc15789"/>
      <w:r>
        <w:rPr>
          <w:rFonts w:hint="eastAsia" w:ascii="宋体" w:hAnsi="宋体" w:eastAsia="宋体" w:cs="宋体"/>
          <w:color w:val="auto"/>
          <w:sz w:val="24"/>
          <w:szCs w:val="24"/>
          <w:highlight w:val="none"/>
        </w:rPr>
        <w:t>履约保证金汇入的银行及账号：</w:t>
      </w:r>
      <w:bookmarkEnd w:id="542"/>
    </w:p>
    <w:p>
      <w:pPr>
        <w:pStyle w:val="29"/>
        <w:widowControl w:val="0"/>
        <w:spacing w:line="520" w:lineRule="exact"/>
        <w:ind w:left="480" w:leftChars="200"/>
        <w:rPr>
          <w:rFonts w:hint="eastAsia" w:ascii="宋体" w:hAnsi="宋体" w:eastAsia="宋体" w:cs="宋体"/>
          <w:color w:val="auto"/>
          <w:sz w:val="24"/>
          <w:szCs w:val="24"/>
          <w:highlight w:val="none"/>
        </w:rPr>
      </w:pPr>
      <w:bookmarkStart w:id="543" w:name="_Toc6527"/>
      <w:r>
        <w:rPr>
          <w:rFonts w:hint="eastAsia" w:ascii="宋体" w:hAnsi="宋体" w:eastAsia="宋体" w:cs="宋体"/>
          <w:color w:val="auto"/>
          <w:sz w:val="24"/>
          <w:szCs w:val="24"/>
          <w:highlight w:val="none"/>
        </w:rPr>
        <w:t>户    名：成都市技师学院</w:t>
      </w:r>
      <w:bookmarkEnd w:id="543"/>
    </w:p>
    <w:p>
      <w:pPr>
        <w:pStyle w:val="29"/>
        <w:widowControl w:val="0"/>
        <w:spacing w:line="520" w:lineRule="exact"/>
        <w:ind w:left="480" w:leftChars="200"/>
        <w:rPr>
          <w:rFonts w:hint="eastAsia" w:ascii="宋体" w:hAnsi="宋体" w:eastAsia="宋体" w:cs="宋体"/>
          <w:color w:val="auto"/>
          <w:sz w:val="24"/>
          <w:szCs w:val="24"/>
          <w:highlight w:val="none"/>
        </w:rPr>
      </w:pPr>
      <w:bookmarkStart w:id="544" w:name="_Toc23978"/>
      <w:r>
        <w:rPr>
          <w:rFonts w:hint="eastAsia" w:ascii="宋体" w:hAnsi="宋体" w:eastAsia="宋体" w:cs="宋体"/>
          <w:color w:val="auto"/>
          <w:sz w:val="24"/>
          <w:szCs w:val="24"/>
          <w:highlight w:val="none"/>
        </w:rPr>
        <w:t>开户银行：工行四川成都分行郫都红光支行</w:t>
      </w:r>
      <w:bookmarkEnd w:id="544"/>
    </w:p>
    <w:p>
      <w:pPr>
        <w:pStyle w:val="29"/>
        <w:widowControl w:val="0"/>
        <w:spacing w:line="520" w:lineRule="exact"/>
        <w:ind w:left="480" w:leftChars="200"/>
        <w:rPr>
          <w:rFonts w:hint="eastAsia" w:ascii="宋体" w:hAnsi="宋体" w:eastAsia="宋体" w:cs="宋体"/>
          <w:color w:val="auto"/>
          <w:sz w:val="24"/>
          <w:szCs w:val="24"/>
          <w:highlight w:val="none"/>
        </w:rPr>
      </w:pPr>
      <w:bookmarkStart w:id="545" w:name="_Toc10676"/>
      <w:r>
        <w:rPr>
          <w:rFonts w:hint="eastAsia" w:ascii="宋体" w:hAnsi="宋体" w:eastAsia="宋体" w:cs="宋体"/>
          <w:color w:val="auto"/>
          <w:sz w:val="24"/>
          <w:szCs w:val="24"/>
          <w:highlight w:val="none"/>
        </w:rPr>
        <w:t>银行账号：4402054609100031151</w:t>
      </w:r>
      <w:bookmarkEnd w:id="545"/>
    </w:p>
    <w:p>
      <w:pPr>
        <w:pStyle w:val="29"/>
        <w:widowControl w:val="0"/>
        <w:spacing w:line="520" w:lineRule="exact"/>
        <w:ind w:left="480" w:left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成都市技师学院</w:t>
      </w:r>
    </w:p>
    <w:p>
      <w:pPr>
        <w:pStyle w:val="29"/>
        <w:widowControl w:val="0"/>
        <w:numPr>
          <w:ilvl w:val="0"/>
          <w:numId w:val="28"/>
        </w:numPr>
        <w:spacing w:line="520" w:lineRule="exact"/>
        <w:ind w:firstLine="480" w:firstLineChars="200"/>
        <w:rPr>
          <w:rFonts w:hint="eastAsia" w:ascii="宋体" w:hAnsi="宋体" w:eastAsia="宋体" w:cs="宋体"/>
          <w:color w:val="auto"/>
          <w:sz w:val="24"/>
          <w:szCs w:val="24"/>
          <w:highlight w:val="none"/>
        </w:rPr>
      </w:pPr>
      <w:bookmarkStart w:id="546" w:name="_Toc23968"/>
      <w:r>
        <w:rPr>
          <w:rFonts w:hint="eastAsia" w:ascii="宋体" w:hAnsi="宋体" w:eastAsia="宋体" w:cs="宋体"/>
          <w:color w:val="auto"/>
          <w:sz w:val="24"/>
          <w:szCs w:val="24"/>
          <w:highlight w:val="none"/>
        </w:rPr>
        <w:t>履约保证金不予退还情形：一是供应商未按合同要求履行的，其履约保证金全部扣除。二是供应商缴纳了履约保证金，但因自身原因被取消</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rPr>
        <w:t>资格或在</w:t>
      </w:r>
      <w:r>
        <w:rPr>
          <w:rFonts w:hint="eastAsia" w:ascii="宋体" w:hAnsi="宋体" w:cs="宋体"/>
          <w:color w:val="auto"/>
          <w:sz w:val="24"/>
          <w:szCs w:val="24"/>
          <w:highlight w:val="none"/>
          <w:lang w:val="en-US" w:eastAsia="zh-CN"/>
        </w:rPr>
        <w:t>结果</w:t>
      </w:r>
      <w:r>
        <w:rPr>
          <w:rFonts w:hint="eastAsia" w:ascii="宋体" w:hAnsi="宋体" w:eastAsia="宋体" w:cs="宋体"/>
          <w:color w:val="auto"/>
          <w:sz w:val="24"/>
          <w:szCs w:val="24"/>
          <w:highlight w:val="none"/>
        </w:rPr>
        <w:t>公示期满之日起30个日历天(含法定节假日)内供应商不按招标采购文件确定的事项与采购人签订合同的，其履约保证金不予退还。三是法律法规或合同约定的其他情形。</w:t>
      </w:r>
      <w:bookmarkEnd w:id="546"/>
    </w:p>
    <w:p>
      <w:pPr>
        <w:pStyle w:val="35"/>
        <w:spacing w:line="520" w:lineRule="exact"/>
        <w:ind w:firstLine="482"/>
        <w:rPr>
          <w:rFonts w:hint="eastAsia" w:ascii="宋体" w:hAnsi="宋体" w:eastAsia="宋体" w:cs="宋体"/>
          <w:color w:val="auto"/>
          <w:highlight w:val="none"/>
        </w:rPr>
      </w:pPr>
      <w:bookmarkStart w:id="547" w:name="_Toc16833"/>
      <w:r>
        <w:rPr>
          <w:rFonts w:hint="eastAsia" w:ascii="宋体" w:hAnsi="宋体" w:eastAsia="宋体" w:cs="宋体"/>
          <w:color w:val="auto"/>
          <w:highlight w:val="none"/>
        </w:rPr>
        <w:t>技术服务水平</w:t>
      </w:r>
      <w:bookmarkEnd w:id="547"/>
    </w:p>
    <w:p>
      <w:pPr>
        <w:pStyle w:val="33"/>
        <w:numPr>
          <w:ilvl w:val="1"/>
          <w:numId w:val="29"/>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项目实施</w:t>
      </w:r>
      <w:r>
        <w:rPr>
          <w:rFonts w:hint="eastAsia" w:ascii="宋体" w:hAnsi="宋体" w:eastAsia="宋体" w:cs="宋体"/>
          <w:b/>
          <w:bCs/>
          <w:color w:val="auto"/>
          <w:highlight w:val="none"/>
        </w:rPr>
        <w:t>方案</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包含①组织机构与人员配备；②设备及安全管理制度；③实施计划及进度安排；④视频拍摄方案；⑤动画制作流程；⑥视频动画成果质量保障措施等内容。</w:t>
      </w:r>
    </w:p>
    <w:p>
      <w:pPr>
        <w:pStyle w:val="33"/>
        <w:numPr>
          <w:ilvl w:val="1"/>
          <w:numId w:val="29"/>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后期服务方案及培训</w:t>
      </w:r>
      <w:r>
        <w:rPr>
          <w:rFonts w:hint="eastAsia" w:ascii="宋体" w:hAnsi="宋体" w:eastAsia="宋体" w:cs="宋体"/>
          <w:b/>
          <w:bCs/>
          <w:color w:val="auto"/>
          <w:highlight w:val="none"/>
        </w:rPr>
        <w:t>方案</w:t>
      </w:r>
    </w:p>
    <w:p>
      <w:pPr>
        <w:pStyle w:val="33"/>
        <w:numPr>
          <w:ilvl w:val="1"/>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包含①服务内容和后期服务流程；②支持服务时间和服务响应等级；③培训内容和培训形式，供应商须提供详细的培训计划、培训方案；④服务质量保证承诺；⑤故障处理方案等内容。</w:t>
      </w:r>
    </w:p>
    <w:p>
      <w:pPr>
        <w:pStyle w:val="33"/>
        <w:numPr>
          <w:ilvl w:val="1"/>
          <w:numId w:val="0"/>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注：(1)以上内容满足要求是指①内容与项目技术服务需求吻合、层次细化，有具体详细的阐述；②阐述从实际出发，切合项目背景、项目需求以及市场供应情况发现问题并提出合理化专业技术建议或者解决方案；③内容符合行业标准、行业惯例以及项目特点</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④内容清楚明了、表述规范、含义准确。</w:t>
      </w:r>
    </w:p>
    <w:p>
      <w:pPr>
        <w:pStyle w:val="33"/>
        <w:numPr>
          <w:ilvl w:val="1"/>
          <w:numId w:val="0"/>
        </w:numPr>
        <w:spacing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存在不足是指①内容生搬硬造，阐述存在逻辑错误，前后矛盾；②涉及内容无重点，未能体现出本项目的特点或与实际需求不完全相符；③语言错误或存在歧义，项目名称、实施地点、规范标准与本项目不一致等情形。</w:t>
      </w:r>
    </w:p>
    <w:p>
      <w:pPr>
        <w:pStyle w:val="33"/>
        <w:numPr>
          <w:ilvl w:val="1"/>
          <w:numId w:val="29"/>
        </w:numPr>
        <w:spacing w:line="52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履约能力</w:t>
      </w:r>
    </w:p>
    <w:p>
      <w:pPr>
        <w:pStyle w:val="33"/>
        <w:keepNext w:val="0"/>
        <w:keepLines w:val="0"/>
        <w:pageBreakBefore w:val="0"/>
        <w:widowControl w:val="0"/>
        <w:numPr>
          <w:ilvl w:val="1"/>
          <w:numId w:val="0"/>
        </w:numPr>
        <w:kinsoku/>
        <w:wordWrap w:val="0"/>
        <w:overflowPunct/>
        <w:topLinePunct/>
        <w:autoSpaceDE/>
        <w:autoSpaceDN/>
        <w:bidi w:val="0"/>
        <w:adjustRightInd w:val="0"/>
        <w:snapToGrid w:val="0"/>
        <w:spacing w:line="520" w:lineRule="exact"/>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1.供应商拟投入本项目的项目经理、课程专家团队及团队成员具有相关专业技术职称(根据第七章评审标准提供相关证明材料)。</w:t>
      </w:r>
    </w:p>
    <w:p>
      <w:pPr>
        <w:pStyle w:val="33"/>
        <w:numPr>
          <w:ilvl w:val="1"/>
          <w:numId w:val="0"/>
        </w:numPr>
        <w:spacing w:line="520" w:lineRule="exact"/>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2.履约经验</w:t>
      </w:r>
    </w:p>
    <w:p>
      <w:pPr>
        <w:pStyle w:val="33"/>
        <w:numPr>
          <w:ilvl w:val="1"/>
          <w:numId w:val="0"/>
        </w:numPr>
        <w:spacing w:line="520" w:lineRule="exact"/>
        <w:ind w:left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供应商自2020年1月1日以来具有类似项目履约经验(提供合同复印件)。</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注：①供应商应当根据本项目实际情况提供真实、客观的证明材料。</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②供应商应当保证所提交的所有材料的真实性，若提交虚假材料谋取成交的，应上报同级监管部门依法处理。</w:t>
      </w:r>
    </w:p>
    <w:p>
      <w:pPr>
        <w:pStyle w:val="11"/>
        <w:adjustRightInd/>
        <w:snapToGrid/>
        <w:spacing w:after="0" w:line="520" w:lineRule="exact"/>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③供应商根据项目的实际需求和具体情况实事求是地编制响应文件，能具体量化，具有可行性及便于监督考核，不得违反法律、法规规定，不得夸大其词和空口许诺。</w:t>
      </w:r>
    </w:p>
    <w:bookmarkEnd w:id="534"/>
    <w:bookmarkEnd w:id="535"/>
    <w:bookmarkEnd w:id="541"/>
    <w:p>
      <w:pPr>
        <w:pStyle w:val="35"/>
        <w:keepNext w:val="0"/>
        <w:keepLines w:val="0"/>
        <w:pageBreakBefore w:val="0"/>
        <w:widowControl w:val="0"/>
        <w:kinsoku/>
        <w:overflowPunct/>
        <w:autoSpaceDE/>
        <w:autoSpaceDN/>
        <w:bidi w:val="0"/>
        <w:spacing w:line="520" w:lineRule="exact"/>
        <w:ind w:firstLine="482" w:firstLineChars="200"/>
        <w:textAlignment w:val="auto"/>
        <w:rPr>
          <w:rFonts w:hint="eastAsia" w:ascii="宋体" w:hAnsi="宋体" w:eastAsia="宋体" w:cs="宋体"/>
          <w:color w:val="auto"/>
          <w:sz w:val="24"/>
          <w:szCs w:val="24"/>
          <w:highlight w:val="none"/>
        </w:rPr>
      </w:pPr>
      <w:bookmarkStart w:id="548" w:name="_Toc29194"/>
      <w:bookmarkStart w:id="549" w:name="_Toc4224"/>
      <w:r>
        <w:rPr>
          <w:rFonts w:hint="eastAsia" w:ascii="宋体" w:hAnsi="宋体" w:eastAsia="宋体" w:cs="宋体"/>
          <w:color w:val="auto"/>
          <w:sz w:val="24"/>
          <w:szCs w:val="24"/>
          <w:highlight w:val="none"/>
        </w:rPr>
        <w:t>项目演示</w:t>
      </w:r>
      <w:bookmarkEnd w:id="548"/>
      <w:bookmarkEnd w:id="549"/>
    </w:p>
    <w:p>
      <w:pPr>
        <w:pStyle w:val="43"/>
        <w:numPr>
          <w:ilvl w:val="-1"/>
          <w:numId w:val="0"/>
        </w:numPr>
        <w:tabs>
          <w:tab w:val="left" w:pos="406"/>
        </w:tabs>
        <w:bidi w:val="0"/>
        <w:spacing w:line="52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ab/>
      </w:r>
      <w:r>
        <w:rPr>
          <w:rFonts w:hint="eastAsia" w:ascii="宋体" w:hAnsi="宋体" w:eastAsia="宋体" w:cs="宋体"/>
          <w:color w:val="auto"/>
          <w:highlight w:val="none"/>
          <w:lang w:val="en-US" w:eastAsia="zh-CN"/>
        </w:rPr>
        <w:t>演示内容：本章“技术及服务要求”中带“▲”号内容。</w:t>
      </w:r>
    </w:p>
    <w:p>
      <w:pPr>
        <w:pStyle w:val="43"/>
        <w:numPr>
          <w:ilvl w:val="-1"/>
          <w:numId w:val="0"/>
        </w:numPr>
        <w:bidi w:val="0"/>
        <w:spacing w:line="52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w:t>
      </w:r>
      <w:r>
        <w:rPr>
          <w:rFonts w:hint="eastAsia" w:ascii="宋体" w:hAnsi="宋体" w:eastAsia="宋体" w:cs="宋体"/>
          <w:b w:val="0"/>
          <w:bCs w:val="0"/>
          <w:color w:val="auto"/>
          <w:sz w:val="24"/>
          <w:szCs w:val="24"/>
          <w:highlight w:val="none"/>
          <w:lang w:val="en-US"/>
        </w:rPr>
        <w:t>采用真实系统演示，DEMO和PPT不得分</w:t>
      </w:r>
      <w:r>
        <w:rPr>
          <w:rFonts w:hint="eastAsia" w:ascii="宋体" w:hAnsi="宋体" w:eastAsia="宋体" w:cs="宋体"/>
          <w:b w:val="0"/>
          <w:bCs w:val="0"/>
          <w:color w:val="auto"/>
          <w:sz w:val="24"/>
          <w:szCs w:val="24"/>
          <w:highlight w:val="none"/>
          <w:lang w:val="en-US" w:eastAsia="zh-CN"/>
        </w:rPr>
        <w:t>，具体评审以磋商文件第七章</w:t>
      </w:r>
      <w:r>
        <w:rPr>
          <w:rFonts w:hint="eastAsia" w:ascii="宋体" w:hAnsi="宋体" w:eastAsia="宋体" w:cs="宋体"/>
          <w:color w:val="auto"/>
          <w:highlight w:val="none"/>
          <w:lang w:val="en-US" w:eastAsia="zh-CN"/>
        </w:rPr>
        <w:t>评审标准为准</w:t>
      </w:r>
      <w:r>
        <w:rPr>
          <w:rFonts w:hint="eastAsia" w:ascii="宋体" w:hAnsi="宋体" w:eastAsia="宋体" w:cs="宋体"/>
          <w:b w:val="0"/>
          <w:bCs w:val="0"/>
          <w:color w:val="auto"/>
          <w:sz w:val="24"/>
          <w:szCs w:val="24"/>
          <w:highlight w:val="none"/>
          <w:lang w:val="en-US"/>
        </w:rPr>
        <w:t>。</w:t>
      </w:r>
    </w:p>
    <w:p>
      <w:pPr>
        <w:pStyle w:val="43"/>
        <w:numPr>
          <w:ilvl w:val="-1"/>
          <w:numId w:val="0"/>
        </w:numPr>
        <w:bidi w:val="0"/>
        <w:spacing w:line="52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1.演示时间：每家</w:t>
      </w:r>
      <w:r>
        <w:rPr>
          <w:rFonts w:hint="eastAsia" w:cs="宋体"/>
          <w:color w:val="auto"/>
          <w:highlight w:val="none"/>
          <w:lang w:val="en-US" w:eastAsia="zh-CN"/>
        </w:rPr>
        <w:t>供应商</w:t>
      </w:r>
      <w:r>
        <w:rPr>
          <w:rFonts w:hint="eastAsia" w:ascii="宋体" w:hAnsi="宋体" w:eastAsia="宋体" w:cs="宋体"/>
          <w:color w:val="auto"/>
          <w:highlight w:val="none"/>
          <w:lang w:val="en-US" w:eastAsia="zh-CN"/>
        </w:rPr>
        <w:t>演示时间不超过20分钟，演示前不预留准备时间，各供应商应提前做好演示准备。</w:t>
      </w:r>
    </w:p>
    <w:p>
      <w:pPr>
        <w:pStyle w:val="43"/>
        <w:numPr>
          <w:ilvl w:val="-1"/>
          <w:numId w:val="0"/>
        </w:numPr>
        <w:bidi w:val="0"/>
        <w:spacing w:line="52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演示流程：①供应商通过本项目资格性、符合性审查；②现场抽签方式确定演示顺序；③演示的人员应携带授权委托书，同时应不超过2人；④演示设备由供应商自行携带；⑤演示环境由供应商自行搭建，演示现场只提供投影仪、供电、展台设备；⑥供应商根据项目情况和自身能力进行演示。</w:t>
      </w:r>
    </w:p>
    <w:p>
      <w:pPr>
        <w:pStyle w:val="43"/>
        <w:numPr>
          <w:ilvl w:val="-1"/>
          <w:numId w:val="0"/>
        </w:numPr>
        <w:bidi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3.演示注意事项：①演示期间供应商应服从采购代理机构的安排，遵守评审现场纪律和相关规定。②采购监督人员对本项目全程进行监督，对供应商扰乱评审现场秩序，违反评审现场纪律的情形将依法上报</w:t>
      </w:r>
      <w:r>
        <w:rPr>
          <w:rFonts w:hint="eastAsia" w:cs="宋体"/>
          <w:color w:val="auto"/>
          <w:highlight w:val="none"/>
          <w:lang w:val="en-US" w:eastAsia="zh-CN"/>
        </w:rPr>
        <w:t>相关</w:t>
      </w:r>
      <w:r>
        <w:rPr>
          <w:rFonts w:hint="eastAsia" w:ascii="宋体" w:hAnsi="宋体" w:eastAsia="宋体" w:cs="宋体"/>
          <w:color w:val="auto"/>
          <w:highlight w:val="none"/>
          <w:lang w:val="en-US" w:eastAsia="zh-CN"/>
        </w:rPr>
        <w:t>部门处理。</w:t>
      </w:r>
    </w:p>
    <w:p>
      <w:pPr>
        <w:pStyle w:val="47"/>
        <w:pageBreakBefore w:val="0"/>
        <w:kinsoku/>
        <w:overflowPunct/>
        <w:autoSpaceDE/>
        <w:autoSpaceDN/>
        <w:bidi w:val="0"/>
        <w:spacing w:line="52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注意：</w:t>
      </w:r>
      <w:r>
        <w:rPr>
          <w:rFonts w:hint="eastAsia" w:ascii="宋体" w:hAnsi="宋体" w:eastAsia="宋体" w:cs="宋体"/>
          <w:color w:val="auto"/>
          <w:highlight w:val="none"/>
          <w:lang w:val="en-US" w:eastAsia="zh-CN"/>
        </w:rPr>
        <w:t>①本章“技术及服务要求”中带“▲”号项目</w:t>
      </w:r>
      <w:r>
        <w:rPr>
          <w:rFonts w:hint="eastAsia" w:ascii="宋体" w:hAnsi="宋体" w:eastAsia="宋体" w:cs="宋体"/>
          <w:color w:val="auto"/>
          <w:highlight w:val="none"/>
        </w:rPr>
        <w:t>为演示内容，如未满足将根据评分办法规定分别进行扣分</w:t>
      </w:r>
      <w:r>
        <w:rPr>
          <w:rFonts w:hint="eastAsia" w:ascii="宋体" w:hAnsi="宋体" w:eastAsia="宋体" w:cs="宋体"/>
          <w:color w:val="auto"/>
          <w:highlight w:val="none"/>
          <w:lang w:val="en-US" w:eastAsia="zh-CN"/>
        </w:rPr>
        <w:t>。</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②本章带“★”号条款为实质性要求，供应商须根据磋商文件具体要求提供相应证明材料，若磋商文件未要求提供具体证明材料的以供应商提供的“实质性要求承诺”响应为准，否则将被视为无效响应。</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90"/>
    <w:bookmarkEnd w:id="391"/>
    <w:bookmarkEnd w:id="392"/>
    <w:p>
      <w:pPr>
        <w:pStyle w:val="48"/>
        <w:spacing w:before="120" w:after="120"/>
        <w:rPr>
          <w:rFonts w:hint="eastAsia" w:ascii="宋体" w:hAnsi="宋体" w:eastAsia="宋体" w:cs="宋体"/>
          <w:color w:val="auto"/>
          <w:highlight w:val="none"/>
        </w:rPr>
      </w:pPr>
      <w:bookmarkStart w:id="550" w:name="_Hlt101846155"/>
      <w:bookmarkEnd w:id="550"/>
      <w:bookmarkStart w:id="551" w:name="_Toc19779"/>
      <w:bookmarkStart w:id="552" w:name="_Toc509579145"/>
      <w:bookmarkStart w:id="553" w:name="_Toc12577"/>
      <w:bookmarkStart w:id="554" w:name="_Toc4968"/>
      <w:bookmarkStart w:id="555" w:name="_Toc41037907"/>
      <w:bookmarkStart w:id="556" w:name="_Toc25959"/>
      <w:bookmarkStart w:id="557" w:name="_Toc25435"/>
      <w:bookmarkStart w:id="558" w:name="_Toc308188198"/>
      <w:bookmarkStart w:id="559" w:name="_Toc319440188"/>
      <w:bookmarkStart w:id="560" w:name="_Toc309897563"/>
      <w:bookmarkStart w:id="561" w:name="_Toc308084645"/>
      <w:bookmarkStart w:id="562" w:name="_Toc183682415"/>
      <w:bookmarkStart w:id="563" w:name="_Toc26923"/>
      <w:bookmarkStart w:id="564" w:name="_Toc3881"/>
      <w:bookmarkStart w:id="565" w:name="_Toc327196339"/>
      <w:bookmarkStart w:id="566" w:name="_Toc21302"/>
      <w:bookmarkStart w:id="567" w:name="_Toc11039"/>
      <w:bookmarkStart w:id="568" w:name="_Toc4553"/>
      <w:bookmarkStart w:id="569" w:name="_Toc217446097"/>
      <w:bookmarkStart w:id="570" w:name="_Toc319439946"/>
      <w:bookmarkStart w:id="571" w:name="_Toc483"/>
      <w:bookmarkStart w:id="572" w:name="_Toc208849007"/>
      <w:bookmarkStart w:id="573" w:name="_Toc307564896"/>
      <w:bookmarkStart w:id="574" w:name="_Toc2232"/>
      <w:bookmarkStart w:id="575" w:name="_Toc307501154"/>
      <w:bookmarkStart w:id="576" w:name="_Toc183582280"/>
      <w:bookmarkStart w:id="577" w:name="_Toc1543"/>
      <w:r>
        <w:rPr>
          <w:rFonts w:hint="eastAsia" w:ascii="宋体" w:hAnsi="宋体" w:eastAsia="宋体" w:cs="宋体"/>
          <w:color w:val="auto"/>
          <w:highlight w:val="none"/>
        </w:rPr>
        <w:t>磋商内容、磋商过程中可实质性变动的内容</w:t>
      </w:r>
      <w:bookmarkEnd w:id="551"/>
      <w:bookmarkEnd w:id="552"/>
      <w:bookmarkEnd w:id="553"/>
      <w:bookmarkEnd w:id="554"/>
      <w:bookmarkEnd w:id="555"/>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针对本项目采购文件第五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8"/>
        <w:numPr>
          <w:ilvl w:val="0"/>
          <w:numId w:val="24"/>
        </w:numPr>
        <w:spacing w:before="120" w:after="120"/>
        <w:rPr>
          <w:rFonts w:hint="eastAsia" w:ascii="宋体" w:hAnsi="宋体" w:eastAsia="宋体" w:cs="宋体"/>
          <w:color w:val="auto"/>
          <w:highlight w:val="none"/>
        </w:rPr>
      </w:pPr>
      <w:bookmarkStart w:id="578" w:name="_Toc12716"/>
      <w:bookmarkStart w:id="579" w:name="_Toc19123"/>
      <w:r>
        <w:rPr>
          <w:rFonts w:hint="eastAsia" w:ascii="宋体" w:hAnsi="宋体" w:eastAsia="宋体" w:cs="宋体"/>
          <w:color w:val="auto"/>
          <w:highlight w:val="none"/>
        </w:rPr>
        <w:t>磋商程序</w:t>
      </w:r>
      <w:bookmarkEnd w:id="578"/>
      <w:bookmarkEnd w:id="579"/>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Pr>
        <w:pStyle w:val="46"/>
        <w:spacing w:line="520" w:lineRule="exact"/>
        <w:rPr>
          <w:rFonts w:hint="eastAsia" w:ascii="宋体" w:hAnsi="宋体" w:eastAsia="宋体" w:cs="宋体"/>
          <w:color w:val="auto"/>
          <w:highlight w:val="none"/>
        </w:rPr>
      </w:pPr>
      <w:bookmarkStart w:id="580" w:name="_Toc28956"/>
      <w:r>
        <w:rPr>
          <w:rFonts w:hint="eastAsia" w:ascii="宋体" w:hAnsi="宋体" w:eastAsia="宋体" w:cs="宋体"/>
          <w:color w:val="auto"/>
          <w:highlight w:val="none"/>
        </w:rPr>
        <w:t>参照《中华人民共和国政府采购法》《中华人民共和国政府采购法实施条例》及《政府采购竞争性磋商采购方式管理暂行办法》等法律法规并结合本次采购项目的特点制定本评审程序、评审方法、评审标准。</w:t>
      </w:r>
    </w:p>
    <w:p>
      <w:pPr>
        <w:pStyle w:val="35"/>
        <w:spacing w:line="520" w:lineRule="exact"/>
        <w:ind w:firstLine="482"/>
        <w:rPr>
          <w:rFonts w:hint="eastAsia" w:ascii="宋体" w:hAnsi="宋体" w:eastAsia="宋体" w:cs="宋体"/>
          <w:color w:val="auto"/>
          <w:highlight w:val="none"/>
        </w:rPr>
      </w:pPr>
      <w:bookmarkStart w:id="581" w:name="_Toc24832"/>
      <w:bookmarkStart w:id="582" w:name="_Toc31869"/>
      <w:bookmarkStart w:id="583" w:name="_Toc7941"/>
      <w:r>
        <w:rPr>
          <w:rFonts w:hint="eastAsia" w:ascii="宋体" w:hAnsi="宋体" w:eastAsia="宋体" w:cs="宋体"/>
          <w:color w:val="auto"/>
          <w:highlight w:val="none"/>
        </w:rPr>
        <w:t>磋商小组及专家组成</w:t>
      </w:r>
      <w:bookmarkEnd w:id="581"/>
      <w:bookmarkEnd w:id="582"/>
      <w:bookmarkEnd w:id="583"/>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参照《政府采购竞争性磋商采购方式管理暂行办法》等规定，结合本次采购项目的实际情况依法组建磋商小组，负责本次采购项目的竞争性磋商和评审工作。磋商小组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35"/>
        <w:spacing w:line="520" w:lineRule="exact"/>
        <w:ind w:firstLine="482"/>
        <w:rPr>
          <w:rFonts w:hint="eastAsia" w:ascii="宋体" w:hAnsi="宋体" w:eastAsia="宋体" w:cs="宋体"/>
          <w:color w:val="auto"/>
          <w:highlight w:val="none"/>
        </w:rPr>
      </w:pPr>
      <w:bookmarkStart w:id="584" w:name="_Toc6662"/>
      <w:bookmarkStart w:id="585" w:name="_Toc10809"/>
      <w:bookmarkStart w:id="586" w:name="_Toc15935"/>
      <w:bookmarkStart w:id="587" w:name="_Toc15700"/>
      <w:bookmarkStart w:id="588" w:name="_Toc2442"/>
      <w:bookmarkStart w:id="589" w:name="_Toc22802"/>
      <w:r>
        <w:rPr>
          <w:rFonts w:hint="eastAsia" w:ascii="宋体" w:hAnsi="宋体" w:eastAsia="宋体" w:cs="宋体"/>
          <w:color w:val="auto"/>
          <w:highlight w:val="none"/>
        </w:rPr>
        <w:t>磋商组织</w:t>
      </w:r>
      <w:bookmarkEnd w:id="584"/>
      <w:bookmarkEnd w:id="585"/>
      <w:bookmarkEnd w:id="586"/>
      <w:bookmarkEnd w:id="587"/>
      <w:bookmarkEnd w:id="588"/>
      <w:bookmarkEnd w:id="589"/>
    </w:p>
    <w:p>
      <w:pPr>
        <w:pStyle w:val="46"/>
        <w:spacing w:line="520" w:lineRule="exact"/>
        <w:rPr>
          <w:rFonts w:hint="eastAsia" w:ascii="宋体" w:hAnsi="宋体" w:eastAsia="宋体" w:cs="宋体"/>
          <w:color w:val="auto"/>
          <w:highlight w:val="none"/>
          <w:lang w:val="zh-CN"/>
        </w:rPr>
      </w:pPr>
      <w:r>
        <w:rPr>
          <w:rFonts w:hint="eastAsia" w:ascii="宋体" w:hAnsi="宋体" w:eastAsia="宋体" w:cs="宋体"/>
          <w:color w:val="auto"/>
          <w:highlight w:val="none"/>
        </w:rPr>
        <w:t>(一)</w:t>
      </w:r>
      <w:r>
        <w:rPr>
          <w:rFonts w:hint="eastAsia" w:ascii="宋体" w:hAnsi="宋体" w:eastAsia="宋体" w:cs="宋体"/>
          <w:color w:val="auto"/>
          <w:highlight w:val="none"/>
          <w:lang w:val="zh-CN"/>
        </w:rPr>
        <w:t>磋商工作由采购代理机构组织，具体磋商事务由依法组建的磋商小组负责。</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二)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(三)磋商文件内容违反国家有关强制性规定的，磋商小组应当停止评审并向采购人或者采购代理机构说明情况(注明法律法规依据)。</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(四)磋商小组按照磋商文件规定的评审程序、评审方法和评审标准进行独立评审，并履行下列职责：</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1.熟悉和理解磋商文件，确定磋商文件内容是否违反国家有关强制性规定或者磋商文件存在歧义、重大缺陷，根据需要书面要求采购人、采购代理机构对磋商文件作出解释。采购代理机构的解释不得改变磋商文件的原义或者影响公平、公正，解释事项如果涉及供应商权益的以有利于供应商的原则进行解释。</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2.审查供应商响应文件是否满足磋商文件要求，并作出公正评价；</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3.根据需要书面要求供应商对响应文件中含义不明确、同类问题表述不一致或者有明显文字和计算错误的内容等作出必要的澄清、说明或者更正，并给予供应商必要的反馈时间；</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4.推荐成交供应商，或者受采购人委托确定成交供应商；</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5.起草评审报告并进行签署；</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6.向采购人、采购代理机构或者其他监督部门报告非法干预评审工作的行为；</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7.法律、法规和规章规定的其他职责。</w:t>
      </w:r>
    </w:p>
    <w:p>
      <w:pPr>
        <w:pStyle w:val="35"/>
        <w:spacing w:line="520" w:lineRule="exact"/>
        <w:ind w:firstLine="482"/>
        <w:rPr>
          <w:rFonts w:hint="eastAsia" w:ascii="宋体" w:hAnsi="宋体" w:eastAsia="宋体" w:cs="宋体"/>
          <w:color w:val="auto"/>
          <w:highlight w:val="none"/>
        </w:rPr>
      </w:pPr>
      <w:bookmarkStart w:id="590" w:name="_Toc17376"/>
      <w:bookmarkStart w:id="591" w:name="_Toc30112"/>
      <w:bookmarkStart w:id="592" w:name="_Toc10940"/>
      <w:bookmarkStart w:id="593" w:name="_Toc25873"/>
      <w:bookmarkStart w:id="594" w:name="_Toc19418"/>
      <w:bookmarkStart w:id="595" w:name="_Toc17063"/>
      <w:r>
        <w:rPr>
          <w:rFonts w:hint="eastAsia" w:ascii="宋体" w:hAnsi="宋体" w:eastAsia="宋体" w:cs="宋体"/>
          <w:color w:val="auto"/>
          <w:highlight w:val="none"/>
        </w:rPr>
        <w:t>评审程序</w:t>
      </w:r>
      <w:bookmarkEnd w:id="590"/>
      <w:bookmarkEnd w:id="591"/>
      <w:bookmarkEnd w:id="592"/>
      <w:bookmarkEnd w:id="593"/>
      <w:bookmarkEnd w:id="594"/>
      <w:bookmarkEnd w:id="595"/>
    </w:p>
    <w:p>
      <w:pPr>
        <w:pStyle w:val="49"/>
        <w:spacing w:line="520" w:lineRule="exact"/>
        <w:ind w:firstLine="482"/>
        <w:rPr>
          <w:rFonts w:hint="eastAsia" w:ascii="宋体" w:hAnsi="宋体" w:eastAsia="宋体" w:cs="宋体"/>
          <w:color w:val="auto"/>
          <w:highlight w:val="none"/>
        </w:rPr>
      </w:pPr>
      <w:bookmarkStart w:id="596" w:name="_Toc24712"/>
      <w:bookmarkStart w:id="597" w:name="_Toc3958"/>
      <w:bookmarkStart w:id="598" w:name="_Toc27588"/>
      <w:bookmarkStart w:id="599" w:name="_Toc5706"/>
      <w:bookmarkStart w:id="600" w:name="_Toc18522"/>
      <w:bookmarkStart w:id="601" w:name="_Toc2499"/>
      <w:r>
        <w:rPr>
          <w:rFonts w:hint="eastAsia" w:ascii="宋体" w:hAnsi="宋体" w:eastAsia="宋体" w:cs="宋体"/>
          <w:color w:val="auto"/>
          <w:highlight w:val="none"/>
        </w:rPr>
        <w:t>供应商资格审查</w:t>
      </w:r>
      <w:bookmarkEnd w:id="596"/>
      <w:bookmarkEnd w:id="597"/>
      <w:bookmarkEnd w:id="598"/>
      <w:bookmarkEnd w:id="599"/>
      <w:bookmarkEnd w:id="600"/>
      <w:bookmarkEnd w:id="601"/>
    </w:p>
    <w:p>
      <w:pPr>
        <w:pStyle w:val="63"/>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在</w:t>
      </w:r>
      <w:r>
        <w:rPr>
          <w:rFonts w:hint="eastAsia" w:ascii="宋体" w:hAnsi="宋体" w:eastAsia="宋体" w:cs="宋体"/>
          <w:color w:val="auto"/>
          <w:highlight w:val="none"/>
        </w:rPr>
        <w:t>开启时间</w:t>
      </w:r>
      <w:r>
        <w:rPr>
          <w:rFonts w:hint="eastAsia" w:ascii="宋体" w:hAnsi="宋体" w:eastAsia="宋体" w:cs="宋体"/>
          <w:color w:val="auto"/>
          <w:highlight w:val="none"/>
          <w:lang w:val="zh-CN"/>
        </w:rPr>
        <w:t>后，采购代理机构组织磋商小组对递交响应文件的供应商进行资格审查，确定参加磋商的供应商名单。</w:t>
      </w:r>
    </w:p>
    <w:p>
      <w:pPr>
        <w:pStyle w:val="63"/>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确定参加磋商的供应商数量采用合格制，即磋商小组对各供应商资格审查后，凡符合本竞争性磋商文件规定资格条件的，均进入参加磋商的供应商名单。</w:t>
      </w:r>
    </w:p>
    <w:p>
      <w:pPr>
        <w:pStyle w:val="63"/>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评审委员会资格审查结束后，应当向采购人、采购代理机构出具资格审查报告，确定参加磋商的供应商名单，并说明未通过资格审查的供应商未通过的原因。</w:t>
      </w:r>
    </w:p>
    <w:p>
      <w:pPr>
        <w:pStyle w:val="63"/>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63"/>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ascii="宋体" w:hAnsi="宋体" w:eastAsia="宋体" w:cs="宋体"/>
          <w:color w:val="auto"/>
          <w:highlight w:val="none"/>
        </w:rPr>
        <w:t>同时在磋商结果公示中向社会公开。</w:t>
      </w:r>
    </w:p>
    <w:p>
      <w:pPr>
        <w:pStyle w:val="49"/>
        <w:spacing w:line="520" w:lineRule="exact"/>
        <w:ind w:firstLine="482"/>
        <w:rPr>
          <w:rFonts w:hint="eastAsia" w:ascii="宋体" w:hAnsi="宋体" w:eastAsia="宋体" w:cs="宋体"/>
          <w:color w:val="auto"/>
          <w:highlight w:val="none"/>
        </w:rPr>
      </w:pPr>
      <w:bookmarkStart w:id="602" w:name="_Toc26427"/>
      <w:bookmarkStart w:id="603" w:name="_Toc13835"/>
      <w:bookmarkStart w:id="604" w:name="_Toc11643"/>
      <w:bookmarkStart w:id="605" w:name="_Toc2214"/>
      <w:bookmarkStart w:id="606" w:name="_Toc28320"/>
      <w:bookmarkStart w:id="607" w:name="_Toc17799"/>
      <w:r>
        <w:rPr>
          <w:rFonts w:hint="eastAsia" w:ascii="宋体" w:hAnsi="宋体" w:eastAsia="宋体" w:cs="宋体"/>
          <w:color w:val="auto"/>
          <w:highlight w:val="none"/>
        </w:rPr>
        <w:t>磋商</w:t>
      </w:r>
      <w:bookmarkEnd w:id="602"/>
      <w:bookmarkEnd w:id="603"/>
      <w:bookmarkEnd w:id="604"/>
      <w:bookmarkEnd w:id="605"/>
      <w:bookmarkEnd w:id="606"/>
      <w:bookmarkEnd w:id="607"/>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资格审查结束后，采购人、采购代理机构应当组织评审委员会按照磋商文件的规定与通过资格审查的供应商分别进行磋商。磋商顺序以现场抽签的方式确定。磋商过程中，磋商小组可以根据磋商情况调整磋商轮次。每轮磋商开始前，磋商小组应根据磋商文件的规定，并结合各供应商的响应文件拟定磋商内容。</w:t>
      </w:r>
    </w:p>
    <w:p>
      <w:pPr>
        <w:pStyle w:val="63"/>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rPr>
        <w:t>磋商过程中，</w:t>
      </w:r>
      <w:r>
        <w:rPr>
          <w:rFonts w:hint="eastAsia" w:ascii="宋体" w:hAnsi="宋体" w:eastAsia="宋体" w:cs="宋体"/>
          <w:color w:val="auto"/>
          <w:highlight w:val="none"/>
          <w:lang w:val="zh-CN"/>
        </w:rPr>
        <w:t>磋商小组对响应文件的有效性、完整性和响应程度进行审查，审查中发现供应商响应文件属于下列情况之一的，应按照无效响应文件处理：</w:t>
      </w:r>
    </w:p>
    <w:p>
      <w:pPr>
        <w:pStyle w:val="64"/>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响应文件的语言、计量单位、知识产权、磋商有效期等不符合磋商文件的规定，影响磋商小组评判的；</w:t>
      </w:r>
    </w:p>
    <w:p>
      <w:pPr>
        <w:pStyle w:val="63"/>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但磋商小组对响应文件签署、盖章等进行审查过程中，有下列情形的，磋商小组应当评定为不影响整个响应文件有效性和采购活动公平竞争，并通过响应文件的有效性审查：</w:t>
      </w:r>
    </w:p>
    <w:p>
      <w:pPr>
        <w:pStyle w:val="64"/>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响应文件未按照磋商文件要求进行分装或者统装的；</w:t>
      </w:r>
    </w:p>
    <w:p>
      <w:pPr>
        <w:pStyle w:val="64"/>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响应文件存在个别地方(总数不能超过2个)没有法定代表人/单位负责人签字，但有法定代表人/单位负责人的私人印章或者有效授权代理人签字的；</w:t>
      </w:r>
    </w:p>
    <w:p>
      <w:pPr>
        <w:pStyle w:val="64"/>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响应文件除磋商文件明确要求加盖单位(法人)公章的以外，其他地方以相关专用章加盖的；</w:t>
      </w:r>
    </w:p>
    <w:p>
      <w:pPr>
        <w:pStyle w:val="64"/>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以骑缝章的形式代替响应文件内容逐页盖章的(但是骑缝章模糊不清，印章名称无法辨认的除外)。</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lang w:val="zh-CN"/>
        </w:rPr>
        <w:t>磋商小组对所有响应文件的有效性、完整性和响应程度进行审查后，向采购代理机构出具有效性、完整性和响应程度审查</w:t>
      </w:r>
      <w:r>
        <w:rPr>
          <w:rFonts w:hint="eastAsia" w:ascii="宋体" w:hAnsi="宋体" w:eastAsia="宋体" w:cs="宋体"/>
          <w:color w:val="auto"/>
          <w:highlight w:val="none"/>
        </w:rPr>
        <w:t>意见</w:t>
      </w:r>
      <w:r>
        <w:rPr>
          <w:rFonts w:hint="eastAsia" w:ascii="宋体" w:hAnsi="宋体" w:eastAsia="宋体" w:cs="宋体"/>
          <w:color w:val="auto"/>
          <w:highlight w:val="none"/>
          <w:lang w:val="zh-CN"/>
        </w:rPr>
        <w:t>，确定继续磋商的供应商名单。没有通过有效性、完整性和响应程度审查的供应商，磋商小组应在有效性、完整性和响应程度审查</w:t>
      </w:r>
      <w:r>
        <w:rPr>
          <w:rFonts w:hint="eastAsia" w:ascii="宋体" w:hAnsi="宋体" w:eastAsia="宋体" w:cs="宋体"/>
          <w:color w:val="auto"/>
          <w:highlight w:val="none"/>
        </w:rPr>
        <w:t>意见</w:t>
      </w:r>
      <w:r>
        <w:rPr>
          <w:rFonts w:hint="eastAsia" w:ascii="宋体" w:hAnsi="宋体" w:eastAsia="宋体" w:cs="宋体"/>
          <w:color w:val="auto"/>
          <w:highlight w:val="none"/>
          <w:lang w:val="zh-CN"/>
        </w:rPr>
        <w:t>中说明原因。</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本项目可能实质性变动的内容：采购需求中的技术、服务要求以及合同草案条款。</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对磋商文件作出的实质性变动是磋商文件的有效组成部分，评审委员会应当将变动的内容书面通知所有参加磋商的供应商，做好书面记录。</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评审委员会变动磋商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磋商过程中，磋商的任何一方不得透露与磋商有关的其他供应商的技术资料、价格和其他信息。</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供应商重新提交响应文件的，响应文件应当按照前款规定签字确认或者加盖公章，否则无效。</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评审委员会经与供应商磋商和对供应商响应文件审查后，供应商响应文件未实质性响应磋商文件的，评审委员会应当对其响应文件按无效处理，并书面告知供应商，说明理由。</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磋商过程中，评审专家应当遵守评审工作纪律，不得泄露评审情况和评审中获悉的商业秘密。磋商小组在评审过程中发现供应商有行贿、提供虚假材料或者串通等违法行为的，应当及时向相关部门报告。</w:t>
      </w:r>
    </w:p>
    <w:p>
      <w:pPr>
        <w:pStyle w:val="49"/>
        <w:spacing w:line="520" w:lineRule="exact"/>
        <w:ind w:firstLine="482"/>
        <w:rPr>
          <w:rFonts w:hint="eastAsia" w:ascii="宋体" w:hAnsi="宋体" w:eastAsia="宋体" w:cs="宋体"/>
          <w:color w:val="auto"/>
          <w:highlight w:val="none"/>
        </w:rPr>
      </w:pPr>
      <w:bookmarkStart w:id="608" w:name="_Toc24251"/>
      <w:bookmarkStart w:id="609" w:name="_Toc29690"/>
      <w:bookmarkStart w:id="610" w:name="_Toc2047"/>
      <w:bookmarkStart w:id="611" w:name="_Toc6558"/>
      <w:bookmarkStart w:id="612" w:name="_Toc29996"/>
      <w:bookmarkStart w:id="613" w:name="_Toc5408"/>
      <w:r>
        <w:rPr>
          <w:rFonts w:hint="eastAsia" w:ascii="宋体" w:hAnsi="宋体" w:eastAsia="宋体" w:cs="宋体"/>
          <w:color w:val="auto"/>
          <w:highlight w:val="none"/>
        </w:rPr>
        <w:t>采购活动终止</w:t>
      </w:r>
      <w:bookmarkEnd w:id="608"/>
      <w:bookmarkEnd w:id="609"/>
      <w:bookmarkEnd w:id="610"/>
      <w:bookmarkEnd w:id="611"/>
      <w:bookmarkEnd w:id="612"/>
      <w:bookmarkEnd w:id="613"/>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因情况变化，不再符合规定的竞争性磋商采购方式适用情形的；</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在采购过程中符合要求的供应商或者最后报价未超过采购预算或采购最高限价的供应商不足三家的；</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出现影响采购公正的违法、违规行为的；</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其他无法继续开展磋商或者无法成交的情形。</w:t>
      </w:r>
    </w:p>
    <w:p>
      <w:pPr>
        <w:pStyle w:val="47"/>
        <w:spacing w:line="520" w:lineRule="exact"/>
        <w:ind w:firstLine="482"/>
        <w:rPr>
          <w:rFonts w:hint="eastAsia" w:ascii="宋体" w:hAnsi="宋体" w:eastAsia="宋体" w:cs="宋体"/>
          <w:color w:val="auto"/>
          <w:highlight w:val="none"/>
        </w:rPr>
      </w:pPr>
      <w:r>
        <w:rPr>
          <w:rFonts w:hint="eastAsia" w:ascii="宋体" w:hAnsi="宋体" w:eastAsia="宋体" w:cs="宋体"/>
          <w:color w:val="auto"/>
          <w:highlight w:val="none"/>
        </w:rPr>
        <w:t>注：终止后，采购代理机构应在</w:t>
      </w:r>
      <w:r>
        <w:rPr>
          <w:rFonts w:hint="eastAsia" w:ascii="宋体" w:hAnsi="宋体" w:eastAsia="宋体" w:cs="宋体"/>
          <w:color w:val="auto"/>
          <w:highlight w:val="none"/>
          <w:lang w:eastAsia="zh-CN"/>
        </w:rPr>
        <w:t>“中国招标投标公共服务平台”</w:t>
      </w:r>
      <w:r>
        <w:rPr>
          <w:rFonts w:hint="eastAsia" w:ascii="宋体" w:hAnsi="宋体" w:eastAsia="宋体" w:cs="宋体"/>
          <w:color w:val="auto"/>
          <w:highlight w:val="none"/>
        </w:rPr>
        <w:t>公告，并公告终止的情形。</w:t>
      </w:r>
    </w:p>
    <w:p>
      <w:pPr>
        <w:pStyle w:val="49"/>
        <w:spacing w:line="520" w:lineRule="exact"/>
        <w:ind w:firstLine="482"/>
        <w:rPr>
          <w:rFonts w:hint="eastAsia" w:ascii="宋体" w:hAnsi="宋体" w:eastAsia="宋体" w:cs="宋体"/>
          <w:color w:val="auto"/>
          <w:highlight w:val="none"/>
        </w:rPr>
      </w:pPr>
      <w:bookmarkStart w:id="614" w:name="_Toc13157"/>
      <w:bookmarkStart w:id="615" w:name="_Toc31944"/>
      <w:bookmarkStart w:id="616" w:name="_Toc11252"/>
      <w:bookmarkStart w:id="617" w:name="_Toc32123"/>
      <w:bookmarkStart w:id="618" w:name="_Toc3450"/>
      <w:bookmarkStart w:id="619" w:name="_Toc20224"/>
      <w:r>
        <w:rPr>
          <w:rFonts w:hint="eastAsia" w:ascii="宋体" w:hAnsi="宋体" w:eastAsia="宋体" w:cs="宋体"/>
          <w:color w:val="auto"/>
          <w:highlight w:val="none"/>
        </w:rPr>
        <w:t>报价</w:t>
      </w:r>
      <w:bookmarkEnd w:id="614"/>
      <w:bookmarkEnd w:id="615"/>
      <w:bookmarkEnd w:id="616"/>
      <w:bookmarkEnd w:id="617"/>
      <w:bookmarkEnd w:id="618"/>
      <w:bookmarkEnd w:id="619"/>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文件能够详细列明采购标的的技术、服务要求的，磋商结束后，磋商小组应当要求所有实质性响应的供应商在规定时间内提交最后报价(格式由采购代理机构现场提供)，提交最后报价的供应商不得少于3家。已提交响应文件的供应商，在提交最后报价之前，可以根据磋商情况退出磋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最后报价中的算术错误将按以下方法修正：响应文件大写金额和小写金额不一致的，以大写金额为准，但大写金额文字存在错误的，应当先对大写金额的文字错误进行澄清、说明或者更正，再行修正；</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总价金额与按单价汇总金额不一致的，以单价金额计算结果为准，但单价或者单价汇总金额存在数字或者文字错误的，应当先对数字或者文字错误进行澄清、说明或者更正，再行修正；</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单价金额小数点或者百分比有明显错位的，以总价为准，修正单价。</w:t>
      </w:r>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9"/>
        <w:spacing w:line="520" w:lineRule="exact"/>
        <w:ind w:firstLine="482"/>
        <w:rPr>
          <w:rFonts w:hint="eastAsia" w:ascii="宋体" w:hAnsi="宋体" w:eastAsia="宋体" w:cs="宋体"/>
          <w:color w:val="auto"/>
          <w:highlight w:val="none"/>
        </w:rPr>
      </w:pPr>
      <w:bookmarkStart w:id="620" w:name="_Toc15902"/>
      <w:bookmarkStart w:id="621" w:name="_Toc20156"/>
      <w:bookmarkStart w:id="622" w:name="_Toc8686"/>
      <w:bookmarkStart w:id="623" w:name="_Toc24441"/>
      <w:bookmarkStart w:id="624" w:name="_Toc4368"/>
      <w:bookmarkStart w:id="625" w:name="_Toc31033"/>
      <w:r>
        <w:rPr>
          <w:rFonts w:hint="eastAsia" w:ascii="宋体" w:hAnsi="宋体" w:eastAsia="宋体" w:cs="宋体"/>
          <w:color w:val="auto"/>
          <w:highlight w:val="none"/>
        </w:rPr>
        <w:t>评审方法</w:t>
      </w:r>
      <w:bookmarkEnd w:id="620"/>
      <w:bookmarkEnd w:id="621"/>
      <w:bookmarkEnd w:id="622"/>
      <w:bookmarkEnd w:id="623"/>
      <w:bookmarkEnd w:id="624"/>
      <w:bookmarkEnd w:id="625"/>
    </w:p>
    <w:p>
      <w:pPr>
        <w:pStyle w:val="46"/>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w:t>
      </w:r>
    </w:p>
    <w:p>
      <w:pPr>
        <w:pStyle w:val="63"/>
        <w:numPr>
          <w:ilvl w:val="3"/>
          <w:numId w:val="0"/>
        </w:numPr>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49"/>
        <w:spacing w:line="520" w:lineRule="exact"/>
        <w:ind w:firstLine="482"/>
        <w:rPr>
          <w:rFonts w:hint="eastAsia" w:ascii="宋体" w:hAnsi="宋体" w:eastAsia="宋体" w:cs="宋体"/>
          <w:color w:val="auto"/>
          <w:highlight w:val="none"/>
        </w:rPr>
      </w:pPr>
      <w:bookmarkStart w:id="626" w:name="_Toc28947"/>
      <w:bookmarkStart w:id="627" w:name="_Toc27734"/>
      <w:bookmarkStart w:id="628" w:name="_Toc21694"/>
      <w:bookmarkStart w:id="629" w:name="_Toc29323"/>
      <w:bookmarkStart w:id="630" w:name="_Toc1010"/>
      <w:bookmarkStart w:id="631" w:name="_Toc4427"/>
      <w:r>
        <w:rPr>
          <w:rFonts w:hint="eastAsia" w:ascii="宋体" w:hAnsi="宋体" w:eastAsia="宋体" w:cs="宋体"/>
          <w:color w:val="auto"/>
          <w:highlight w:val="none"/>
        </w:rPr>
        <w:t>评审标准</w:t>
      </w:r>
      <w:bookmarkEnd w:id="626"/>
      <w:bookmarkEnd w:id="627"/>
      <w:bookmarkEnd w:id="628"/>
      <w:bookmarkEnd w:id="629"/>
      <w:bookmarkEnd w:id="630"/>
      <w:bookmarkEnd w:id="631"/>
    </w:p>
    <w:tbl>
      <w:tblPr>
        <w:tblStyle w:val="23"/>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284"/>
        <w:gridCol w:w="874"/>
        <w:gridCol w:w="6030"/>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72" w:type="pct"/>
            <w:vAlign w:val="center"/>
          </w:tcPr>
          <w:p>
            <w:pPr>
              <w:autoSpaceDN w:val="0"/>
              <w:spacing w:line="360" w:lineRule="exact"/>
              <w:jc w:val="center"/>
              <w:rPr>
                <w:rFonts w:hint="eastAsia" w:ascii="宋体" w:hAnsi="宋体" w:eastAsia="宋体" w:cs="宋体"/>
                <w:b/>
                <w:color w:val="auto"/>
                <w:sz w:val="21"/>
                <w:szCs w:val="21"/>
                <w:highlight w:val="none"/>
              </w:rPr>
            </w:pPr>
            <w:bookmarkStart w:id="632" w:name="_Toc7651"/>
            <w:bookmarkStart w:id="633" w:name="_Toc10537"/>
            <w:r>
              <w:rPr>
                <w:rFonts w:hint="eastAsia" w:ascii="宋体" w:hAnsi="宋体" w:eastAsia="宋体" w:cs="宋体"/>
                <w:b/>
                <w:color w:val="auto"/>
                <w:sz w:val="21"/>
                <w:szCs w:val="21"/>
                <w:highlight w:val="none"/>
              </w:rPr>
              <w:t>序号</w:t>
            </w:r>
          </w:p>
        </w:tc>
        <w:tc>
          <w:tcPr>
            <w:tcW w:w="645" w:type="pct"/>
            <w:vAlign w:val="center"/>
          </w:tcPr>
          <w:p>
            <w:pPr>
              <w:autoSpaceDN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评分因素及权重</w:t>
            </w:r>
          </w:p>
        </w:tc>
        <w:tc>
          <w:tcPr>
            <w:tcW w:w="439" w:type="pct"/>
            <w:vAlign w:val="center"/>
          </w:tcPr>
          <w:p>
            <w:pPr>
              <w:autoSpaceDN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3030" w:type="pct"/>
            <w:vAlign w:val="center"/>
          </w:tcPr>
          <w:p>
            <w:pPr>
              <w:autoSpaceDN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512" w:type="pct"/>
            <w:vAlign w:val="center"/>
          </w:tcPr>
          <w:p>
            <w:pPr>
              <w:autoSpaceDN w:val="0"/>
              <w:spacing w:line="36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645" w:type="pct"/>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p>
        </w:tc>
        <w:tc>
          <w:tcPr>
            <w:tcW w:w="439" w:type="pct"/>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3030" w:type="pct"/>
            <w:vAlign w:val="center"/>
          </w:tcPr>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满足磋商文件要求且最后报价最低的供应商的价格为磋商基准价，其价格分为满分。其他供应商的价格分统一按照下列公式计算：</w:t>
            </w:r>
          </w:p>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%×100；</w:t>
            </w:r>
          </w:p>
          <w:p>
            <w:pPr>
              <w:spacing w:line="36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注：1.项目评审过程中，不得去掉最后报价中的最高报价和最低报价。</w:t>
            </w:r>
          </w:p>
          <w:p>
            <w:pPr>
              <w:spacing w:line="36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2.因落实政策进行价格调整的，以调整后的价格计算磋商基准价和最后报价。</w:t>
            </w:r>
          </w:p>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3.小微企业(和残疾人福利性单位、监狱企业视同小微企业)价格扣除按照磋商须知表的相关要求执行。</w:t>
            </w:r>
          </w:p>
        </w:tc>
        <w:tc>
          <w:tcPr>
            <w:tcW w:w="512" w:type="pct"/>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w:t>
            </w:r>
          </w:p>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pPr>
              <w:spacing w:line="360" w:lineRule="exact"/>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二</w:t>
            </w:r>
          </w:p>
        </w:tc>
        <w:tc>
          <w:tcPr>
            <w:tcW w:w="645" w:type="pct"/>
            <w:vAlign w:val="center"/>
          </w:tcPr>
          <w:p>
            <w:pPr>
              <w:spacing w:line="36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w:t>
            </w:r>
          </w:p>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w:t>
            </w:r>
          </w:p>
        </w:tc>
        <w:tc>
          <w:tcPr>
            <w:tcW w:w="439" w:type="pct"/>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3030" w:type="pct"/>
            <w:tcBorders>
              <w:bottom w:val="single" w:color="auto" w:sz="4" w:space="0"/>
            </w:tcBorders>
            <w:vAlign w:val="center"/>
          </w:tcPr>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供应商针对本项目提供的</w:t>
            </w:r>
            <w:r>
              <w:rPr>
                <w:rFonts w:hint="eastAsia" w:ascii="宋体" w:hAnsi="宋体" w:eastAsia="宋体" w:cs="宋体"/>
                <w:color w:val="auto"/>
                <w:sz w:val="21"/>
                <w:szCs w:val="21"/>
                <w:highlight w:val="none"/>
                <w:lang w:val="en-US" w:eastAsia="zh-CN"/>
              </w:rPr>
              <w:t>项目实施</w:t>
            </w:r>
            <w:r>
              <w:rPr>
                <w:rFonts w:hint="eastAsia" w:ascii="宋体" w:hAnsi="宋体" w:eastAsia="宋体" w:cs="宋体"/>
                <w:color w:val="auto"/>
                <w:sz w:val="21"/>
                <w:szCs w:val="21"/>
                <w:highlight w:val="none"/>
              </w:rPr>
              <w:t>方案包含①组织机构与人员配备；②设备及安全管理制度；③实施计划及进度安排；④视频拍摄方案；⑤动画制作流程；⑥视频动画成果质量保障措施等</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个方面的内容。</w:t>
            </w:r>
          </w:p>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根据供应商针对上</w:t>
            </w:r>
            <w:r>
              <w:rPr>
                <w:rFonts w:hint="eastAsia" w:ascii="宋体" w:hAnsi="宋体" w:eastAsia="宋体" w:cs="宋体"/>
                <w:color w:val="auto"/>
                <w:sz w:val="21"/>
                <w:szCs w:val="21"/>
                <w:highlight w:val="none"/>
                <w:lang w:val="en-US" w:eastAsia="zh-CN"/>
              </w:rPr>
              <w:t>述六</w:t>
            </w:r>
            <w:r>
              <w:rPr>
                <w:rFonts w:hint="eastAsia" w:ascii="宋体" w:hAnsi="宋体" w:eastAsia="宋体" w:cs="宋体"/>
                <w:color w:val="auto"/>
                <w:sz w:val="21"/>
                <w:szCs w:val="21"/>
                <w:highlight w:val="none"/>
              </w:rPr>
              <w:t>个方面内容在响应文件中的响应情况进行综合评审：其中每有一方面内容满足要求的得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分，该方面中每有一处存在不足的扣</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分，最多扣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分；每有一方面内容缺失或不满足要求的该方面内容不得分；本项最多得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p>
            <w:pPr>
              <w:spacing w:line="36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上内容满足要求是指①内容与项目技术服务需求吻合、层次细化，有具体详细的阐述；②阐述从实际出发，切合项目背景、项目需求以及市场供应情况发现问题并提出合理化专业技术建议或者解决方案；③内容符合行业标准、行业惯例以及项目特点。④内容清楚明了、表述规范、含义准确。</w:t>
            </w:r>
          </w:p>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存在不足是指①内容生搬硬造，阐述存在逻辑错误，前后矛盾；②涉及内容无重点，未能体现出本项目的特点或与实际需求不完全相符；③语言错误或存在歧义，项目名称、实施地点、规范标准与本项目不一致等情形。</w:t>
            </w:r>
          </w:p>
        </w:tc>
        <w:tc>
          <w:tcPr>
            <w:tcW w:w="512" w:type="pct"/>
            <w:tcBorders>
              <w:bottom w:val="single" w:color="auto" w:sz="4" w:space="0"/>
            </w:tcBorders>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pPr>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三</w:t>
            </w:r>
          </w:p>
        </w:tc>
        <w:tc>
          <w:tcPr>
            <w:tcW w:w="645" w:type="pct"/>
            <w:vAlign w:val="center"/>
          </w:tcPr>
          <w:p>
            <w:pPr>
              <w:spacing w:line="36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后期服务方案及培训</w:t>
            </w:r>
          </w:p>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p>
            <w:pPr>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w:t>
            </w:r>
          </w:p>
        </w:tc>
        <w:tc>
          <w:tcPr>
            <w:tcW w:w="439" w:type="pct"/>
            <w:vAlign w:val="center"/>
          </w:tcPr>
          <w:p>
            <w:pPr>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c>
          <w:tcPr>
            <w:tcW w:w="3030" w:type="pct"/>
            <w:tcBorders>
              <w:bottom w:val="single" w:color="auto" w:sz="4" w:space="0"/>
            </w:tcBorders>
            <w:vAlign w:val="center"/>
          </w:tcPr>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供应商针对本项目提供的</w:t>
            </w:r>
            <w:r>
              <w:rPr>
                <w:rFonts w:hint="eastAsia" w:ascii="宋体" w:hAnsi="宋体" w:eastAsia="宋体" w:cs="宋体"/>
                <w:color w:val="auto"/>
                <w:sz w:val="21"/>
                <w:szCs w:val="21"/>
                <w:highlight w:val="none"/>
                <w:lang w:val="en-US" w:eastAsia="zh-CN"/>
              </w:rPr>
              <w:t>后期服务方案及培训</w:t>
            </w:r>
            <w:r>
              <w:rPr>
                <w:rFonts w:hint="eastAsia" w:ascii="宋体" w:hAnsi="宋体" w:eastAsia="宋体" w:cs="宋体"/>
                <w:color w:val="auto"/>
                <w:sz w:val="21"/>
                <w:szCs w:val="21"/>
                <w:highlight w:val="none"/>
              </w:rPr>
              <w:t>方案包含①服务内容和后期服务流程；②支持服务时间和服务响应等级；③培训内容和培训形式，供应商须提供详细的培训计划、培训方案；④服务质量保证承诺；⑤故障处理方案等</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个方面的内容。</w:t>
            </w:r>
          </w:p>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根据供应商针对上</w:t>
            </w:r>
            <w:r>
              <w:rPr>
                <w:rFonts w:hint="eastAsia" w:ascii="宋体" w:hAnsi="宋体" w:eastAsia="宋体" w:cs="宋体"/>
                <w:color w:val="auto"/>
                <w:sz w:val="21"/>
                <w:szCs w:val="21"/>
                <w:highlight w:val="none"/>
                <w:lang w:val="en-US" w:eastAsia="zh-CN"/>
              </w:rPr>
              <w:t>述五</w:t>
            </w:r>
            <w:r>
              <w:rPr>
                <w:rFonts w:hint="eastAsia" w:ascii="宋体" w:hAnsi="宋体" w:eastAsia="宋体" w:cs="宋体"/>
                <w:color w:val="auto"/>
                <w:sz w:val="21"/>
                <w:szCs w:val="21"/>
                <w:highlight w:val="none"/>
              </w:rPr>
              <w:t>个方面内容在响应文件中的响应情况进行综合评审：其中每有一方面内容满足要求的得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分，该方面中每有一处存在不足的扣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分，最多扣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分；每有一方面内容缺失或不满足要求的该方面内容不得分；本项最多得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pPr>
              <w:spacing w:line="360" w:lineRule="exac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以上内容满足要求是指①内容与项目技术服务需求吻合、层次细化，有具体详细的阐述；②阐述从实际出发，切合项目背景、项目需求以及市场供应情况发现问题并提出合理化专业技术建议或者解决方案；③内容符合行业标准、行业惯例以及项目特点。④内容清楚明了、表述规范、含义准确。</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存在不足是指①内容生搬硬造，阐述存在逻辑错误，前后矛盾；②涉及内容无重点，未能体现出本项目的特点或与实际需求不完全相符；③语言错误或存在歧义，项目名称、实施地点、规范标准与本项目不一致等情形。</w:t>
            </w:r>
          </w:p>
        </w:tc>
        <w:tc>
          <w:tcPr>
            <w:tcW w:w="512" w:type="pct"/>
            <w:tcBorders>
              <w:bottom w:val="single" w:color="auto" w:sz="4" w:space="0"/>
            </w:tcBorders>
            <w:vAlign w:val="center"/>
          </w:tcPr>
          <w:p>
            <w:pPr>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pPr>
              <w:spacing w:line="36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w:t>
            </w:r>
          </w:p>
        </w:tc>
        <w:tc>
          <w:tcPr>
            <w:tcW w:w="128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pacing w:val="0"/>
                <w:w w:val="100"/>
                <w:sz w:val="21"/>
                <w:szCs w:val="21"/>
                <w:highlight w:val="none"/>
              </w:rPr>
            </w:pPr>
            <w:r>
              <w:rPr>
                <w:rFonts w:hint="eastAsia" w:ascii="宋体" w:hAnsi="宋体" w:eastAsia="宋体" w:cs="宋体"/>
                <w:color w:val="auto"/>
                <w:spacing w:val="0"/>
                <w:w w:val="100"/>
                <w:sz w:val="21"/>
                <w:szCs w:val="21"/>
                <w:highlight w:val="none"/>
              </w:rPr>
              <w:t>演示</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lang w:val="en-US" w:eastAsia="zh-CN"/>
              </w:rPr>
              <w:t>%</w:t>
            </w:r>
          </w:p>
        </w:tc>
        <w:tc>
          <w:tcPr>
            <w:tcW w:w="874"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cs="宋体"/>
                <w:color w:val="auto"/>
                <w:spacing w:val="0"/>
                <w:w w:val="100"/>
                <w:sz w:val="21"/>
                <w:szCs w:val="21"/>
                <w:highlight w:val="none"/>
                <w:lang w:val="en-US" w:eastAsia="zh-CN"/>
              </w:rPr>
              <w:t>7</w:t>
            </w:r>
            <w:r>
              <w:rPr>
                <w:rFonts w:hint="eastAsia" w:ascii="宋体" w:hAnsi="宋体" w:eastAsia="宋体" w:cs="宋体"/>
                <w:color w:val="auto"/>
                <w:spacing w:val="0"/>
                <w:w w:val="100"/>
                <w:sz w:val="21"/>
                <w:szCs w:val="21"/>
                <w:highlight w:val="none"/>
                <w:lang w:val="en-US" w:eastAsia="zh-CN"/>
              </w:rPr>
              <w:t>分</w:t>
            </w:r>
          </w:p>
        </w:tc>
        <w:tc>
          <w:tcPr>
            <w:tcW w:w="603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pacing w:val="0"/>
                <w:w w:val="100"/>
                <w:kern w:val="0"/>
                <w:sz w:val="21"/>
                <w:szCs w:val="21"/>
                <w:highlight w:val="none"/>
                <w:lang w:val="en-US" w:eastAsia="zh-CN" w:bidi="ar"/>
              </w:rPr>
            </w:pPr>
            <w:r>
              <w:rPr>
                <w:rFonts w:hint="eastAsia" w:ascii="宋体" w:hAnsi="宋体" w:eastAsia="宋体" w:cs="宋体"/>
                <w:bCs/>
                <w:color w:val="auto"/>
                <w:spacing w:val="0"/>
                <w:w w:val="100"/>
                <w:kern w:val="0"/>
                <w:sz w:val="21"/>
                <w:szCs w:val="21"/>
                <w:highlight w:val="none"/>
                <w:lang w:val="en-US" w:eastAsia="zh-CN" w:bidi="ar"/>
              </w:rPr>
              <w:t>供应商针对</w:t>
            </w:r>
            <w:r>
              <w:rPr>
                <w:rFonts w:hint="eastAsia" w:ascii="宋体" w:hAnsi="宋体" w:eastAsia="宋体" w:cs="宋体"/>
                <w:bCs/>
                <w:color w:val="auto"/>
                <w:spacing w:val="0"/>
                <w:w w:val="100"/>
                <w:kern w:val="0"/>
                <w:sz w:val="21"/>
                <w:szCs w:val="21"/>
                <w:highlight w:val="none"/>
                <w:lang w:bidi="ar"/>
              </w:rPr>
              <w:t>“</w:t>
            </w:r>
            <w:r>
              <w:rPr>
                <w:rFonts w:hint="eastAsia" w:ascii="宋体" w:hAnsi="宋体" w:eastAsia="宋体" w:cs="宋体"/>
                <w:bCs/>
                <w:color w:val="auto"/>
                <w:spacing w:val="0"/>
                <w:w w:val="100"/>
                <w:sz w:val="21"/>
                <w:szCs w:val="21"/>
                <w:highlight w:val="none"/>
                <w:lang w:val="en-US" w:eastAsia="zh-CN"/>
              </w:rPr>
              <w:t>技术及服务</w:t>
            </w:r>
            <w:r>
              <w:rPr>
                <w:rFonts w:hint="eastAsia" w:ascii="宋体" w:hAnsi="宋体" w:eastAsia="宋体" w:cs="宋体"/>
                <w:bCs/>
                <w:color w:val="auto"/>
                <w:spacing w:val="0"/>
                <w:w w:val="100"/>
                <w:kern w:val="0"/>
                <w:sz w:val="21"/>
                <w:szCs w:val="21"/>
                <w:highlight w:val="none"/>
              </w:rPr>
              <w:t>要求</w:t>
            </w:r>
            <w:r>
              <w:rPr>
                <w:rFonts w:hint="eastAsia" w:ascii="宋体" w:hAnsi="宋体" w:eastAsia="宋体" w:cs="宋体"/>
                <w:bCs/>
                <w:color w:val="auto"/>
                <w:spacing w:val="0"/>
                <w:w w:val="100"/>
                <w:kern w:val="0"/>
                <w:sz w:val="21"/>
                <w:szCs w:val="21"/>
                <w:highlight w:val="none"/>
                <w:lang w:bidi="ar"/>
              </w:rPr>
              <w:t>”</w:t>
            </w:r>
            <w:r>
              <w:rPr>
                <w:rFonts w:hint="eastAsia" w:ascii="宋体" w:hAnsi="宋体" w:eastAsia="宋体" w:cs="宋体"/>
                <w:bCs/>
                <w:color w:val="auto"/>
                <w:spacing w:val="0"/>
                <w:w w:val="100"/>
                <w:kern w:val="0"/>
                <w:sz w:val="21"/>
                <w:szCs w:val="21"/>
                <w:highlight w:val="none"/>
                <w:lang w:val="en-US" w:eastAsia="zh-CN" w:bidi="ar"/>
              </w:rPr>
              <w:t>中带“▲”要求提供现场演示，每有1项(共7项)演示内容完全满足</w:t>
            </w:r>
            <w:r>
              <w:rPr>
                <w:rFonts w:hint="eastAsia" w:cs="宋体"/>
                <w:bCs/>
                <w:color w:val="auto"/>
                <w:spacing w:val="0"/>
                <w:w w:val="100"/>
                <w:kern w:val="0"/>
                <w:sz w:val="21"/>
                <w:szCs w:val="21"/>
                <w:highlight w:val="none"/>
                <w:lang w:val="en-US" w:eastAsia="zh-CN" w:bidi="ar"/>
              </w:rPr>
              <w:t>磋商</w:t>
            </w:r>
            <w:r>
              <w:rPr>
                <w:rFonts w:hint="eastAsia" w:ascii="宋体" w:hAnsi="宋体" w:eastAsia="宋体" w:cs="宋体"/>
                <w:bCs/>
                <w:color w:val="auto"/>
                <w:spacing w:val="0"/>
                <w:w w:val="100"/>
                <w:kern w:val="0"/>
                <w:sz w:val="21"/>
                <w:szCs w:val="21"/>
                <w:highlight w:val="none"/>
                <w:lang w:val="en-US" w:eastAsia="zh-CN" w:bidi="ar"/>
              </w:rPr>
              <w:t>文件要求的得1分，最多得7分。不演示或演示功能不全的不得分。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val="0"/>
                <w:color w:val="auto"/>
                <w:spacing w:val="0"/>
                <w:w w:val="100"/>
                <w:kern w:val="0"/>
                <w:sz w:val="21"/>
                <w:szCs w:val="21"/>
                <w:highlight w:val="none"/>
                <w:lang w:val="en-US" w:eastAsia="zh-CN" w:bidi="ar"/>
              </w:rPr>
            </w:pPr>
            <w:r>
              <w:rPr>
                <w:rFonts w:hint="eastAsia" w:ascii="宋体" w:hAnsi="宋体" w:eastAsia="宋体" w:cs="宋体"/>
                <w:b/>
                <w:bCs w:val="0"/>
                <w:color w:val="auto"/>
                <w:spacing w:val="0"/>
                <w:w w:val="100"/>
                <w:kern w:val="0"/>
                <w:sz w:val="21"/>
                <w:szCs w:val="21"/>
                <w:highlight w:val="none"/>
                <w:lang w:val="en-US" w:eastAsia="zh-CN" w:bidi="ar"/>
              </w:rPr>
              <w:t>演示要求：</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pacing w:val="0"/>
                <w:w w:val="100"/>
                <w:kern w:val="0"/>
                <w:sz w:val="21"/>
                <w:szCs w:val="21"/>
                <w:highlight w:val="none"/>
                <w:lang w:val="en-US" w:eastAsia="zh-CN" w:bidi="ar"/>
              </w:rPr>
            </w:pPr>
            <w:r>
              <w:rPr>
                <w:rFonts w:hint="eastAsia" w:ascii="宋体" w:hAnsi="宋体" w:eastAsia="宋体" w:cs="宋体"/>
                <w:bCs/>
                <w:color w:val="auto"/>
                <w:spacing w:val="0"/>
                <w:w w:val="100"/>
                <w:kern w:val="0"/>
                <w:sz w:val="21"/>
                <w:szCs w:val="21"/>
                <w:highlight w:val="none"/>
                <w:lang w:val="en-US" w:eastAsia="zh-CN" w:bidi="ar"/>
              </w:rPr>
              <w:t>①演示时间：</w:t>
            </w:r>
            <w:r>
              <w:rPr>
                <w:rFonts w:hint="eastAsia" w:ascii="宋体" w:hAnsi="宋体" w:eastAsia="宋体" w:cs="宋体"/>
                <w:bCs/>
                <w:color w:val="auto"/>
                <w:spacing w:val="0"/>
                <w:w w:val="100"/>
                <w:kern w:val="0"/>
                <w:sz w:val="21"/>
                <w:szCs w:val="21"/>
                <w:highlight w:val="none"/>
                <w:lang w:bidi="ar"/>
              </w:rPr>
              <w:t>演示时间不超过</w:t>
            </w:r>
            <w:r>
              <w:rPr>
                <w:rFonts w:hint="eastAsia" w:cs="宋体"/>
                <w:bCs/>
                <w:color w:val="auto"/>
                <w:spacing w:val="0"/>
                <w:w w:val="100"/>
                <w:kern w:val="0"/>
                <w:sz w:val="21"/>
                <w:szCs w:val="21"/>
                <w:highlight w:val="none"/>
                <w:lang w:val="en-US" w:eastAsia="zh-CN" w:bidi="ar"/>
              </w:rPr>
              <w:t>20</w:t>
            </w:r>
            <w:r>
              <w:rPr>
                <w:rFonts w:hint="eastAsia" w:ascii="宋体" w:hAnsi="宋体" w:eastAsia="宋体" w:cs="宋体"/>
                <w:bCs/>
                <w:color w:val="auto"/>
                <w:spacing w:val="0"/>
                <w:w w:val="100"/>
                <w:kern w:val="0"/>
                <w:sz w:val="21"/>
                <w:szCs w:val="21"/>
                <w:highlight w:val="none"/>
                <w:lang w:bidi="ar"/>
              </w:rPr>
              <w:t>分钟</w:t>
            </w:r>
            <w:r>
              <w:rPr>
                <w:rFonts w:hint="eastAsia" w:ascii="宋体" w:hAnsi="宋体" w:eastAsia="宋体" w:cs="宋体"/>
                <w:bCs/>
                <w:color w:val="auto"/>
                <w:spacing w:val="0"/>
                <w:w w:val="100"/>
                <w:kern w:val="0"/>
                <w:sz w:val="21"/>
                <w:szCs w:val="21"/>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Cs/>
                <w:color w:val="auto"/>
                <w:spacing w:val="0"/>
                <w:w w:val="100"/>
                <w:kern w:val="0"/>
                <w:sz w:val="21"/>
                <w:szCs w:val="21"/>
                <w:highlight w:val="none"/>
                <w:lang w:val="en-US" w:eastAsia="zh-CN" w:bidi="ar"/>
              </w:rPr>
            </w:pPr>
            <w:r>
              <w:rPr>
                <w:rFonts w:hint="eastAsia" w:ascii="宋体" w:hAnsi="宋体" w:eastAsia="宋体" w:cs="宋体"/>
                <w:bCs/>
                <w:color w:val="auto"/>
                <w:spacing w:val="0"/>
                <w:w w:val="100"/>
                <w:kern w:val="0"/>
                <w:sz w:val="21"/>
                <w:szCs w:val="21"/>
                <w:highlight w:val="none"/>
                <w:lang w:val="en-US" w:eastAsia="zh-CN" w:bidi="ar"/>
              </w:rPr>
              <w:t>②</w:t>
            </w:r>
            <w:r>
              <w:rPr>
                <w:rFonts w:hint="eastAsia" w:ascii="宋体" w:hAnsi="宋体" w:eastAsia="宋体" w:cs="宋体"/>
                <w:bCs/>
                <w:color w:val="auto"/>
                <w:spacing w:val="0"/>
                <w:w w:val="100"/>
                <w:kern w:val="0"/>
                <w:sz w:val="21"/>
                <w:szCs w:val="21"/>
                <w:highlight w:val="none"/>
                <w:lang w:bidi="ar"/>
              </w:rPr>
              <w:t>现场调用真实平台或真实应用系统演示，不得使用PPT、FLASH或演示DEMO软件</w:t>
            </w:r>
            <w:r>
              <w:rPr>
                <w:rFonts w:hint="eastAsia" w:ascii="宋体" w:hAnsi="宋体" w:eastAsia="宋体" w:cs="宋体"/>
                <w:bCs/>
                <w:color w:val="auto"/>
                <w:spacing w:val="0"/>
                <w:w w:val="100"/>
                <w:kern w:val="0"/>
                <w:sz w:val="21"/>
                <w:szCs w:val="21"/>
                <w:highlight w:val="none"/>
                <w:lang w:eastAsia="zh-CN" w:bidi="ar"/>
              </w:rPr>
              <w:t>，</w:t>
            </w:r>
            <w:r>
              <w:rPr>
                <w:rFonts w:hint="eastAsia" w:ascii="宋体" w:hAnsi="宋体" w:eastAsia="宋体" w:cs="宋体"/>
                <w:bCs/>
                <w:color w:val="auto"/>
                <w:spacing w:val="0"/>
                <w:w w:val="100"/>
                <w:kern w:val="0"/>
                <w:sz w:val="21"/>
                <w:szCs w:val="21"/>
                <w:highlight w:val="none"/>
                <w:lang w:val="en-US" w:eastAsia="zh-CN" w:bidi="ar"/>
              </w:rPr>
              <w:t>否则不得分。</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pacing w:val="0"/>
                <w:w w:val="100"/>
                <w:kern w:val="0"/>
                <w:sz w:val="21"/>
                <w:szCs w:val="21"/>
                <w:highlight w:val="none"/>
                <w:lang w:val="en-US" w:eastAsia="zh-CN" w:bidi="ar"/>
              </w:rPr>
              <w:t>③代理机构提供演示投屏设备，</w:t>
            </w:r>
            <w:r>
              <w:rPr>
                <w:rFonts w:hint="eastAsia" w:cs="宋体"/>
                <w:bCs/>
                <w:color w:val="auto"/>
                <w:spacing w:val="0"/>
                <w:w w:val="100"/>
                <w:kern w:val="0"/>
                <w:sz w:val="21"/>
                <w:szCs w:val="21"/>
                <w:highlight w:val="none"/>
                <w:lang w:val="en-US" w:eastAsia="zh-CN" w:bidi="ar"/>
              </w:rPr>
              <w:t>供应商</w:t>
            </w:r>
            <w:r>
              <w:rPr>
                <w:rFonts w:hint="eastAsia" w:ascii="宋体" w:hAnsi="宋体" w:eastAsia="宋体" w:cs="宋体"/>
                <w:bCs/>
                <w:color w:val="auto"/>
                <w:spacing w:val="0"/>
                <w:w w:val="100"/>
                <w:kern w:val="0"/>
                <w:sz w:val="21"/>
                <w:szCs w:val="21"/>
                <w:highlight w:val="none"/>
                <w:lang w:bidi="ar"/>
              </w:rPr>
              <w:t>自带相关演示设备</w:t>
            </w:r>
            <w:r>
              <w:rPr>
                <w:rFonts w:hint="eastAsia" w:ascii="宋体" w:hAnsi="宋体" w:eastAsia="宋体" w:cs="宋体"/>
                <w:bCs/>
                <w:color w:val="auto"/>
                <w:spacing w:val="0"/>
                <w:w w:val="100"/>
                <w:kern w:val="0"/>
                <w:sz w:val="21"/>
                <w:szCs w:val="21"/>
                <w:highlight w:val="none"/>
                <w:lang w:val="en-US" w:eastAsia="zh-CN" w:bidi="ar"/>
              </w:rPr>
              <w:t>及转换接头，</w:t>
            </w:r>
            <w:r>
              <w:rPr>
                <w:rFonts w:hint="eastAsia" w:cs="宋体"/>
                <w:bCs/>
                <w:color w:val="auto"/>
                <w:spacing w:val="0"/>
                <w:w w:val="100"/>
                <w:kern w:val="0"/>
                <w:sz w:val="21"/>
                <w:szCs w:val="21"/>
                <w:highlight w:val="none"/>
                <w:lang w:val="en-US" w:eastAsia="zh-CN" w:bidi="ar"/>
              </w:rPr>
              <w:t>若供应商</w:t>
            </w:r>
            <w:r>
              <w:rPr>
                <w:rFonts w:hint="eastAsia" w:ascii="宋体" w:hAnsi="宋体" w:eastAsia="宋体" w:cs="宋体"/>
                <w:bCs/>
                <w:color w:val="auto"/>
                <w:spacing w:val="0"/>
                <w:w w:val="100"/>
                <w:kern w:val="0"/>
                <w:sz w:val="21"/>
                <w:szCs w:val="21"/>
                <w:highlight w:val="none"/>
                <w:lang w:val="en-US" w:eastAsia="zh-CN" w:bidi="ar"/>
              </w:rPr>
              <w:t>设备不能链接投屏导致演示失败的</w:t>
            </w:r>
            <w:r>
              <w:rPr>
                <w:rFonts w:hint="eastAsia" w:cs="宋体"/>
                <w:bCs/>
                <w:color w:val="auto"/>
                <w:spacing w:val="0"/>
                <w:w w:val="100"/>
                <w:kern w:val="0"/>
                <w:sz w:val="21"/>
                <w:szCs w:val="21"/>
                <w:highlight w:val="none"/>
                <w:lang w:val="en-US" w:eastAsia="zh-CN" w:bidi="ar"/>
              </w:rPr>
              <w:t>供应商</w:t>
            </w:r>
            <w:r>
              <w:rPr>
                <w:rFonts w:hint="eastAsia" w:ascii="宋体" w:hAnsi="宋体" w:eastAsia="宋体" w:cs="宋体"/>
                <w:bCs/>
                <w:color w:val="auto"/>
                <w:spacing w:val="0"/>
                <w:w w:val="100"/>
                <w:kern w:val="0"/>
                <w:sz w:val="21"/>
                <w:szCs w:val="21"/>
                <w:highlight w:val="none"/>
                <w:lang w:val="en-US" w:eastAsia="zh-CN" w:bidi="ar"/>
              </w:rPr>
              <w:t>自行负责。</w:t>
            </w:r>
          </w:p>
        </w:tc>
        <w:tc>
          <w:tcPr>
            <w:tcW w:w="1021" w:type="dxa"/>
            <w:tcBorders>
              <w:bottom w:val="single" w:color="auto" w:sz="4" w:space="0"/>
            </w:tcBorders>
            <w:vAlign w:val="center"/>
          </w:tcPr>
          <w:p>
            <w:pPr>
              <w:keepNext w:val="0"/>
              <w:keepLines w:val="0"/>
              <w:pageBreakBefore w:val="0"/>
              <w:widowControl w:val="0"/>
              <w:kinsoku/>
              <w:overflowPunct/>
              <w:topLinePunct w:val="0"/>
              <w:autoSpaceDE/>
              <w:autoSpaceDN/>
              <w:bidi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w:t>
            </w:r>
          </w:p>
          <w:p>
            <w:pPr>
              <w:keepNext w:val="0"/>
              <w:keepLines w:val="0"/>
              <w:pageBreakBefore w:val="0"/>
              <w:widowControl w:val="0"/>
              <w:kinsoku/>
              <w:overflowPunct/>
              <w:topLinePunct w:val="0"/>
              <w:autoSpaceDE/>
              <w:autoSpaceDN/>
              <w:bidi w:val="0"/>
              <w:spacing w:line="360" w:lineRule="exact"/>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pPr>
              <w:spacing w:line="360" w:lineRule="exact"/>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五</w:t>
            </w:r>
          </w:p>
        </w:tc>
        <w:tc>
          <w:tcPr>
            <w:tcW w:w="645" w:type="pct"/>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人员配置</w:t>
            </w:r>
          </w:p>
          <w:p>
            <w:pPr>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w:t>
            </w:r>
          </w:p>
        </w:tc>
        <w:tc>
          <w:tcPr>
            <w:tcW w:w="439" w:type="pct"/>
            <w:vAlign w:val="center"/>
          </w:tcPr>
          <w:p>
            <w:pPr>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c>
          <w:tcPr>
            <w:tcW w:w="3030" w:type="pct"/>
            <w:vAlign w:val="center"/>
          </w:tcPr>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1.项目经理(3分)</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供应商拟投入本项目的项目经理具有计算机技术与软件专业技术资格信息系统项目管理师</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高级</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的得3分。</w:t>
            </w:r>
          </w:p>
          <w:p>
            <w:pPr>
              <w:spacing w:line="360" w:lineRule="exact"/>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注：提供职称证书复印件并加盖供应商公章。</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2.课程专家团队(12分)</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供应商拟投入本项目中的专家团队成员具有正高级</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教授或研究员</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职称的每有1人得3分，具有副高级</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副教授或副研究员</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职称的每有1人得1分，本项最多得12分。</w:t>
            </w:r>
          </w:p>
          <w:p>
            <w:pPr>
              <w:spacing w:line="360" w:lineRule="exact"/>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注：提供专家职称证书复印件并加盖供应商公章。</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3.团队成员(4分)</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供应商拟投入本项目的项目团队成员中具有计算机技术与软件专业技术资格软件设计师</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中级</w:t>
            </w:r>
            <w:r>
              <w:rPr>
                <w:rFonts w:hint="eastAsia"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的，每具有1个得2分，最多得4分。</w:t>
            </w:r>
          </w:p>
          <w:p>
            <w:pPr>
              <w:spacing w:line="360" w:lineRule="exact"/>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注：提供职称证书复印件并加盖供应商公章。</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4.项目团队(6分)</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供应商拟投入本项目的项目团队成员中具有戏剧影视相关专业</w:t>
            </w:r>
            <w:r>
              <w:rPr>
                <w:rFonts w:hint="eastAsia" w:cs="宋体"/>
                <w:color w:val="auto"/>
                <w:kern w:val="2"/>
                <w:sz w:val="21"/>
                <w:szCs w:val="21"/>
                <w:highlight w:val="none"/>
                <w:lang w:val="en-US" w:eastAsia="zh-CN" w:bidi="ar-SA"/>
              </w:rPr>
              <w:t>或</w:t>
            </w:r>
            <w:r>
              <w:rPr>
                <w:rFonts w:hint="eastAsia" w:ascii="宋体" w:hAnsi="宋体" w:eastAsia="宋体" w:cs="宋体"/>
                <w:color w:val="auto"/>
                <w:kern w:val="2"/>
                <w:sz w:val="21"/>
                <w:szCs w:val="21"/>
                <w:highlight w:val="none"/>
                <w:lang w:val="en-US" w:eastAsia="zh-CN" w:bidi="ar-SA"/>
              </w:rPr>
              <w:t>动画制作相关专业</w:t>
            </w:r>
            <w:r>
              <w:rPr>
                <w:rFonts w:hint="eastAsia" w:cs="宋体"/>
                <w:color w:val="auto"/>
                <w:kern w:val="2"/>
                <w:sz w:val="21"/>
                <w:szCs w:val="21"/>
                <w:highlight w:val="none"/>
                <w:lang w:val="en-US" w:eastAsia="zh-CN" w:bidi="ar-SA"/>
              </w:rPr>
              <w:t>或</w:t>
            </w:r>
            <w:r>
              <w:rPr>
                <w:rFonts w:hint="eastAsia" w:ascii="宋体" w:hAnsi="宋体" w:eastAsia="宋体" w:cs="宋体"/>
                <w:color w:val="auto"/>
                <w:kern w:val="2"/>
                <w:sz w:val="21"/>
                <w:szCs w:val="21"/>
                <w:highlight w:val="none"/>
                <w:lang w:val="en-US" w:eastAsia="zh-CN" w:bidi="ar-SA"/>
              </w:rPr>
              <w:t>广播电视编导相关专业的，每提供一</w:t>
            </w:r>
            <w:r>
              <w:rPr>
                <w:rFonts w:hint="eastAsia" w:cs="宋体"/>
                <w:color w:val="auto"/>
                <w:kern w:val="2"/>
                <w:sz w:val="21"/>
                <w:szCs w:val="21"/>
                <w:highlight w:val="none"/>
                <w:lang w:val="en-US" w:eastAsia="zh-CN" w:bidi="ar-SA"/>
              </w:rPr>
              <w:t>类专业</w:t>
            </w:r>
            <w:r>
              <w:rPr>
                <w:rFonts w:hint="eastAsia" w:ascii="宋体" w:hAnsi="宋体" w:eastAsia="宋体" w:cs="宋体"/>
                <w:color w:val="auto"/>
                <w:kern w:val="2"/>
                <w:sz w:val="21"/>
                <w:szCs w:val="21"/>
                <w:highlight w:val="none"/>
                <w:lang w:val="en-US" w:eastAsia="zh-CN" w:bidi="ar-SA"/>
              </w:rPr>
              <w:t>得2分，最多得6分。</w:t>
            </w:r>
          </w:p>
          <w:p>
            <w:pPr>
              <w:spacing w:line="360" w:lineRule="exact"/>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注：提供学历证书并加盖供应商公章。</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以上4项中的人员及证书不得重复计分。</w:t>
            </w:r>
          </w:p>
        </w:tc>
        <w:tc>
          <w:tcPr>
            <w:tcW w:w="512" w:type="pct"/>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72" w:type="pct"/>
            <w:vAlign w:val="center"/>
          </w:tcPr>
          <w:p>
            <w:pPr>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645" w:type="pct"/>
            <w:vAlign w:val="center"/>
          </w:tcPr>
          <w:p>
            <w:pPr>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履约经验8</w:t>
            </w:r>
            <w:r>
              <w:rPr>
                <w:rFonts w:hint="eastAsia" w:ascii="宋体" w:hAnsi="宋体" w:eastAsia="宋体" w:cs="宋体"/>
                <w:color w:val="auto"/>
                <w:sz w:val="21"/>
                <w:szCs w:val="21"/>
                <w:highlight w:val="none"/>
              </w:rPr>
              <w:t>%</w:t>
            </w:r>
          </w:p>
        </w:tc>
        <w:tc>
          <w:tcPr>
            <w:tcW w:w="439" w:type="pct"/>
            <w:vAlign w:val="center"/>
          </w:tcPr>
          <w:p>
            <w:pPr>
              <w:spacing w:line="360" w:lineRule="exact"/>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3030" w:type="pct"/>
            <w:vAlign w:val="center"/>
          </w:tcPr>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自2020年1月1日以来</w:t>
            </w:r>
            <w:r>
              <w:rPr>
                <w:rFonts w:hint="eastAsia" w:ascii="宋体" w:hAnsi="宋体" w:eastAsia="宋体" w:cs="宋体"/>
                <w:color w:val="auto"/>
                <w:sz w:val="21"/>
                <w:szCs w:val="21"/>
                <w:highlight w:val="none"/>
                <w:lang w:val="en-US" w:eastAsia="zh-CN"/>
              </w:rPr>
              <w:t>具有类似项目履约经验的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每提供</w:t>
            </w:r>
            <w:r>
              <w:rPr>
                <w:rFonts w:hint="eastAsia" w:ascii="宋体" w:hAnsi="宋体" w:eastAsia="宋体" w:cs="宋体"/>
                <w:color w:val="auto"/>
                <w:sz w:val="21"/>
                <w:szCs w:val="21"/>
                <w:highlight w:val="none"/>
              </w:rPr>
              <w:t>1个得2分，</w:t>
            </w:r>
            <w:r>
              <w:rPr>
                <w:rFonts w:hint="eastAsia" w:ascii="宋体" w:hAnsi="宋体" w:eastAsia="宋体" w:cs="宋体"/>
                <w:color w:val="auto"/>
                <w:sz w:val="21"/>
                <w:szCs w:val="21"/>
                <w:highlight w:val="none"/>
                <w:lang w:val="en-US" w:eastAsia="zh-CN"/>
              </w:rPr>
              <w:t>对多得8</w:t>
            </w:r>
            <w:r>
              <w:rPr>
                <w:rFonts w:hint="eastAsia" w:ascii="宋体" w:hAnsi="宋体" w:eastAsia="宋体" w:cs="宋体"/>
                <w:color w:val="auto"/>
                <w:sz w:val="21"/>
                <w:szCs w:val="21"/>
                <w:highlight w:val="none"/>
              </w:rPr>
              <w:t>分。</w:t>
            </w:r>
          </w:p>
          <w:p>
            <w:pPr>
              <w:spacing w:line="360" w:lineRule="exac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rPr>
              <w:t>注：提供合同复印件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时间以合同签订时间为准</w:t>
            </w:r>
            <w:r>
              <w:rPr>
                <w:rFonts w:hint="eastAsia" w:ascii="宋体" w:hAnsi="宋体" w:eastAsia="宋体" w:cs="宋体"/>
                <w:b/>
                <w:bCs/>
                <w:color w:val="auto"/>
                <w:sz w:val="21"/>
                <w:szCs w:val="21"/>
                <w:highlight w:val="none"/>
              </w:rPr>
              <w:t>。</w:t>
            </w:r>
          </w:p>
        </w:tc>
        <w:tc>
          <w:tcPr>
            <w:tcW w:w="512" w:type="pct"/>
            <w:vAlign w:val="center"/>
          </w:tcPr>
          <w:p>
            <w:pPr>
              <w:pStyle w:val="11"/>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pPr>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注：①评分的取值按四舍五入法，小数点后保留两位。②本表中要求提供各类证明材料，均需加盖供应商单位公章，否则将不认可该项材料的有效性。</w:t>
            </w:r>
          </w:p>
        </w:tc>
      </w:tr>
    </w:tbl>
    <w:p>
      <w:pPr>
        <w:pStyle w:val="49"/>
        <w:spacing w:line="520" w:lineRule="exact"/>
        <w:ind w:firstLine="482"/>
        <w:rPr>
          <w:rFonts w:hint="eastAsia" w:ascii="宋体" w:hAnsi="宋体" w:eastAsia="宋体" w:cs="宋体"/>
          <w:color w:val="auto"/>
          <w:highlight w:val="none"/>
        </w:rPr>
      </w:pPr>
      <w:bookmarkStart w:id="634" w:name="_Toc11411"/>
      <w:bookmarkStart w:id="635" w:name="_Toc26569"/>
      <w:bookmarkStart w:id="636" w:name="_Toc19996"/>
      <w:bookmarkStart w:id="637" w:name="_Toc10215"/>
      <w:r>
        <w:rPr>
          <w:rFonts w:hint="eastAsia" w:ascii="宋体" w:hAnsi="宋体" w:eastAsia="宋体" w:cs="宋体"/>
          <w:color w:val="auto"/>
          <w:highlight w:val="none"/>
        </w:rPr>
        <w:t>复核</w:t>
      </w:r>
      <w:bookmarkEnd w:id="632"/>
      <w:bookmarkEnd w:id="633"/>
      <w:bookmarkEnd w:id="634"/>
      <w:bookmarkEnd w:id="635"/>
      <w:bookmarkEnd w:id="636"/>
      <w:bookmarkEnd w:id="637"/>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评审结果汇总完成后，评审委员会拟出具评审报告前，采购组织单位应当组织2名以上的本单位工作人员，在采购现场监督人员的监督之下，依据有关的法律制度和磋商文件对评审结果进行复核，出具复核报告。存在下列情形之一的，应当根据情况要求磋商小组现场修改磋商结果或者重新评审：</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资格性审查认定错误的；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分值汇总计算错误的；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分项评分超出评分标准范围的；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客观评分不一致的；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经磋商小组一致认定评分畸高、畸低的。</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采购代理机构复核过程中，磋商小组不得离开评审现场。</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存在本条上述规定情形的，由磋商小组自主决定是否采纳采购代理机构的书面建议，并承担独立评审责任。磋商小组采纳采购代理机构书面建议的，应当按照规定现场修改磋商结果或者重新评审，并在评审报告中详细记载有关事宜；不采纳采购代理机构书面建议的，应当书面说明理由。采购代理机构书面建议未被磋商小组采纳的，应当按照规定程序要求继续组织实施采购活动，不得擅自中止采购活动。</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有下列情形之一的，不得修改磋商结果或者重新评审：</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磋商小组已经出具评审报告并且离开评审现场的；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采购代理机构现场复核时，复核工作人员数量不足的；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采购代理机构现场复核时，没有采购监督人员现场监督的；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采购代理机构现场复核内容超出规定范围的；</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采购代理机构未提供书面建议的。</w:t>
      </w:r>
    </w:p>
    <w:p>
      <w:pPr>
        <w:pStyle w:val="49"/>
        <w:spacing w:line="520" w:lineRule="exact"/>
        <w:ind w:firstLine="482"/>
        <w:rPr>
          <w:rFonts w:hint="eastAsia" w:ascii="宋体" w:hAnsi="宋体" w:eastAsia="宋体" w:cs="宋体"/>
          <w:color w:val="auto"/>
          <w:highlight w:val="none"/>
        </w:rPr>
      </w:pPr>
      <w:bookmarkStart w:id="638" w:name="_Toc29641"/>
      <w:bookmarkStart w:id="639" w:name="_Toc8064"/>
      <w:bookmarkStart w:id="640" w:name="_Toc1400"/>
      <w:bookmarkStart w:id="641" w:name="_Toc4617"/>
      <w:bookmarkStart w:id="642" w:name="_Toc6026"/>
      <w:bookmarkStart w:id="643" w:name="_Toc21500"/>
      <w:r>
        <w:rPr>
          <w:rFonts w:hint="eastAsia" w:ascii="宋体" w:hAnsi="宋体" w:eastAsia="宋体" w:cs="宋体"/>
          <w:color w:val="auto"/>
          <w:highlight w:val="none"/>
        </w:rPr>
        <w:t>评审报告</w:t>
      </w:r>
      <w:bookmarkEnd w:id="638"/>
      <w:bookmarkEnd w:id="639"/>
      <w:bookmarkEnd w:id="640"/>
      <w:bookmarkEnd w:id="641"/>
      <w:bookmarkEnd w:id="642"/>
      <w:bookmarkEnd w:id="643"/>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成交候选供应商。评审得分且最后报价相同的，按照技术指标优劣顺序推荐成交候选供应商。评审得分且最后报价相同的，按照技术指标优劣顺序得分均相同，且企业性质相同的并列，由采购人自主采取公平、择优的方式选择成交候选供应商。</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出具评审报告。评审委员会推荐成交候选供应商后，应当向采购组织单位出具评审报告。评审报告应当包括下列内容：</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邀请供应商参加采购活动的具体方式和相关情况、以及参加采购活动的供应商名单；</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响应文件开启日期和地点；</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获取磋商文件的供应商名单和磋商小组成员名单；</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参加报价的供应商名单及报价情况和未参加报价的供应商名单及原因；</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磋商文件规定的采购项目实质性要求及变动磋商文件实质性内容的有关资料及记录；</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供应商响应文件响应磋商文件实质性要求情况及供应商变动响应文件有关资料及记录；</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评审情况记录和说明，包括对供应商的资格审查情况、供应商响应文件评审情况、磋商情况、报价情况等；</w:t>
      </w:r>
    </w:p>
    <w:p>
      <w:pPr>
        <w:pStyle w:val="64"/>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提出的成交候选供应商的排序名单及理由。</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3"/>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3"/>
        <w:rPr>
          <w:rFonts w:hint="eastAsia" w:ascii="宋体" w:hAnsi="宋体" w:eastAsia="宋体" w:cs="宋体"/>
          <w:color w:val="auto"/>
          <w:highlight w:val="none"/>
        </w:rPr>
      </w:pPr>
    </w:p>
    <w:p>
      <w:pPr>
        <w:pStyle w:val="48"/>
        <w:numPr>
          <w:ilvl w:val="0"/>
          <w:numId w:val="24"/>
        </w:numPr>
        <w:spacing w:before="120" w:after="12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580"/>
      <w:bookmarkStart w:id="644" w:name="_Toc29012"/>
      <w:bookmarkStart w:id="645" w:name="_Toc229"/>
      <w:bookmarkStart w:id="646" w:name="_Toc27826"/>
      <w:bookmarkStart w:id="647" w:name="_Toc18908"/>
      <w:bookmarkStart w:id="648" w:name="_Toc13264"/>
      <w:bookmarkStart w:id="649" w:name="_Toc7547"/>
      <w:r>
        <w:rPr>
          <w:rFonts w:hint="eastAsia" w:ascii="宋体" w:hAnsi="宋体" w:eastAsia="宋体" w:cs="宋体"/>
          <w:color w:val="auto"/>
          <w:highlight w:val="none"/>
        </w:rPr>
        <w:t>采购合同</w:t>
      </w:r>
      <w:bookmarkEnd w:id="644"/>
      <w:bookmarkEnd w:id="645"/>
      <w:bookmarkEnd w:id="646"/>
      <w:bookmarkEnd w:id="647"/>
      <w:bookmarkEnd w:id="648"/>
      <w:bookmarkEnd w:id="649"/>
    </w:p>
    <w:p>
      <w:pPr>
        <w:keepNext w:val="0"/>
        <w:keepLines w:val="0"/>
        <w:pageBreakBefore w:val="0"/>
        <w:widowControl w:val="0"/>
        <w:kinsoku/>
        <w:wordWrap/>
        <w:overflowPunct/>
        <w:autoSpaceDE/>
        <w:autoSpaceDN/>
        <w:bidi w:val="0"/>
        <w:adjustRightInd w:val="0"/>
        <w:snapToGrid w:val="0"/>
        <w:spacing w:line="52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成都市技师学院铁道工程学院专业教学资源库建设</w:t>
      </w:r>
    </w:p>
    <w:p>
      <w:pPr>
        <w:keepNext w:val="0"/>
        <w:keepLines w:val="0"/>
        <w:pageBreakBefore w:val="0"/>
        <w:widowControl w:val="0"/>
        <w:kinsoku/>
        <w:wordWrap/>
        <w:overflowPunct/>
        <w:autoSpaceDE/>
        <w:autoSpaceDN/>
        <w:bidi w:val="0"/>
        <w:adjustRightInd w:val="0"/>
        <w:snapToGrid w:val="0"/>
        <w:spacing w:line="52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采购项目合同文本主要条款</w:t>
      </w:r>
    </w:p>
    <w:p>
      <w:pPr>
        <w:pStyle w:val="69"/>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(重要说明：采购人、供应商在签订正式合同前应依据本项目的采购文件、响应文件、项目的澄清文件等对以下合同内容进行修正和完善)</w:t>
      </w:r>
    </w:p>
    <w:p>
      <w:pPr>
        <w:pStyle w:val="43"/>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合同编号：</w:t>
      </w:r>
    </w:p>
    <w:p>
      <w:pPr>
        <w:pStyle w:val="43"/>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签订地点：</w:t>
      </w:r>
    </w:p>
    <w:p>
      <w:pPr>
        <w:pStyle w:val="43"/>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签订时间：</w:t>
      </w:r>
    </w:p>
    <w:p>
      <w:pPr>
        <w:pStyle w:val="43"/>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napToGrid/>
          <w:color w:val="auto"/>
          <w:sz w:val="24"/>
          <w:szCs w:val="24"/>
          <w:highlight w:val="none"/>
          <w:lang w:eastAsia="zh-CN"/>
        </w:rPr>
      </w:pPr>
      <w:r>
        <w:rPr>
          <w:rFonts w:hint="eastAsia" w:ascii="宋体" w:hAnsi="宋体" w:eastAsia="宋体" w:cs="宋体"/>
          <w:snapToGrid/>
          <w:color w:val="auto"/>
          <w:sz w:val="24"/>
          <w:szCs w:val="24"/>
          <w:highlight w:val="none"/>
        </w:rPr>
        <w:t>甲方(采购人)：</w:t>
      </w:r>
      <w:r>
        <w:rPr>
          <w:rFonts w:hint="eastAsia" w:ascii="宋体" w:hAnsi="宋体" w:eastAsia="宋体" w:cs="宋体"/>
          <w:color w:val="auto"/>
          <w:sz w:val="24"/>
          <w:szCs w:val="24"/>
          <w:highlight w:val="none"/>
        </w:rPr>
        <w:t>成都市技师学院</w:t>
      </w:r>
    </w:p>
    <w:p>
      <w:pPr>
        <w:pStyle w:val="43"/>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 xml:space="preserve">乙方(供应商)：    </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根据《中华人民共和国民法典》及成都市技师学院铁道工程学院专业教学资源库建设采购项目</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项目编号：XXX</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的采购文件、乙方的响应文件及成交通知书，甲、乙双方同意签订本合同，共同遵守如下条款：</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成都市技师学院铁道工程学院专业教学资源库建设服务内容进行招标采购，拟建设10门课程资源、1套专业教学资源库采集工具、1套资源库项目管理平台。</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二、服务内容及要求</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成都市技师学院铁道工程学院专数字化课程资源、专业教学资源库采集工具、资源库项目管理平台。</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三、履约时间和方式</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合同签订之日起，60个工作日内。</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四、履约地点</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w:t>
      </w:r>
      <w:r>
        <w:rPr>
          <w:rFonts w:hint="eastAsia" w:ascii="宋体" w:hAnsi="宋体" w:eastAsia="宋体" w:cs="宋体"/>
          <w:color w:val="auto"/>
          <w:sz w:val="24"/>
          <w:szCs w:val="24"/>
          <w:highlight w:val="none"/>
          <w:lang w:eastAsia="zh-CN"/>
        </w:rPr>
        <w:t>郫都区</w:t>
      </w:r>
      <w:r>
        <w:rPr>
          <w:rFonts w:hint="eastAsia" w:ascii="宋体" w:hAnsi="宋体" w:eastAsia="宋体" w:cs="宋体"/>
          <w:color w:val="auto"/>
          <w:sz w:val="24"/>
          <w:szCs w:val="24"/>
          <w:highlight w:val="none"/>
        </w:rPr>
        <w:t>高店路1666号。</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五、合同总价、付款安排、支付方式</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1.合同总价：XXXX。</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2.付款进度安排：签订合同后5个工作日内甲方向乙方支付合同总金额50%的预付款，乙方将成果提交验收合格后5个工作日内，开具全额发票给甲方，甲方在5个工作日内向乙方付清剩余的50%合同款。</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支付方式为一次性对公银行转账。</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六、履约保证金要求</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合同签订之前，乙方按合同金额的5%向甲方交纳履约保证金</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如是中小企业为2%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，乙方应在成交通知书发出之日起合同签订前以银行转账、支票、汇票、本票等非现金形式向甲方提交履约保证金。</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履行合同约定(含售后服务)完毕且验收合格后，甲方收到乙方退还履约保证金申请书后的10个日历天内无息退还乙方应退部分履约保证金。因甲方原因逾期退还的，应当以未退还金额为基数，按合同订立时1年期贷款市场报价利率标准向乙方支付相应违约金，但违约金最高不得超过未退还金额的百分之十。若因乙方不及时或未提供“履约保证金的收据”、“履约保证金退还申请”的，则甲方不承担逾期退还违约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履约保证金汇入的银行及账号：</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收款账号：成都市技师学院</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开户银行：工行四川成都分行郫都红光支行</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银行账号：4402054609100031151</w:t>
      </w:r>
    </w:p>
    <w:p>
      <w:pPr>
        <w:keepNext w:val="0"/>
        <w:keepLines w:val="0"/>
        <w:pageBreakBefore w:val="0"/>
        <w:widowControl w:val="0"/>
        <w:kinsoku/>
        <w:wordWrap/>
        <w:overflowPunct/>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不予退还情形:一是乙方未按合同要求履行的，其履约保证金全部扣除。二是乙方缴纳了履约保证金，但因自身原因被取消成交资格或在成交公示期满之日起30个日历天(含法定节假日)内乙方不按采购文件确定的事项与甲方签订合同的，其履约保证金不予退还。三是法律法规或合同约定的其他情形。</w:t>
      </w:r>
    </w:p>
    <w:p>
      <w:pPr>
        <w:keepNext w:val="0"/>
        <w:keepLines w:val="0"/>
        <w:pageBreakBefore w:val="0"/>
        <w:widowControl w:val="0"/>
        <w:kinsoku/>
        <w:wordWrap/>
        <w:overflowPunct/>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七、双方的权力和义务</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(一)甲方的权利和义务</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1、甲方有权对合同规定范围内乙方提供的服务行为进行监督和检查，拥有监管权。有权核对乙方提供的服务质量。对甲方认为不合格的有权下达整改通知书，并要求乙方限期整改。</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2、负责检查监督乙方提供服务的实施的执行情况。</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3、根据本合同规定，按时向乙方支付应付服务费用。</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4、国家法律、法规所规定由甲方承担的其它责任。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(二)乙方的权利和义务</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1、对本合同规定的委托事项范围内的项目享有管理权及服务义务。</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2、根据本合同的规定向甲方收取相关费用。</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3、及时向甲方通告本项目实施相关重大事项。</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4、接受项目行业管理部门及政府有关部门的指导，接受甲方的监督。</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5、履行本合同的全部安全责任均由乙方承担，甲方对此不承担任何责任。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6、乙方履行本项目过程中，应当尊重、保护甲方的知识产权。</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7、乙方根据国家出版管理、信息安全等有关法律法规、政策，对甲方数字教材内容进行校审，其中涉及禁载的内容，乙方应及时书面通知甲方且经甲方确认后予以调整。</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8、国家法律、法规所规定由乙方承担的其它责任。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八、验收、交付标准和方法</w:t>
      </w:r>
    </w:p>
    <w:p>
      <w:pPr>
        <w:keepNext w:val="0"/>
        <w:keepLines w:val="0"/>
        <w:pageBreakBefore w:val="0"/>
        <w:widowControl w:val="0"/>
        <w:kinsoku/>
        <w:wordWrap/>
        <w:overflowPunct/>
        <w:autoSpaceDE/>
        <w:autoSpaceDN/>
        <w:bidi w:val="0"/>
        <w:adjustRightInd w:val="0"/>
        <w:snapToGrid w:val="0"/>
        <w:spacing w:before="0" w:after="0" w:line="520" w:lineRule="exact"/>
        <w:ind w:left="0" w:leftChars="0" w:firstLine="480" w:firstLineChars="200"/>
        <w:jc w:val="left"/>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1.验收主体：甲方。</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2.验收的方式：内部验收</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3.验收时间及验收程序：项目履行完毕后乙方书面通知甲方验收，甲方自收到乙方验收申请之日起5个工作日内组织验收小组进行验收。</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4.验收内容：根据服务内容及要求、商务要求的履约情况。</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标准：按采购文件的技术要求和商务要求、乙方的响应文件及承诺、合同约定进行验收。其他未尽事宜应参照《财政部关于进一步加强政府采购需求和履约验收管理的指导意见》(财库〔2016〕205号)的要求进行验收。</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6.交付标准和方法：乙方完成履约且通过甲方验收合格，视为乙方完成交付。</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7.验收合格，双方签署《验收合格报告》；若验收不合格，按本合同第十二条2.1款执行。</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九、合同的变更和终止</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合同继续履行将损害国家利益和社会公共利益的，双方当事人应当变更、中止或者终止合同。有过错的一方应当承担赔偿责任，双方都有过错的，各自承担相应的责任。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除以上规定的情形外，本合同一经签订，甲乙双方不得擅自变更、中止或终止合同。</w:t>
      </w:r>
    </w:p>
    <w:p>
      <w:pPr>
        <w:keepNext w:val="0"/>
        <w:keepLines w:val="0"/>
        <w:pageBreakBefore w:val="0"/>
        <w:widowControl w:val="0"/>
        <w:kinsoku/>
        <w:wordWrap/>
        <w:overflowPunct/>
        <w:autoSpaceDE/>
        <w:autoSpaceDN/>
        <w:bidi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十、知识产权</w:t>
      </w:r>
    </w:p>
    <w:p>
      <w:pPr>
        <w:keepNext w:val="0"/>
        <w:keepLines w:val="0"/>
        <w:pageBreakBefore w:val="0"/>
        <w:widowControl w:val="0"/>
        <w:kinsoku/>
        <w:wordWrap/>
        <w:overflowPunct/>
        <w:autoSpaceDE/>
        <w:autoSpaceDN/>
        <w:bidi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包括但不限于因此向第三方支付的赔偿金、违约金等，以及因此支出的诉讼费用、律师费、保全费等</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均由乙方承担。</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十一、解决争议的方法 </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1.履约期间,若双方发生争议，双方应通过友好协商解决，经协商不能达成协议时，应向甲方所在地人民法院提起诉讼。在诉讼期间，除正在进行诉讼的部分外，合同其他部分继续执行。</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2.除判决另有规定外，一切涉诉合理费用均由违约方承担。</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十二、违约责任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1.甲方违约责任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故意逾期支付服务费的，除应及时付足服务费外，应按欠款总额万分之五/天的标准向乙方支付违约金。逾期付款超过30日历天的，乙方有权终止合同，但非甲方原因导致付款超过30日历天的，乙方不得终止合同</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说明：如因当年年终财政关闭支付系统导致甲方在合同履行期间无法支付，则甲方不承担逾期支付责任，待来年财政支付系统开通后支付。</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2.乙方违约责任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提供的服务不符合采购文件和响应文件规定的，乙方应在7个日历天内进行整改。若乙方未在7个日历天内完成整改或整改后仍不符合采购文件和响应文件要求的，视作乙方不能提供服务而违约，甲方有权终止合同并要求乙方按合同总金额的百分之二十支付违约金和赔偿因此给甲方造成的全部损失，并且甲方不予退还乙方履约保证金。</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2.2若乙方提供虚假、作废发票或违反国家法律、法规开具或提供发票的，乙方自行承担全部法律责任，同时乙方还应按合同总金额的百分之二十向甲方支付违约金。</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如因乙方工作人员在履行职务过程中的疏忽、失职、过错等故意或者过失原因给甲方造成损失或侵害，包括但不限于甲方本身的财产损失、由此而导致甲方对任何第三方的法律责任、相关舆情处理费用、学校声誉损失等，乙方对此均应承担全部的赔偿责任。</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2.4若乙方需要支付违约金，甲方有权从未付的服务费中进行扣除；如果乙方偿付的违约金不足以弥补甲方损失的，还应按甲方损失尚未弥补的部分，支付赔偿金给甲方。</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乙方未在约定时间完成全部服务工作的，除及时完成外，每逾期一天，乙方按合同成交价万分之五/天的标准向甲方支付逾期违约金，甲方也有权从未付款中扣除；若逾期超过XX天的，视为乙方违约，甲方有权解除合同并要求乙方按合同成交价30%支付违约金，同时，甲方不再退还乙方履约保证金。</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乙方在履行本合同过程中侵害甲方或著作人权利的，由乙方承担全部责任并赔偿因此给甲方以及著作权人造成的全部损失，损失计算存在困难的，乙方应按合同总金额30%向甲方及著作权人支付固定赔偿金，同时，甲方可以终止合同。</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、不可抗力事件处理</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pPr>
        <w:keepNext w:val="0"/>
        <w:keepLines w:val="0"/>
        <w:pageBreakBefore w:val="0"/>
        <w:widowControl w:val="0"/>
        <w:kinsoku/>
        <w:wordWrap/>
        <w:overflowPunct/>
        <w:autoSpaceDE/>
        <w:autoSpaceDN/>
        <w:bidi w:val="0"/>
        <w:spacing w:before="0" w:after="0" w:line="520" w:lineRule="exact"/>
        <w:ind w:left="0" w:leftChars="0" w:firstLine="480" w:firstLineChars="200"/>
        <w:textAlignment w:val="auto"/>
        <w:outlineLvl w:val="9"/>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3、不可抗力事件延续XXX天以上，双方应通过友好协商，确定是否继续履行合同。</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 xml:space="preserve">、组成本合同的有关文件 </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下列关于成都市技师学院工业机器人应用与维护专业出版教材服务采购项目(项目编号：  )的采购文件、乙方的响应文件或与本次采购活动方式相适应的文件及有关附件是本合同不可分割的组成部分，与本合同具有同等法律效力，这些文件包括但不限于：</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1.甲方的采购文件；</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2.乙方的响应文件；</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、合同的分包和转让</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1.乙方不得部分或全部转让其应履行的合同义务；</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2.乙方不得分包。</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、其他</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1.乙方制定的实施方案等详见乙方响应文件。</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2.本合同自乙方缴纳履约保证金后，且合同经双方法定代表人或授权委托代理人签字并加盖单位公章后生效。</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3.如有未尽事宜，由双方依法订立补充合同。</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4.本合同一式6份，甲方4份，乙方2份，均具有同等效力。</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5.如本合同与甲方的采购文件、乙方的响应文件不一致时，以甲方的采购文件、乙方的响应文件为准。</w:t>
      </w:r>
    </w:p>
    <w:p>
      <w:pPr>
        <w:keepNext w:val="0"/>
        <w:keepLines w:val="0"/>
        <w:pageBreakBefore w:val="0"/>
        <w:widowControl w:val="0"/>
        <w:kinsoku/>
        <w:wordWrap/>
        <w:overflowPunct/>
        <w:autoSpaceDE/>
        <w:autoSpaceDN/>
        <w:bidi w:val="0"/>
        <w:adjustRightInd w:val="0"/>
        <w:snapToGrid w:val="0"/>
        <w:spacing w:line="52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6.本合同应按照中华人民共和国的现行法律进行解释。</w:t>
      </w:r>
    </w:p>
    <w:p>
      <w:pPr>
        <w:pStyle w:val="33"/>
        <w:numPr>
          <w:ilvl w:val="1"/>
          <w:numId w:val="0"/>
        </w:numPr>
        <w:spacing w:line="520" w:lineRule="exact"/>
        <w:ind w:left="480" w:leftChars="200"/>
        <w:rPr>
          <w:rFonts w:hint="eastAsia" w:ascii="宋体" w:hAnsi="宋体" w:eastAsia="宋体" w:cs="宋体"/>
          <w:color w:val="auto"/>
          <w:highlight w:val="none"/>
        </w:rPr>
      </w:pPr>
    </w:p>
    <w:p>
      <w:pPr>
        <w:pStyle w:val="34"/>
        <w:pageBreakBefore/>
        <w:spacing w:before="240" w:beforeLines="100" w:after="240" w:afterLines="10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(本页无正文)</w:t>
      </w:r>
    </w:p>
    <w:tbl>
      <w:tblPr>
        <w:tblStyle w:val="24"/>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甲方：   (盖章)</w:t>
            </w:r>
          </w:p>
        </w:tc>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法定代表人(被授权人)：</w:t>
            </w:r>
          </w:p>
        </w:tc>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法定代表人(被授权人)：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地址(住所)：</w:t>
            </w:r>
          </w:p>
        </w:tc>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地址(住所)：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tc>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传真：</w:t>
            </w:r>
          </w:p>
        </w:tc>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签约日期：XX年XX月XX日</w:t>
            </w:r>
          </w:p>
        </w:tc>
        <w:tc>
          <w:tcPr>
            <w:tcW w:w="4981" w:type="dxa"/>
            <w:vAlign w:val="center"/>
          </w:tcPr>
          <w:p>
            <w:pPr>
              <w:pStyle w:val="43"/>
              <w:rPr>
                <w:rFonts w:hint="eastAsia" w:ascii="宋体" w:hAnsi="宋体" w:eastAsia="宋体" w:cs="宋体"/>
                <w:color w:val="auto"/>
                <w:highlight w:val="none"/>
              </w:rPr>
            </w:pPr>
            <w:r>
              <w:rPr>
                <w:rFonts w:hint="eastAsia" w:ascii="宋体" w:hAnsi="宋体" w:eastAsia="宋体" w:cs="宋体"/>
                <w:color w:val="auto"/>
                <w:highlight w:val="none"/>
              </w:rPr>
              <w:t>签约日期：XX年XX月XX日</w:t>
            </w:r>
          </w:p>
        </w:tc>
      </w:tr>
    </w:tbl>
    <w:p>
      <w:pPr>
        <w:pStyle w:val="43"/>
        <w:rPr>
          <w:rFonts w:hint="eastAsia" w:ascii="宋体" w:hAnsi="宋体" w:eastAsia="宋体" w:cs="宋体"/>
          <w:color w:val="auto"/>
          <w:highlight w:val="none"/>
        </w:rPr>
        <w:sectPr>
          <w:pgSz w:w="11906" w:h="16838"/>
          <w:pgMar w:top="1440" w:right="1080" w:bottom="1440" w:left="1080" w:header="851" w:footer="992" w:gutter="0"/>
          <w:pgNumType w:fmt="decimal"/>
          <w:cols w:space="0" w:num="1"/>
          <w:titlePg/>
          <w:docGrid w:linePitch="312" w:charSpace="0"/>
        </w:sectPr>
      </w:pPr>
      <w:r>
        <w:rPr>
          <w:rFonts w:hint="eastAsia" w:ascii="宋体" w:hAnsi="宋体" w:eastAsia="宋体" w:cs="宋体"/>
          <w:color w:val="auto"/>
          <w:highlight w:val="none"/>
        </w:rPr>
        <w:br w:type="page"/>
      </w:r>
    </w:p>
    <w:p>
      <w:pPr>
        <w:pStyle w:val="48"/>
        <w:numPr>
          <w:ilvl w:val="0"/>
          <w:numId w:val="24"/>
        </w:numPr>
        <w:spacing w:before="120" w:after="120"/>
        <w:rPr>
          <w:rFonts w:hint="eastAsia" w:ascii="宋体" w:hAnsi="宋体" w:eastAsia="宋体" w:cs="宋体"/>
          <w:color w:val="auto"/>
          <w:highlight w:val="none"/>
        </w:rPr>
      </w:pPr>
      <w:bookmarkStart w:id="650" w:name="_Toc28848"/>
      <w:bookmarkStart w:id="651" w:name="_Toc23622"/>
      <w:bookmarkStart w:id="652" w:name="_Toc8410"/>
      <w:r>
        <w:rPr>
          <w:rFonts w:hint="eastAsia" w:ascii="宋体" w:hAnsi="宋体" w:eastAsia="宋体" w:cs="宋体"/>
          <w:color w:val="auto"/>
          <w:highlight w:val="none"/>
        </w:rPr>
        <w:t>附件</w:t>
      </w:r>
      <w:bookmarkEnd w:id="650"/>
      <w:bookmarkEnd w:id="651"/>
      <w:bookmarkEnd w:id="652"/>
    </w:p>
    <w:p>
      <w:pPr>
        <w:pStyle w:val="35"/>
        <w:numPr>
          <w:ilvl w:val="1"/>
          <w:numId w:val="0"/>
        </w:numPr>
        <w:ind w:left="480" w:leftChars="200"/>
        <w:rPr>
          <w:rFonts w:hint="eastAsia" w:ascii="宋体" w:hAnsi="宋体" w:eastAsia="宋体" w:cs="宋体"/>
          <w:color w:val="auto"/>
          <w:highlight w:val="none"/>
        </w:rPr>
      </w:pPr>
      <w:bookmarkStart w:id="653" w:name="_Toc18539"/>
      <w:bookmarkStart w:id="654" w:name="_Toc3130"/>
      <w:bookmarkStart w:id="655" w:name="_Toc20908"/>
      <w:r>
        <w:rPr>
          <w:rFonts w:hint="eastAsia" w:ascii="宋体" w:hAnsi="宋体" w:eastAsia="宋体" w:cs="宋体"/>
          <w:color w:val="auto"/>
          <w:highlight w:val="none"/>
        </w:rPr>
        <w:t>附件一：问题的澄清、说明、更正通知</w:t>
      </w:r>
      <w:bookmarkEnd w:id="653"/>
      <w:bookmarkEnd w:id="654"/>
      <w:bookmarkEnd w:id="655"/>
    </w:p>
    <w:p>
      <w:pPr>
        <w:spacing w:line="360" w:lineRule="auto"/>
        <w:ind w:firstLine="48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问题的澄清、说明、更正通知</w:t>
      </w:r>
    </w:p>
    <w:p>
      <w:pPr>
        <w:spacing w:line="360" w:lineRule="auto"/>
        <w:ind w:firstLine="48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(由磋商小组发出)</w:t>
      </w:r>
    </w:p>
    <w:p>
      <w:pPr>
        <w:spacing w:line="360" w:lineRule="auto"/>
        <w:ind w:firstLine="480" w:firstLineChars="200"/>
        <w:jc w:val="both"/>
        <w:rPr>
          <w:rFonts w:hint="eastAsia" w:ascii="宋体" w:hAnsi="宋体" w:eastAsia="宋体" w:cs="宋体"/>
          <w:b/>
          <w:color w:val="auto"/>
          <w:highlight w:val="none"/>
        </w:rPr>
      </w:pPr>
      <w:r>
        <w:rPr>
          <w:rFonts w:hint="eastAsia" w:ascii="宋体" w:hAnsi="宋体" w:eastAsia="宋体" w:cs="宋体"/>
          <w:color w:val="auto"/>
          <w:highlight w:val="none"/>
        </w:rPr>
        <w:t>编号：</w:t>
      </w:r>
    </w:p>
    <w:p>
      <w:pPr>
        <w:spacing w:line="360" w:lineRule="auto"/>
        <w:ind w:firstLine="480" w:firstLineChars="200"/>
        <w:rPr>
          <w:rFonts w:hint="eastAsia" w:ascii="宋体" w:hAnsi="宋体" w:eastAsia="宋体" w:cs="宋体"/>
          <w:color w:val="auto"/>
          <w:highlight w:val="none"/>
          <w:u w:val="single"/>
        </w:rPr>
      </w:pPr>
    </w:p>
    <w:p>
      <w:pP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(供应商名称)： </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(项目名称)竞争性磋商小组，对你方的响应文件进行了仔细的审查，现需你方对下列问题以书面形式予以</w:t>
      </w:r>
      <w:r>
        <w:rPr>
          <w:rFonts w:hint="eastAsia" w:ascii="宋体" w:hAnsi="宋体" w:eastAsia="宋体" w:cs="宋体"/>
          <w:b/>
          <w:color w:val="auto"/>
          <w:highlight w:val="none"/>
        </w:rPr>
        <w:t>澄清、说明、更正</w:t>
      </w:r>
      <w:r>
        <w:rPr>
          <w:rFonts w:hint="eastAsia" w:ascii="宋体" w:hAnsi="宋体" w:eastAsia="宋体" w:cs="宋体"/>
          <w:color w:val="auto"/>
          <w:highlight w:val="none"/>
        </w:rPr>
        <w:t>：</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wordWrap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请将上述问题的</w:t>
      </w:r>
      <w:r>
        <w:rPr>
          <w:rFonts w:hint="eastAsia" w:ascii="宋体" w:hAnsi="宋体" w:eastAsia="宋体" w:cs="宋体"/>
          <w:b/>
          <w:color w:val="auto"/>
          <w:highlight w:val="none"/>
        </w:rPr>
        <w:t>澄清、说明、更正</w:t>
      </w:r>
      <w:r>
        <w:rPr>
          <w:rFonts w:hint="eastAsia" w:ascii="宋体" w:hAnsi="宋体" w:eastAsia="宋体" w:cs="宋体"/>
          <w:color w:val="auto"/>
          <w:highlight w:val="none"/>
        </w:rPr>
        <w:t>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时前递交至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(详细地址)或传真至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(传真号码)。采用传真方式的，应在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时前将原件递交至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(详细地址)。</w:t>
      </w:r>
    </w:p>
    <w:p>
      <w:pPr>
        <w:ind w:firstLine="5880" w:firstLineChars="2450"/>
        <w:rPr>
          <w:rFonts w:hint="eastAsia" w:ascii="宋体" w:hAnsi="宋体" w:eastAsia="宋体" w:cs="宋体"/>
          <w:color w:val="auto"/>
          <w:highlight w:val="none"/>
        </w:rPr>
      </w:pPr>
    </w:p>
    <w:p>
      <w:pPr>
        <w:ind w:firstLine="5880" w:firstLineChars="2450"/>
        <w:rPr>
          <w:rFonts w:hint="eastAsia" w:ascii="宋体" w:hAnsi="宋体" w:eastAsia="宋体" w:cs="宋体"/>
          <w:color w:val="auto"/>
          <w:highlight w:val="none"/>
        </w:rPr>
      </w:pPr>
    </w:p>
    <w:p>
      <w:pPr>
        <w:ind w:firstLine="2160" w:firstLineChars="900"/>
        <w:jc w:val="right"/>
        <w:rPr>
          <w:rFonts w:hint="eastAsia" w:ascii="宋体" w:hAnsi="宋体" w:eastAsia="宋体" w:cs="宋体"/>
          <w:color w:val="auto"/>
          <w:highlight w:val="none"/>
        </w:rPr>
      </w:pPr>
      <w:r>
        <w:rPr>
          <w:rFonts w:hint="eastAsia" w:ascii="宋体" w:hAnsi="宋体" w:eastAsia="宋体" w:cs="宋体"/>
          <w:color w:val="auto"/>
          <w:highlight w:val="none"/>
        </w:rPr>
        <w:t>磋商小组：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jc w:val="right"/>
        <w:rPr>
          <w:rFonts w:hint="eastAsia" w:ascii="宋体" w:hAnsi="宋体" w:eastAsia="宋体" w:cs="宋体"/>
          <w:color w:val="auto"/>
          <w:highlight w:val="none"/>
        </w:rPr>
      </w:pPr>
      <w:r>
        <w:rPr>
          <w:rFonts w:hint="eastAsia" w:ascii="宋体" w:hAnsi="宋体" w:eastAsia="宋体" w:cs="宋体"/>
          <w:color w:val="auto"/>
          <w:highlight w:val="none"/>
        </w:rPr>
        <w:t>采购人或采购代理机构：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(盖单位章或负责人签字)</w:t>
      </w:r>
    </w:p>
    <w:p>
      <w:pPr>
        <w:jc w:val="right"/>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ind w:firstLine="616" w:firstLineChars="257"/>
        <w:rPr>
          <w:rFonts w:hint="eastAsia" w:ascii="宋体" w:hAnsi="宋体" w:eastAsia="宋体" w:cs="宋体"/>
          <w:color w:val="auto"/>
          <w:highlight w:val="none"/>
        </w:rPr>
      </w:pPr>
    </w:p>
    <w:p>
      <w:pPr>
        <w:ind w:firstLine="616" w:firstLineChars="257"/>
        <w:rPr>
          <w:rFonts w:hint="eastAsia" w:ascii="宋体" w:hAnsi="宋体" w:eastAsia="宋体" w:cs="宋体"/>
          <w:color w:val="auto"/>
          <w:highlight w:val="none"/>
        </w:rPr>
      </w:pPr>
      <w:r>
        <w:rPr>
          <w:rFonts w:hint="eastAsia" w:ascii="宋体" w:hAnsi="宋体" w:eastAsia="宋体" w:cs="宋体"/>
          <w:color w:val="auto"/>
          <w:highlight w:val="none"/>
        </w:rPr>
        <w:t>注：(1)“问题</w:t>
      </w:r>
      <w:r>
        <w:rPr>
          <w:rFonts w:hint="eastAsia" w:ascii="宋体" w:hAnsi="宋体" w:eastAsia="宋体" w:cs="宋体"/>
          <w:b/>
          <w:color w:val="auto"/>
          <w:highlight w:val="none"/>
        </w:rPr>
        <w:t>澄清、说明、更正</w:t>
      </w:r>
      <w:r>
        <w:rPr>
          <w:rFonts w:hint="eastAsia" w:ascii="宋体" w:hAnsi="宋体" w:eastAsia="宋体" w:cs="宋体"/>
          <w:color w:val="auto"/>
          <w:highlight w:val="none"/>
        </w:rPr>
        <w:t>通知”由磋商小组拟定书面形式作出，由采购人或采购代理机构代为发出。</w:t>
      </w:r>
    </w:p>
    <w:p>
      <w:pPr>
        <w:ind w:firstLine="616" w:firstLineChars="257"/>
        <w:rPr>
          <w:rFonts w:hint="eastAsia" w:ascii="宋体" w:hAnsi="宋体" w:eastAsia="宋体" w:cs="宋体"/>
          <w:color w:val="auto"/>
          <w:highlight w:val="none"/>
          <w:u w:val="single"/>
        </w:rPr>
      </w:pPr>
      <w:r>
        <w:rPr>
          <w:rFonts w:hint="eastAsia" w:ascii="宋体" w:hAnsi="宋体" w:eastAsia="宋体" w:cs="宋体"/>
          <w:color w:val="auto"/>
          <w:highlight w:val="none"/>
        </w:rPr>
        <w:t>(2)发给供应商的“问题</w:t>
      </w:r>
      <w:r>
        <w:rPr>
          <w:rFonts w:hint="eastAsia" w:ascii="宋体" w:hAnsi="宋体" w:eastAsia="宋体" w:cs="宋体"/>
          <w:b/>
          <w:color w:val="auto"/>
          <w:highlight w:val="none"/>
        </w:rPr>
        <w:t>澄清、说明、更正</w:t>
      </w:r>
      <w:r>
        <w:rPr>
          <w:rFonts w:hint="eastAsia" w:ascii="宋体" w:hAnsi="宋体" w:eastAsia="宋体" w:cs="宋体"/>
          <w:color w:val="auto"/>
          <w:highlight w:val="none"/>
        </w:rPr>
        <w:t>通知”，应删除“磋商小组：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(签字)”一栏，以“采购人或采购代理机构：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(盖单位章或负责人签字)”代替。磋商小组签字的“问题</w:t>
      </w:r>
      <w:r>
        <w:rPr>
          <w:rFonts w:hint="eastAsia" w:ascii="宋体" w:hAnsi="宋体" w:eastAsia="宋体" w:cs="宋体"/>
          <w:b/>
          <w:color w:val="auto"/>
          <w:highlight w:val="none"/>
        </w:rPr>
        <w:t>澄清、说明、更正</w:t>
      </w:r>
      <w:r>
        <w:rPr>
          <w:rFonts w:hint="eastAsia" w:ascii="宋体" w:hAnsi="宋体" w:eastAsia="宋体" w:cs="宋体"/>
          <w:color w:val="auto"/>
          <w:highlight w:val="none"/>
        </w:rPr>
        <w:t>通知”，应编入评审报告并存档备查。</w:t>
      </w:r>
    </w:p>
    <w:p>
      <w:pPr>
        <w:pStyle w:val="35"/>
        <w:numPr>
          <w:ilvl w:val="1"/>
          <w:numId w:val="0"/>
        </w:numPr>
        <w:ind w:left="480" w:leftChars="200"/>
        <w:rPr>
          <w:rFonts w:hint="eastAsia" w:ascii="宋体" w:hAnsi="宋体" w:eastAsia="宋体" w:cs="宋体"/>
          <w:color w:val="auto"/>
          <w:highlight w:val="none"/>
        </w:rPr>
      </w:pPr>
      <w:r>
        <w:rPr>
          <w:rFonts w:hint="eastAsia" w:ascii="宋体" w:hAnsi="宋体" w:eastAsia="宋体" w:cs="宋体"/>
          <w:color w:val="auto"/>
          <w:szCs w:val="21"/>
          <w:highlight w:val="none"/>
          <w:u w:val="single"/>
        </w:rPr>
        <w:br w:type="page"/>
      </w:r>
      <w:bookmarkStart w:id="656" w:name="_Toc3428"/>
      <w:bookmarkStart w:id="657" w:name="_Toc31095"/>
      <w:bookmarkStart w:id="658" w:name="_Toc6534"/>
      <w:r>
        <w:rPr>
          <w:rFonts w:hint="eastAsia" w:ascii="宋体" w:hAnsi="宋体" w:eastAsia="宋体" w:cs="宋体"/>
          <w:color w:val="auto"/>
          <w:highlight w:val="none"/>
        </w:rPr>
        <w:t>附件二：问题的澄清、说明、更正</w:t>
      </w:r>
      <w:bookmarkEnd w:id="656"/>
      <w:bookmarkEnd w:id="657"/>
      <w:bookmarkEnd w:id="658"/>
    </w:p>
    <w:p>
      <w:pPr>
        <w:ind w:firstLine="482" w:firstLineChars="200"/>
        <w:jc w:val="center"/>
        <w:rPr>
          <w:rFonts w:hint="eastAsia" w:ascii="宋体" w:hAnsi="宋体" w:eastAsia="宋体" w:cs="宋体"/>
          <w:b/>
          <w:color w:val="auto"/>
          <w:highlight w:val="none"/>
        </w:rPr>
      </w:pPr>
      <w:r>
        <w:rPr>
          <w:rFonts w:hint="eastAsia" w:ascii="宋体" w:hAnsi="宋体" w:eastAsia="宋体" w:cs="宋体"/>
          <w:b/>
          <w:color w:val="auto"/>
          <w:highlight w:val="none"/>
        </w:rPr>
        <w:t>问题的澄清、说明、更正</w:t>
      </w:r>
    </w:p>
    <w:p>
      <w:pPr>
        <w:rPr>
          <w:rFonts w:hint="eastAsia" w:ascii="宋体" w:hAnsi="宋体" w:eastAsia="宋体" w:cs="宋体"/>
          <w:color w:val="auto"/>
          <w:highlight w:val="none"/>
        </w:rPr>
      </w:pPr>
      <w:r>
        <w:rPr>
          <w:rFonts w:hint="eastAsia" w:ascii="宋体" w:hAnsi="宋体" w:eastAsia="宋体" w:cs="宋体"/>
          <w:color w:val="auto"/>
          <w:highlight w:val="none"/>
        </w:rPr>
        <w:t>编号：</w:t>
      </w:r>
    </w:p>
    <w:p>
      <w:pPr>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(项目名称)竞争性磋商小组：</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问题澄清</w:t>
      </w:r>
      <w:r>
        <w:rPr>
          <w:rFonts w:hint="eastAsia" w:ascii="宋体" w:hAnsi="宋体" w:eastAsia="宋体" w:cs="宋体"/>
          <w:b/>
          <w:color w:val="auto"/>
          <w:highlight w:val="none"/>
        </w:rPr>
        <w:t>、说明、更正</w:t>
      </w:r>
      <w:r>
        <w:rPr>
          <w:rFonts w:hint="eastAsia" w:ascii="宋体" w:hAnsi="宋体" w:eastAsia="宋体" w:cs="宋体"/>
          <w:color w:val="auto"/>
          <w:highlight w:val="none"/>
        </w:rPr>
        <w:t>通知(编号：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)已收悉，现</w:t>
      </w:r>
      <w:r>
        <w:rPr>
          <w:rFonts w:hint="eastAsia" w:ascii="宋体" w:hAnsi="宋体" w:eastAsia="宋体" w:cs="宋体"/>
          <w:b/>
          <w:color w:val="auto"/>
          <w:highlight w:val="none"/>
        </w:rPr>
        <w:t>澄清、说明、更正</w:t>
      </w:r>
      <w:r>
        <w:rPr>
          <w:rFonts w:hint="eastAsia" w:ascii="宋体" w:hAnsi="宋体" w:eastAsia="宋体" w:cs="宋体"/>
          <w:color w:val="auto"/>
          <w:highlight w:val="none"/>
        </w:rPr>
        <w:t>如下：</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w:t>
      </w:r>
    </w:p>
    <w:p>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w:t>
      </w:r>
    </w:p>
    <w:p>
      <w:pPr>
        <w:ind w:firstLine="480" w:firstLineChars="200"/>
        <w:rPr>
          <w:rFonts w:hint="eastAsia" w:ascii="宋体" w:hAnsi="宋体" w:eastAsia="宋体" w:cs="宋体"/>
          <w:color w:val="auto"/>
          <w:highlight w:val="none"/>
        </w:rPr>
      </w:pPr>
    </w:p>
    <w:p>
      <w:pPr>
        <w:ind w:firstLine="480" w:firstLineChars="200"/>
        <w:rPr>
          <w:rFonts w:hint="eastAsia" w:ascii="宋体" w:hAnsi="宋体" w:eastAsia="宋体" w:cs="宋体"/>
          <w:color w:val="auto"/>
          <w:highlight w:val="none"/>
        </w:rPr>
      </w:pPr>
    </w:p>
    <w:p>
      <w:pPr>
        <w:ind w:firstLine="480" w:firstLineChars="200"/>
        <w:rPr>
          <w:rFonts w:hint="eastAsia" w:ascii="宋体" w:hAnsi="宋体" w:eastAsia="宋体" w:cs="宋体"/>
          <w:color w:val="auto"/>
          <w:highlight w:val="none"/>
        </w:rPr>
      </w:pPr>
    </w:p>
    <w:p>
      <w:pPr>
        <w:ind w:firstLine="480" w:firstLineChars="200"/>
        <w:rPr>
          <w:rFonts w:hint="eastAsia" w:ascii="宋体" w:hAnsi="宋体" w:eastAsia="宋体" w:cs="宋体"/>
          <w:color w:val="auto"/>
          <w:highlight w:val="none"/>
        </w:rPr>
      </w:pPr>
    </w:p>
    <w:p>
      <w:pPr>
        <w:ind w:firstLine="480" w:firstLineChars="200"/>
        <w:rPr>
          <w:rFonts w:hint="eastAsia" w:ascii="宋体" w:hAnsi="宋体" w:eastAsia="宋体" w:cs="宋体"/>
          <w:color w:val="auto"/>
          <w:highlight w:val="none"/>
        </w:rPr>
      </w:pPr>
    </w:p>
    <w:p>
      <w:pPr>
        <w:ind w:firstLine="4200" w:firstLineChars="1750"/>
        <w:rPr>
          <w:rFonts w:hint="eastAsia" w:ascii="宋体" w:hAnsi="宋体" w:eastAsia="宋体" w:cs="宋体"/>
          <w:color w:val="auto"/>
          <w:highlight w:val="none"/>
        </w:rPr>
      </w:pPr>
      <w:r>
        <w:rPr>
          <w:rFonts w:hint="eastAsia" w:ascii="宋体" w:hAnsi="宋体" w:eastAsia="宋体" w:cs="宋体"/>
          <w:color w:val="auto"/>
          <w:highlight w:val="none"/>
        </w:rPr>
        <w:t>法定代表人或其授权代表：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ind w:firstLine="5880" w:firstLineChars="2450"/>
        <w:rPr>
          <w:rFonts w:hint="eastAsia" w:ascii="宋体" w:hAnsi="宋体" w:eastAsia="宋体" w:cs="宋体"/>
          <w:color w:val="auto"/>
          <w:highlight w:val="none"/>
          <w:u w:val="single"/>
        </w:rPr>
      </w:pPr>
    </w:p>
    <w:p>
      <w:pPr>
        <w:ind w:firstLine="5400" w:firstLineChars="225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注：供应商应按本“</w:t>
      </w:r>
      <w:r>
        <w:rPr>
          <w:rFonts w:hint="eastAsia" w:ascii="宋体" w:hAnsi="宋体" w:eastAsia="宋体" w:cs="宋体"/>
          <w:b/>
          <w:color w:val="auto"/>
          <w:highlight w:val="none"/>
        </w:rPr>
        <w:t>问题的澄清、说明、更正</w:t>
      </w:r>
      <w:r>
        <w:rPr>
          <w:rFonts w:hint="eastAsia" w:ascii="宋体" w:hAnsi="宋体" w:eastAsia="宋体" w:cs="宋体"/>
          <w:color w:val="auto"/>
          <w:highlight w:val="none"/>
        </w:rPr>
        <w:t>”格式回复。</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5"/>
        <w:numPr>
          <w:ilvl w:val="1"/>
          <w:numId w:val="0"/>
        </w:numPr>
        <w:ind w:left="480" w:leftChars="200"/>
        <w:rPr>
          <w:rFonts w:hint="eastAsia" w:ascii="宋体" w:hAnsi="宋体" w:eastAsia="宋体" w:cs="宋体"/>
          <w:color w:val="auto"/>
          <w:highlight w:val="none"/>
        </w:rPr>
      </w:pPr>
      <w:bookmarkStart w:id="659" w:name="_Toc10310"/>
      <w:bookmarkStart w:id="660" w:name="_Toc11384"/>
      <w:r>
        <w:rPr>
          <w:rFonts w:hint="eastAsia" w:ascii="宋体" w:hAnsi="宋体" w:eastAsia="宋体" w:cs="宋体"/>
          <w:color w:val="auto"/>
          <w:highlight w:val="none"/>
        </w:rPr>
        <w:t>附件三：2023年度信用评价服务效果调查表</w:t>
      </w:r>
      <w:bookmarkEnd w:id="659"/>
      <w:bookmarkEnd w:id="660"/>
    </w:p>
    <w:p>
      <w:pPr>
        <w:pStyle w:val="43"/>
        <w:spacing w:before="240" w:beforeLines="100" w:after="240" w:afterLines="1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2023年度信用评价服务效果调查表(供应商)</w:t>
      </w:r>
    </w:p>
    <w:p>
      <w:pPr>
        <w:pStyle w:val="43"/>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p>
    <w:p>
      <w:pPr>
        <w:pStyle w:val="43"/>
        <w:rPr>
          <w:rFonts w:hint="eastAsia" w:ascii="宋体" w:hAnsi="宋体" w:eastAsia="宋体" w:cs="宋体"/>
          <w:color w:val="auto"/>
          <w:highlight w:val="none"/>
          <w:u w:val="singl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p>
      <w:pPr>
        <w:pStyle w:val="43"/>
        <w:rPr>
          <w:rFonts w:hint="eastAsia" w:ascii="宋体" w:hAnsi="宋体" w:eastAsia="宋体" w:cs="宋体"/>
          <w:color w:val="auto"/>
          <w:highlight w:val="none"/>
        </w:rPr>
      </w:pPr>
      <w:r>
        <w:rPr>
          <w:rFonts w:hint="eastAsia" w:ascii="宋体" w:hAnsi="宋体" w:eastAsia="宋体" w:cs="宋体"/>
          <w:color w:val="auto"/>
          <w:highlight w:val="none"/>
        </w:rPr>
        <w:t>被评价代理机构名称：四川乾新招投标代理有限公司</w:t>
      </w:r>
    </w:p>
    <w:tbl>
      <w:tblPr>
        <w:tblStyle w:val="23"/>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满意</w:t>
            </w:r>
          </w:p>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基本满意 </w:t>
            </w:r>
          </w:p>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一般 </w:t>
            </w:r>
          </w:p>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不满意</w:t>
            </w:r>
          </w:p>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r>
              <w:rPr>
                <w:rFonts w:hint="eastAsia" w:ascii="宋体" w:hAnsi="宋体" w:eastAsia="宋体" w:cs="宋体"/>
                <w:b/>
                <w:bCs/>
                <w:color w:val="auto"/>
                <w:highlight w:val="none"/>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5"/>
              <w:rPr>
                <w:rFonts w:hint="eastAsia" w:ascii="宋体" w:hAnsi="宋体" w:eastAsia="宋体" w:cs="宋体"/>
                <w:b/>
                <w:bCs/>
                <w:color w:val="auto"/>
                <w:highlight w:val="none"/>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rFonts w:hint="eastAsia" w:ascii="宋体" w:hAnsi="宋体" w:eastAsia="宋体" w:cs="宋体"/>
                <w:b/>
                <w:bCs/>
                <w:color w:val="auto"/>
                <w:highlight w:val="none"/>
              </w:rPr>
            </w:pPr>
            <w:r>
              <w:rPr>
                <w:rFonts w:hint="eastAsia" w:ascii="宋体" w:hAnsi="宋体" w:eastAsia="宋体" w:cs="宋体"/>
                <w:b/>
                <w:bCs/>
                <w:color w:val="auto"/>
                <w:highlight w:val="none"/>
              </w:rPr>
              <w:t>对代理机构工作的其他建议：</w:t>
            </w:r>
          </w:p>
        </w:tc>
      </w:tr>
      <w:tr>
        <w:tblPrEx>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rFonts w:hint="eastAsia" w:ascii="宋体" w:hAnsi="宋体" w:eastAsia="宋体" w:cs="宋体"/>
                <w:b/>
                <w:bCs/>
                <w:color w:val="auto"/>
                <w:highlight w:val="none"/>
              </w:rPr>
            </w:pPr>
          </w:p>
        </w:tc>
      </w:tr>
      <w:tr>
        <w:tblPrEx>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2"/>
              <w:rPr>
                <w:rFonts w:hint="eastAsia" w:ascii="宋体" w:hAnsi="宋体" w:eastAsia="宋体" w:cs="宋体"/>
                <w:b/>
                <w:bCs/>
                <w:color w:val="auto"/>
                <w:highlight w:val="none"/>
              </w:rPr>
            </w:pPr>
            <w:r>
              <w:rPr>
                <w:rFonts w:hint="eastAsia" w:ascii="宋体" w:hAnsi="宋体" w:eastAsia="宋体" w:cs="宋体"/>
                <w:b/>
                <w:bCs/>
                <w:color w:val="auto"/>
                <w:highlight w:val="none"/>
              </w:rPr>
              <w:t>供应商名称：</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(加盖</w:t>
            </w:r>
            <w:r>
              <w:rPr>
                <w:rFonts w:hint="eastAsia" w:ascii="宋体" w:hAnsi="宋体" w:eastAsia="宋体" w:cs="宋体"/>
                <w:b/>
                <w:bCs/>
                <w:color w:val="auto"/>
                <w:highlight w:val="none"/>
                <w:lang w:eastAsia="zh-CN"/>
              </w:rPr>
              <w:t>公章</w:t>
            </w:r>
            <w:r>
              <w:rPr>
                <w:rFonts w:hint="eastAsia" w:ascii="宋体" w:hAnsi="宋体" w:eastAsia="宋体" w:cs="宋体"/>
                <w:b/>
                <w:bCs/>
                <w:color w:val="auto"/>
                <w:highlight w:val="none"/>
              </w:rPr>
              <w:t>)</w:t>
            </w:r>
          </w:p>
        </w:tc>
      </w:tr>
    </w:tbl>
    <w:p>
      <w:pPr>
        <w:pStyle w:val="47"/>
        <w:ind w:firstLine="482"/>
        <w:rPr>
          <w:rFonts w:hint="eastAsia" w:ascii="宋体" w:hAnsi="宋体" w:eastAsia="宋体" w:cs="宋体"/>
          <w:color w:val="auto"/>
          <w:highlight w:val="none"/>
        </w:rPr>
      </w:pPr>
      <w:r>
        <w:rPr>
          <w:rFonts w:hint="eastAsia" w:ascii="宋体" w:hAnsi="宋体" w:eastAsia="宋体" w:cs="宋体"/>
          <w:color w:val="auto"/>
          <w:highlight w:val="none"/>
        </w:rPr>
        <w:t>说明：请贵公司根据采购代理机构2023年度采购项目的实际情况，在“满意”、“基本满意”、“一般”、“不满意”四个评价档次栏中选取一栏打“√”，并加盖</w:t>
      </w:r>
      <w:r>
        <w:rPr>
          <w:rFonts w:hint="eastAsia" w:ascii="宋体" w:hAnsi="宋体" w:eastAsia="宋体" w:cs="宋体"/>
          <w:color w:val="auto"/>
          <w:highlight w:val="none"/>
          <w:lang w:eastAsia="zh-CN"/>
        </w:rPr>
        <w:t>公章</w:t>
      </w: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5"/>
        <w:numPr>
          <w:ilvl w:val="1"/>
          <w:numId w:val="0"/>
        </w:numPr>
        <w:ind w:firstLine="482" w:firstLineChars="200"/>
        <w:rPr>
          <w:rFonts w:hint="eastAsia" w:ascii="宋体" w:hAnsi="宋体" w:eastAsia="宋体" w:cs="宋体"/>
          <w:color w:val="auto"/>
          <w:highlight w:val="none"/>
        </w:rPr>
      </w:pPr>
      <w:bookmarkStart w:id="661" w:name="_Toc18483"/>
      <w:bookmarkStart w:id="662" w:name="_Toc1999"/>
      <w:r>
        <w:rPr>
          <w:rFonts w:hint="eastAsia" w:ascii="宋体" w:hAnsi="宋体" w:eastAsia="宋体" w:cs="宋体"/>
          <w:color w:val="auto"/>
          <w:highlight w:val="none"/>
        </w:rPr>
        <w:t>附件四：统计上大中小微型企业划分标准</w:t>
      </w:r>
      <w:bookmarkEnd w:id="661"/>
      <w:bookmarkEnd w:id="662"/>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pPr>
              <w:widowControl/>
              <w:spacing w:line="240" w:lineRule="exact"/>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行业名称</w:t>
            </w:r>
          </w:p>
        </w:tc>
        <w:tc>
          <w:tcPr>
            <w:tcW w:w="725" w:type="pct"/>
            <w:vAlign w:val="center"/>
          </w:tcPr>
          <w:p>
            <w:pPr>
              <w:widowControl/>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指标名称</w:t>
            </w:r>
          </w:p>
        </w:tc>
        <w:tc>
          <w:tcPr>
            <w:tcW w:w="375" w:type="pct"/>
            <w:vAlign w:val="center"/>
          </w:tcPr>
          <w:p>
            <w:pPr>
              <w:widowControl/>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计量</w:t>
            </w:r>
            <w:r>
              <w:rPr>
                <w:rFonts w:hint="eastAsia" w:ascii="宋体" w:hAnsi="宋体" w:eastAsia="宋体" w:cs="宋体"/>
                <w:b/>
                <w:bCs/>
                <w:color w:val="auto"/>
                <w:kern w:val="0"/>
                <w:sz w:val="15"/>
                <w:szCs w:val="15"/>
                <w:highlight w:val="none"/>
              </w:rPr>
              <w:br w:type="textWrapping"/>
            </w:r>
            <w:r>
              <w:rPr>
                <w:rFonts w:hint="eastAsia" w:ascii="宋体" w:hAnsi="宋体" w:eastAsia="宋体" w:cs="宋体"/>
                <w:b/>
                <w:bCs/>
                <w:color w:val="auto"/>
                <w:kern w:val="0"/>
                <w:sz w:val="15"/>
                <w:szCs w:val="15"/>
                <w:highlight w:val="none"/>
              </w:rPr>
              <w:t>单位</w:t>
            </w:r>
          </w:p>
        </w:tc>
        <w:tc>
          <w:tcPr>
            <w:tcW w:w="595" w:type="pct"/>
            <w:vAlign w:val="center"/>
          </w:tcPr>
          <w:p>
            <w:pPr>
              <w:widowControl/>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大型</w:t>
            </w:r>
          </w:p>
        </w:tc>
        <w:tc>
          <w:tcPr>
            <w:tcW w:w="901" w:type="pct"/>
            <w:vAlign w:val="center"/>
          </w:tcPr>
          <w:p>
            <w:pPr>
              <w:widowControl/>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中型</w:t>
            </w:r>
          </w:p>
        </w:tc>
        <w:tc>
          <w:tcPr>
            <w:tcW w:w="755" w:type="pct"/>
            <w:vAlign w:val="center"/>
          </w:tcPr>
          <w:p>
            <w:pPr>
              <w:widowControl/>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小型</w:t>
            </w:r>
          </w:p>
        </w:tc>
        <w:tc>
          <w:tcPr>
            <w:tcW w:w="525" w:type="pct"/>
            <w:vAlign w:val="center"/>
          </w:tcPr>
          <w:p>
            <w:pPr>
              <w:widowControl/>
              <w:jc w:val="center"/>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农、林、牧、渔业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Y≥20000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500≤Y＜20000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50≤Y＜500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工业 *</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300≤X＜1000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20≤X＜300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Y≥40000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2000≤Y＜40000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300≤Y＜2000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建筑业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Y≥80000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6000≤Y＜80000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300≤Y＜6000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资产总额(Z)</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Z≥80000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5000≤Z＜80000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300≤Z＜5000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批发业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20≤X＜200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5≤X＜20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Y≥40000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5000≤Y＜40000</w:t>
            </w:r>
          </w:p>
        </w:tc>
        <w:tc>
          <w:tcPr>
            <w:tcW w:w="755" w:type="pct"/>
            <w:vAlign w:val="center"/>
          </w:tcPr>
          <w:p>
            <w:pPr>
              <w:widowControl/>
              <w:ind w:left="-1" w:leftChars="-1" w:hanging="1"/>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1000≤Y＜5000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零售业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50≤X＜300</w:t>
            </w:r>
          </w:p>
        </w:tc>
        <w:tc>
          <w:tcPr>
            <w:tcW w:w="755" w:type="pct"/>
            <w:vAlign w:val="center"/>
          </w:tcPr>
          <w:p>
            <w:pPr>
              <w:widowControl/>
              <w:ind w:left="-1" w:leftChars="-1" w:hanging="1"/>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10≤X＜50 </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Y≥20000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500≤Y＜20000</w:t>
            </w:r>
          </w:p>
        </w:tc>
        <w:tc>
          <w:tcPr>
            <w:tcW w:w="755" w:type="pct"/>
            <w:vAlign w:val="center"/>
          </w:tcPr>
          <w:p>
            <w:pPr>
              <w:widowControl/>
              <w:ind w:left="-1" w:leftChars="-1" w:hanging="1"/>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100≤Y＜500 </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交通运输业 *</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300≤X＜1000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20≤X＜300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3000≤Y＜30000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200≤Y＜3000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仓储业*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X≥200</w:t>
            </w:r>
          </w:p>
        </w:tc>
        <w:tc>
          <w:tcPr>
            <w:tcW w:w="901" w:type="pct"/>
            <w:vAlign w:val="center"/>
          </w:tcPr>
          <w:p>
            <w:pPr>
              <w:widowControl/>
              <w:ind w:left="-32" w:leftChars="-51" w:hanging="90" w:hangingChars="6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100≤X＜200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20≤X＜100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1000≤Y＜30000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100≤Y＜1000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邮政业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300≤X＜1000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20≤X＜300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Y≥30000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2000≤Y＜30000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100≤Y＜2000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住宿业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vAlign w:val="center"/>
          </w:tcPr>
          <w:p>
            <w:pPr>
              <w:widowControl/>
              <w:ind w:left="-32" w:leftChars="-51" w:hanging="90" w:hangingChars="6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2000≤Y＜10000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100≤Y＜2000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餐饮业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vAlign w:val="center"/>
          </w:tcPr>
          <w:p>
            <w:pPr>
              <w:widowControl/>
              <w:ind w:left="-32" w:leftChars="-51" w:hanging="90" w:hangingChars="6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2000≤Y＜10000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100≤Y＜2000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信息传输业 *</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X≥2000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100≤X＜2000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1000≤Y＜100000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100≤Y＜1000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1120" w:type="pct"/>
            <w:vMerge w:val="restart"/>
            <w:vAlign w:val="center"/>
          </w:tcPr>
          <w:p>
            <w:pPr>
              <w:widowControl/>
              <w:spacing w:line="240" w:lineRule="exact"/>
              <w:rPr>
                <w:rFonts w:hint="eastAsia" w:ascii="宋体" w:hAnsi="宋体" w:eastAsia="宋体" w:cs="宋体"/>
                <w:color w:val="auto"/>
                <w:spacing w:val="-12"/>
                <w:kern w:val="0"/>
                <w:sz w:val="15"/>
                <w:szCs w:val="15"/>
                <w:highlight w:val="none"/>
              </w:rPr>
            </w:pPr>
            <w:r>
              <w:rPr>
                <w:rFonts w:hint="eastAsia" w:ascii="宋体" w:hAnsi="宋体" w:eastAsia="宋体" w:cs="宋体"/>
                <w:color w:val="auto"/>
                <w:spacing w:val="-12"/>
                <w:kern w:val="0"/>
                <w:sz w:val="15"/>
                <w:szCs w:val="15"/>
                <w:highlight w:val="none"/>
              </w:rPr>
              <w:t>软件和信息技术服</w:t>
            </w:r>
            <w:r>
              <w:rPr>
                <w:rFonts w:hint="eastAsia" w:ascii="宋体" w:hAnsi="宋体" w:eastAsia="宋体" w:cs="宋体"/>
                <w:color w:val="auto"/>
                <w:kern w:val="0"/>
                <w:sz w:val="15"/>
                <w:szCs w:val="15"/>
                <w:highlight w:val="none"/>
              </w:rPr>
              <w:t>务业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vAlign w:val="center"/>
          </w:tcPr>
          <w:p>
            <w:pPr>
              <w:widowControl/>
              <w:ind w:left="-32" w:leftChars="-51" w:hanging="90" w:hangingChars="6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continue"/>
            <w:vAlign w:val="center"/>
          </w:tcPr>
          <w:p>
            <w:pPr>
              <w:widowControl/>
              <w:rPr>
                <w:rFonts w:hint="eastAsia" w:ascii="宋体" w:hAnsi="宋体" w:eastAsia="宋体" w:cs="宋体"/>
                <w:color w:val="auto"/>
                <w:spacing w:val="-12"/>
                <w:kern w:val="0"/>
                <w:sz w:val="15"/>
                <w:szCs w:val="15"/>
                <w:highlight w:val="none"/>
              </w:rPr>
            </w:pP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1000≤Y＜10000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50≤Y＜1000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房地产开发经营</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Y≥200000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1000≤Y＜200000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100≤Y＜1000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资产总额(Z)</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Z≥10000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5000≤Z＜10000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2000≤Z＜5000   </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物业管理</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300≤X＜1000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营业收入(Y)</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Y≥5000</w:t>
            </w:r>
          </w:p>
        </w:tc>
        <w:tc>
          <w:tcPr>
            <w:tcW w:w="901" w:type="pct"/>
            <w:vAlign w:val="center"/>
          </w:tcPr>
          <w:p>
            <w:pPr>
              <w:widowControl/>
              <w:ind w:left="-32" w:leftChars="-51" w:hanging="90" w:hangingChars="6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1000≤Y＜5000 </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500≤Y＜1000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120" w:type="pct"/>
            <w:vMerge w:val="restar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租赁和商务服务业</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vAlign w:val="center"/>
          </w:tcPr>
          <w:p>
            <w:pPr>
              <w:widowControl/>
              <w:ind w:left="-32" w:leftChars="-51" w:hanging="90" w:hangingChars="6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hint="eastAsia" w:ascii="宋体" w:hAnsi="宋体" w:eastAsia="宋体" w:cs="宋体"/>
                <w:color w:val="auto"/>
                <w:kern w:val="0"/>
                <w:sz w:val="15"/>
                <w:szCs w:val="15"/>
                <w:highlight w:val="none"/>
              </w:rPr>
            </w:pPr>
          </w:p>
        </w:tc>
        <w:tc>
          <w:tcPr>
            <w:tcW w:w="725" w:type="pct"/>
            <w:vAlign w:val="center"/>
          </w:tcPr>
          <w:p>
            <w:pPr>
              <w:widowControl/>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资产总额(Z)</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万元</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Z≥120000</w:t>
            </w:r>
          </w:p>
        </w:tc>
        <w:tc>
          <w:tcPr>
            <w:tcW w:w="901"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8000≤Z＜120000</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100≤Z＜8000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20" w:type="pct"/>
            <w:vAlign w:val="center"/>
          </w:tcPr>
          <w:p>
            <w:pPr>
              <w:widowControl/>
              <w:spacing w:line="240"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其他未列明行业 *</w:t>
            </w:r>
          </w:p>
        </w:tc>
        <w:tc>
          <w:tcPr>
            <w:tcW w:w="7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从业人员(X)</w:t>
            </w:r>
          </w:p>
        </w:tc>
        <w:tc>
          <w:tcPr>
            <w:tcW w:w="37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w:t>
            </w:r>
          </w:p>
        </w:tc>
        <w:tc>
          <w:tcPr>
            <w:tcW w:w="59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X≥300</w:t>
            </w:r>
          </w:p>
        </w:tc>
        <w:tc>
          <w:tcPr>
            <w:tcW w:w="901" w:type="pct"/>
            <w:vAlign w:val="center"/>
          </w:tcPr>
          <w:p>
            <w:pPr>
              <w:widowControl/>
              <w:ind w:left="-32" w:leftChars="-51" w:hanging="90" w:hangingChars="6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100≤X＜300 </w:t>
            </w:r>
          </w:p>
        </w:tc>
        <w:tc>
          <w:tcPr>
            <w:tcW w:w="75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 xml:space="preserve"> 10≤X＜100</w:t>
            </w:r>
          </w:p>
        </w:tc>
        <w:tc>
          <w:tcPr>
            <w:tcW w:w="525" w:type="pct"/>
            <w:vAlign w:val="center"/>
          </w:tcPr>
          <w:p>
            <w:pPr>
              <w:widowControl/>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X＜10</w:t>
            </w:r>
          </w:p>
        </w:tc>
      </w:tr>
    </w:tbl>
    <w:p>
      <w:pPr>
        <w:widowControl/>
        <w:adjustRightInd/>
        <w:snapToGrid/>
        <w:ind w:firstLine="512" w:firstLineChars="200"/>
        <w:rPr>
          <w:rFonts w:hint="eastAsia" w:ascii="宋体" w:hAnsi="宋体" w:eastAsia="宋体" w:cs="宋体"/>
          <w:color w:val="auto"/>
          <w:spacing w:val="8"/>
          <w:kern w:val="0"/>
          <w:highlight w:val="none"/>
        </w:rPr>
      </w:pPr>
      <w:r>
        <w:rPr>
          <w:rFonts w:hint="eastAsia" w:ascii="宋体" w:hAnsi="宋体" w:eastAsia="宋体" w:cs="宋体"/>
          <w:color w:val="auto"/>
          <w:spacing w:val="8"/>
          <w:kern w:val="0"/>
          <w:highlight w:val="none"/>
        </w:rPr>
        <w:t>说明：</w:t>
      </w:r>
    </w:p>
    <w:p>
      <w:pPr>
        <w:adjustRightInd/>
        <w:snapToGrid/>
        <w:ind w:firstLine="512" w:firstLineChars="200"/>
        <w:rPr>
          <w:rFonts w:hint="eastAsia" w:ascii="宋体" w:hAnsi="宋体" w:eastAsia="宋体" w:cs="宋体"/>
          <w:color w:val="auto"/>
          <w:spacing w:val="8"/>
          <w:kern w:val="0"/>
          <w:highlight w:val="none"/>
        </w:rPr>
      </w:pPr>
      <w:r>
        <w:rPr>
          <w:rFonts w:hint="eastAsia" w:ascii="宋体" w:hAnsi="宋体" w:eastAsia="宋体" w:cs="宋体"/>
          <w:color w:val="auto"/>
          <w:spacing w:val="8"/>
          <w:kern w:val="0"/>
          <w:highlight w:val="none"/>
        </w:rPr>
        <w:t>1.大型、中型和小型企业须同时满足所列指标的下限，否则下划一档；微型企业只须满足所列指标中的一项即可。</w:t>
      </w:r>
    </w:p>
    <w:p>
      <w:pPr>
        <w:adjustRightInd/>
        <w:snapToGrid/>
        <w:ind w:firstLine="512" w:firstLineChars="200"/>
        <w:rPr>
          <w:rFonts w:hint="eastAsia" w:ascii="宋体" w:hAnsi="宋体" w:eastAsia="宋体" w:cs="宋体"/>
          <w:color w:val="auto"/>
          <w:spacing w:val="8"/>
          <w:kern w:val="0"/>
          <w:highlight w:val="none"/>
        </w:rPr>
      </w:pPr>
      <w:r>
        <w:rPr>
          <w:rFonts w:hint="eastAsia" w:ascii="宋体" w:hAnsi="宋体" w:eastAsia="宋体" w:cs="宋体"/>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hint="eastAsia" w:ascii="宋体" w:hAnsi="宋体" w:eastAsia="宋体" w:cs="宋体"/>
          <w:color w:val="auto"/>
          <w:highlight w:val="none"/>
        </w:rPr>
      </w:pPr>
      <w:r>
        <w:rPr>
          <w:rFonts w:hint="eastAsia" w:ascii="宋体" w:hAnsi="宋体" w:eastAsia="宋体" w:cs="宋体"/>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C73C71-A23C-450C-9A34-64E66E88AB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06DF990-6630-465A-813B-B7342AD97C6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5"/>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6"/>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A80635A9"/>
    <w:multiLevelType w:val="singleLevel"/>
    <w:tmpl w:val="A80635A9"/>
    <w:lvl w:ilvl="0" w:tentative="0">
      <w:start w:val="1"/>
      <w:numFmt w:val="chineseCounting"/>
      <w:pStyle w:val="66"/>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4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5"/>
      <w:suff w:val="nothing"/>
      <w:lvlText w:val="%2、"/>
      <w:lvlJc w:val="left"/>
      <w:pPr>
        <w:ind w:left="0" w:firstLine="0"/>
      </w:pPr>
      <w:rPr>
        <w:rFonts w:hint="eastAsia" w:ascii="宋体" w:hAnsi="宋体" w:eastAsia="宋体" w:cs="宋体"/>
      </w:rPr>
    </w:lvl>
    <w:lvl w:ilvl="2" w:tentative="0">
      <w:start w:val="1"/>
      <w:numFmt w:val="chineseCounting"/>
      <w:pStyle w:val="49"/>
      <w:suff w:val="nothing"/>
      <w:lvlText w:val="(%3)"/>
      <w:lvlJc w:val="left"/>
      <w:pPr>
        <w:tabs>
          <w:tab w:val="left" w:pos="0"/>
        </w:tabs>
        <w:ind w:left="0" w:firstLine="0"/>
      </w:pPr>
      <w:rPr>
        <w:rFonts w:hint="eastAsia" w:ascii="宋体" w:hAnsi="宋体" w:eastAsia="宋体" w:cs="宋体"/>
      </w:rPr>
    </w:lvl>
    <w:lvl w:ilvl="3" w:tentative="0">
      <w:start w:val="1"/>
      <w:numFmt w:val="decimal"/>
      <w:pStyle w:val="63"/>
      <w:suff w:val="nothing"/>
      <w:lvlText w:val="%4."/>
      <w:lvlJc w:val="left"/>
      <w:pPr>
        <w:tabs>
          <w:tab w:val="left" w:pos="0"/>
        </w:tabs>
        <w:ind w:left="0" w:firstLine="0"/>
      </w:pPr>
      <w:rPr>
        <w:rFonts w:hint="eastAsia" w:ascii="宋体" w:hAnsi="宋体" w:eastAsia="宋体" w:cs="宋体"/>
      </w:rPr>
    </w:lvl>
    <w:lvl w:ilvl="4" w:tentative="0">
      <w:start w:val="1"/>
      <w:numFmt w:val="decimal"/>
      <w:pStyle w:val="64"/>
      <w:suff w:val="nothing"/>
      <w:lvlText w:val="%4.%5"/>
      <w:lvlJc w:val="left"/>
      <w:pPr>
        <w:ind w:left="0" w:firstLine="0"/>
      </w:pPr>
      <w:rPr>
        <w:rFonts w:hint="eastAsia" w:ascii="宋体" w:hAnsi="宋体" w:eastAsia="宋体" w:cs="宋体"/>
      </w:rPr>
    </w:lvl>
    <w:lvl w:ilvl="5" w:tentative="0">
      <w:start w:val="1"/>
      <w:numFmt w:val="decimal"/>
      <w:pStyle w:val="6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39"/>
      <w:suff w:val="nothing"/>
      <w:lvlText w:val="%1."/>
      <w:lvlJc w:val="left"/>
      <w:pPr>
        <w:tabs>
          <w:tab w:val="left" w:pos="420"/>
        </w:tabs>
        <w:ind w:left="0" w:firstLine="0"/>
      </w:pPr>
      <w:rPr>
        <w:rFonts w:hint="default" w:ascii="宋体" w:hAnsi="宋体" w:eastAsia="宋体" w:cs="宋体"/>
        <w:b w:val="0"/>
        <w:bCs w:val="0"/>
      </w:rPr>
    </w:lvl>
    <w:lvl w:ilvl="1" w:tentative="0">
      <w:start w:val="1"/>
      <w:numFmt w:val="decimal"/>
      <w:pStyle w:val="40"/>
      <w:suff w:val="nothing"/>
      <w:lvlText w:val="%1.%2"/>
      <w:lvlJc w:val="left"/>
      <w:pPr>
        <w:tabs>
          <w:tab w:val="left" w:pos="420"/>
        </w:tabs>
        <w:ind w:left="0" w:firstLine="0"/>
      </w:pPr>
      <w:rPr>
        <w:rFonts w:hint="default" w:ascii="宋体" w:hAnsi="宋体" w:eastAsia="宋体" w:cs="宋体"/>
      </w:rPr>
    </w:lvl>
    <w:lvl w:ilvl="2" w:tentative="0">
      <w:start w:val="1"/>
      <w:numFmt w:val="decimal"/>
      <w:pStyle w:val="41"/>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70"/>
      <w:suff w:val="nothing"/>
      <w:lvlText w:val="(%1)"/>
      <w:lvlJc w:val="left"/>
      <w:pPr>
        <w:ind w:left="0" w:firstLine="0"/>
      </w:pPr>
      <w:rPr>
        <w:rFonts w:hint="eastAsia"/>
      </w:rPr>
    </w:lvl>
  </w:abstractNum>
  <w:abstractNum w:abstractNumId="6">
    <w:nsid w:val="D7D5D425"/>
    <w:multiLevelType w:val="singleLevel"/>
    <w:tmpl w:val="D7D5D425"/>
    <w:lvl w:ilvl="0" w:tentative="0">
      <w:start w:val="1"/>
      <w:numFmt w:val="chineseCounting"/>
      <w:suff w:val="nothing"/>
      <w:lvlText w:val="%1、"/>
      <w:lvlJc w:val="left"/>
      <w:pPr>
        <w:ind w:left="0" w:firstLine="420"/>
      </w:pPr>
      <w:rPr>
        <w:rFonts w:hint="eastAsia"/>
      </w:rPr>
    </w:lvl>
  </w:abstractNum>
  <w:abstractNum w:abstractNumId="7">
    <w:nsid w:val="DC5F828C"/>
    <w:multiLevelType w:val="singleLevel"/>
    <w:tmpl w:val="DC5F828C"/>
    <w:lvl w:ilvl="0" w:tentative="0">
      <w:start w:val="1"/>
      <w:numFmt w:val="decimal"/>
      <w:lvlText w:val="(%1)"/>
      <w:lvlJc w:val="left"/>
      <w:pPr>
        <w:ind w:left="425" w:hanging="425"/>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3"/>
      <w:suff w:val="nothing"/>
      <w:lvlText w:val="(%2)"/>
      <w:lvlJc w:val="left"/>
      <w:pPr>
        <w:ind w:left="0" w:firstLine="0"/>
      </w:pPr>
      <w:rPr>
        <w:rFonts w:hint="eastAsia" w:ascii="宋体" w:hAnsi="宋体" w:eastAsia="宋体" w:cs="宋体"/>
      </w:rPr>
    </w:lvl>
    <w:lvl w:ilvl="2" w:tentative="0">
      <w:start w:val="1"/>
      <w:numFmt w:val="decimal"/>
      <w:pStyle w:val="36"/>
      <w:suff w:val="nothing"/>
      <w:lvlText w:val="%3."/>
      <w:lvlJc w:val="left"/>
      <w:pPr>
        <w:ind w:left="0" w:firstLine="0"/>
      </w:pPr>
      <w:rPr>
        <w:rFonts w:hint="eastAsia" w:ascii="宋体" w:hAnsi="宋体" w:eastAsia="宋体" w:cs="宋体"/>
      </w:rPr>
    </w:lvl>
    <w:lvl w:ilvl="3" w:tentative="0">
      <w:start w:val="1"/>
      <w:numFmt w:val="decimal"/>
      <w:pStyle w:val="37"/>
      <w:suff w:val="nothing"/>
      <w:lvlText w:val="%3.%4"/>
      <w:lvlJc w:val="left"/>
      <w:pPr>
        <w:ind w:left="0" w:firstLine="0"/>
      </w:pPr>
      <w:rPr>
        <w:rFonts w:hint="eastAsia" w:ascii="宋体" w:hAnsi="宋体" w:eastAsia="宋体" w:cs="宋体"/>
      </w:rPr>
    </w:lvl>
    <w:lvl w:ilvl="4" w:tentative="0">
      <w:start w:val="1"/>
      <w:numFmt w:val="decimal"/>
      <w:pStyle w:val="38"/>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9">
    <w:nsid w:val="EA1AE71F"/>
    <w:multiLevelType w:val="singleLevel"/>
    <w:tmpl w:val="EA1AE71F"/>
    <w:lvl w:ilvl="0" w:tentative="0">
      <w:start w:val="1"/>
      <w:numFmt w:val="decimal"/>
      <w:lvlText w:val="%1."/>
      <w:lvlJc w:val="left"/>
      <w:pPr>
        <w:tabs>
          <w:tab w:val="left" w:pos="312"/>
        </w:tabs>
      </w:pPr>
    </w:lvl>
  </w:abstractNum>
  <w:abstractNum w:abstractNumId="10">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1">
    <w:nsid w:val="0D3DD0CB"/>
    <w:multiLevelType w:val="singleLevel"/>
    <w:tmpl w:val="0D3DD0CB"/>
    <w:lvl w:ilvl="0" w:tentative="0">
      <w:start w:val="1"/>
      <w:numFmt w:val="decimal"/>
      <w:lvlText w:val="%1."/>
      <w:lvlJc w:val="left"/>
      <w:pPr>
        <w:tabs>
          <w:tab w:val="left" w:pos="312"/>
        </w:tabs>
      </w:pPr>
    </w:lvl>
  </w:abstractNum>
  <w:abstractNum w:abstractNumId="12">
    <w:nsid w:val="18D05056"/>
    <w:multiLevelType w:val="singleLevel"/>
    <w:tmpl w:val="18D05056"/>
    <w:lvl w:ilvl="0" w:tentative="0">
      <w:start w:val="1"/>
      <w:numFmt w:val="decimal"/>
      <w:lvlText w:val="%1."/>
      <w:lvlJc w:val="left"/>
      <w:pPr>
        <w:tabs>
          <w:tab w:val="left" w:pos="312"/>
        </w:tabs>
      </w:pPr>
    </w:lvl>
  </w:abstractNum>
  <w:abstractNum w:abstractNumId="13">
    <w:nsid w:val="23BBA9F2"/>
    <w:multiLevelType w:val="singleLevel"/>
    <w:tmpl w:val="23BBA9F2"/>
    <w:lvl w:ilvl="0" w:tentative="0">
      <w:start w:val="1"/>
      <w:numFmt w:val="decimal"/>
      <w:lvlText w:val="%1."/>
      <w:lvlJc w:val="left"/>
      <w:pPr>
        <w:tabs>
          <w:tab w:val="left" w:pos="312"/>
        </w:tabs>
      </w:pPr>
    </w:lvl>
  </w:abstractNum>
  <w:abstractNum w:abstractNumId="14">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5">
    <w:nsid w:val="3C10C3C5"/>
    <w:multiLevelType w:val="singleLevel"/>
    <w:tmpl w:val="3C10C3C5"/>
    <w:lvl w:ilvl="0" w:tentative="0">
      <w:start w:val="1"/>
      <w:numFmt w:val="decimal"/>
      <w:lvlText w:val="%1."/>
      <w:lvlJc w:val="left"/>
      <w:pPr>
        <w:tabs>
          <w:tab w:val="left" w:pos="312"/>
        </w:tabs>
      </w:p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5912557E"/>
    <w:multiLevelType w:val="singleLevel"/>
    <w:tmpl w:val="5912557E"/>
    <w:lvl w:ilvl="0" w:tentative="0">
      <w:start w:val="1"/>
      <w:numFmt w:val="chineseCounting"/>
      <w:suff w:val="nothing"/>
      <w:lvlText w:val="%1、"/>
      <w:lvlJc w:val="left"/>
      <w:rPr>
        <w:rFonts w:hint="eastAsia"/>
      </w:rPr>
    </w:lvl>
  </w:abstractNum>
  <w:abstractNum w:abstractNumId="18">
    <w:nsid w:val="79578A8E"/>
    <w:multiLevelType w:val="singleLevel"/>
    <w:tmpl w:val="79578A8E"/>
    <w:lvl w:ilvl="0" w:tentative="0">
      <w:start w:val="1"/>
      <w:numFmt w:val="decimal"/>
      <w:lvlText w:val="%1"/>
      <w:lvlJc w:val="left"/>
      <w:pPr>
        <w:tabs>
          <w:tab w:val="left" w:pos="0"/>
        </w:tabs>
        <w:ind w:left="0" w:firstLine="0"/>
      </w:pPr>
      <w:rPr>
        <w:rFonts w:hint="default"/>
      </w:rPr>
    </w:lvl>
  </w:abstractNum>
  <w:abstractNum w:abstractNumId="19">
    <w:nsid w:val="7CB2FB7C"/>
    <w:multiLevelType w:val="singleLevel"/>
    <w:tmpl w:val="7CB2FB7C"/>
    <w:lvl w:ilvl="0" w:tentative="0">
      <w:start w:val="1"/>
      <w:numFmt w:val="decimal"/>
      <w:lvlText w:val="%1."/>
      <w:lvlJc w:val="left"/>
      <w:pPr>
        <w:tabs>
          <w:tab w:val="left" w:pos="312"/>
        </w:tabs>
      </w:pPr>
    </w:lvl>
  </w:abstractNum>
  <w:num w:numId="1">
    <w:abstractNumId w:val="8"/>
  </w:num>
  <w:num w:numId="2">
    <w:abstractNumId w:val="16"/>
  </w:num>
  <w:num w:numId="3">
    <w:abstractNumId w:val="3"/>
  </w:num>
  <w:num w:numId="4">
    <w:abstractNumId w:val="4"/>
  </w:num>
  <w:num w:numId="5">
    <w:abstractNumId w:val="2"/>
  </w:num>
  <w:num w:numId="6">
    <w:abstractNumId w:val="5"/>
  </w:num>
  <w:num w:numId="7">
    <w:abstractNumId w:val="14"/>
  </w:num>
  <w:num w:numId="8">
    <w:abstractNumId w:val="18"/>
  </w:num>
  <w:num w:numId="9">
    <w:abstractNumId w:val="9"/>
  </w:num>
  <w:num w:numId="10">
    <w:abstractNumId w:val="17"/>
  </w:num>
  <w:num w:numId="11">
    <w:abstractNumId w:val="11"/>
  </w:num>
  <w:num w:numId="12">
    <w:abstractNumId w:val="12"/>
  </w:num>
  <w:num w:numId="13">
    <w:abstractNumId w:val="19"/>
  </w:num>
  <w:num w:numId="14">
    <w:abstractNumId w:val="7"/>
  </w:num>
  <w:num w:numId="15">
    <w:abstractNumId w:val="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zA1NDIxM2U5NDM4YjdhOWYzZjU0NGUzNzdkOTgifQ=="/>
  </w:docVars>
  <w:rsids>
    <w:rsidRoot w:val="00172A27"/>
    <w:rsid w:val="0000400A"/>
    <w:rsid w:val="000168D4"/>
    <w:rsid w:val="000504D4"/>
    <w:rsid w:val="00050929"/>
    <w:rsid w:val="00071F90"/>
    <w:rsid w:val="00080967"/>
    <w:rsid w:val="00083410"/>
    <w:rsid w:val="00083A85"/>
    <w:rsid w:val="000902A9"/>
    <w:rsid w:val="000A22EE"/>
    <w:rsid w:val="000D7DD0"/>
    <w:rsid w:val="0010191C"/>
    <w:rsid w:val="00101AE9"/>
    <w:rsid w:val="001025A9"/>
    <w:rsid w:val="0010309E"/>
    <w:rsid w:val="0012071D"/>
    <w:rsid w:val="00127F82"/>
    <w:rsid w:val="00152049"/>
    <w:rsid w:val="00172A27"/>
    <w:rsid w:val="001747EE"/>
    <w:rsid w:val="0017535B"/>
    <w:rsid w:val="00180AAC"/>
    <w:rsid w:val="00190708"/>
    <w:rsid w:val="001B6050"/>
    <w:rsid w:val="001C42C5"/>
    <w:rsid w:val="001E2AED"/>
    <w:rsid w:val="001E6888"/>
    <w:rsid w:val="00212B05"/>
    <w:rsid w:val="002214E7"/>
    <w:rsid w:val="00225683"/>
    <w:rsid w:val="00234073"/>
    <w:rsid w:val="0023625C"/>
    <w:rsid w:val="002435A0"/>
    <w:rsid w:val="00243FF7"/>
    <w:rsid w:val="00247B38"/>
    <w:rsid w:val="0025536B"/>
    <w:rsid w:val="002565E2"/>
    <w:rsid w:val="00267611"/>
    <w:rsid w:val="00280B56"/>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1C4A"/>
    <w:rsid w:val="00396369"/>
    <w:rsid w:val="003B2228"/>
    <w:rsid w:val="003C13E4"/>
    <w:rsid w:val="003D21F1"/>
    <w:rsid w:val="003E1DCC"/>
    <w:rsid w:val="003F4651"/>
    <w:rsid w:val="00410967"/>
    <w:rsid w:val="00411E40"/>
    <w:rsid w:val="00415E21"/>
    <w:rsid w:val="00445ADF"/>
    <w:rsid w:val="0046727E"/>
    <w:rsid w:val="00481283"/>
    <w:rsid w:val="00482071"/>
    <w:rsid w:val="00483674"/>
    <w:rsid w:val="004861AE"/>
    <w:rsid w:val="00486D20"/>
    <w:rsid w:val="00495036"/>
    <w:rsid w:val="004A6781"/>
    <w:rsid w:val="004A7D40"/>
    <w:rsid w:val="004B4092"/>
    <w:rsid w:val="004E0FDD"/>
    <w:rsid w:val="004F2F95"/>
    <w:rsid w:val="00502679"/>
    <w:rsid w:val="00506600"/>
    <w:rsid w:val="005075D7"/>
    <w:rsid w:val="00526D76"/>
    <w:rsid w:val="00551430"/>
    <w:rsid w:val="00554499"/>
    <w:rsid w:val="00557A19"/>
    <w:rsid w:val="00570E40"/>
    <w:rsid w:val="00573162"/>
    <w:rsid w:val="005F3F05"/>
    <w:rsid w:val="0060449E"/>
    <w:rsid w:val="006058A4"/>
    <w:rsid w:val="006109FE"/>
    <w:rsid w:val="00614BF4"/>
    <w:rsid w:val="00616545"/>
    <w:rsid w:val="00616B6E"/>
    <w:rsid w:val="00633858"/>
    <w:rsid w:val="00635E1D"/>
    <w:rsid w:val="006360BD"/>
    <w:rsid w:val="00670841"/>
    <w:rsid w:val="006708EE"/>
    <w:rsid w:val="006934B4"/>
    <w:rsid w:val="00694C4F"/>
    <w:rsid w:val="006B1D4C"/>
    <w:rsid w:val="006C21DD"/>
    <w:rsid w:val="006F6EF3"/>
    <w:rsid w:val="00722E70"/>
    <w:rsid w:val="00735F80"/>
    <w:rsid w:val="0074524D"/>
    <w:rsid w:val="00784579"/>
    <w:rsid w:val="007B1F36"/>
    <w:rsid w:val="007B50D9"/>
    <w:rsid w:val="007D09EC"/>
    <w:rsid w:val="007F300C"/>
    <w:rsid w:val="008003F4"/>
    <w:rsid w:val="008016F9"/>
    <w:rsid w:val="00803FE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39FF"/>
    <w:rsid w:val="008F717E"/>
    <w:rsid w:val="008F74EB"/>
    <w:rsid w:val="00902627"/>
    <w:rsid w:val="0090455E"/>
    <w:rsid w:val="009278AD"/>
    <w:rsid w:val="00931981"/>
    <w:rsid w:val="00932AFD"/>
    <w:rsid w:val="00942ED3"/>
    <w:rsid w:val="00945986"/>
    <w:rsid w:val="00946F94"/>
    <w:rsid w:val="00990893"/>
    <w:rsid w:val="009C43E6"/>
    <w:rsid w:val="009D01D2"/>
    <w:rsid w:val="009E1E4F"/>
    <w:rsid w:val="009F5992"/>
    <w:rsid w:val="00A07369"/>
    <w:rsid w:val="00A23AFB"/>
    <w:rsid w:val="00A3273B"/>
    <w:rsid w:val="00A33E9A"/>
    <w:rsid w:val="00A466E6"/>
    <w:rsid w:val="00A47F1F"/>
    <w:rsid w:val="00A508D1"/>
    <w:rsid w:val="00A54688"/>
    <w:rsid w:val="00A75A1A"/>
    <w:rsid w:val="00A837A5"/>
    <w:rsid w:val="00A95C07"/>
    <w:rsid w:val="00AA4C47"/>
    <w:rsid w:val="00AA51C1"/>
    <w:rsid w:val="00AB65CA"/>
    <w:rsid w:val="00AB67D8"/>
    <w:rsid w:val="00AC2F78"/>
    <w:rsid w:val="00AC5E59"/>
    <w:rsid w:val="00AF3998"/>
    <w:rsid w:val="00B07B2E"/>
    <w:rsid w:val="00B17E42"/>
    <w:rsid w:val="00B31CC3"/>
    <w:rsid w:val="00B44B56"/>
    <w:rsid w:val="00BA614F"/>
    <w:rsid w:val="00BA69F4"/>
    <w:rsid w:val="00BA6D13"/>
    <w:rsid w:val="00BB299F"/>
    <w:rsid w:val="00BE1766"/>
    <w:rsid w:val="00BF0880"/>
    <w:rsid w:val="00BF4E9E"/>
    <w:rsid w:val="00C00F81"/>
    <w:rsid w:val="00C17A63"/>
    <w:rsid w:val="00C32340"/>
    <w:rsid w:val="00C35487"/>
    <w:rsid w:val="00C43BC1"/>
    <w:rsid w:val="00C711E4"/>
    <w:rsid w:val="00CA0AAA"/>
    <w:rsid w:val="00CD401B"/>
    <w:rsid w:val="00CD437E"/>
    <w:rsid w:val="00CD43B3"/>
    <w:rsid w:val="00CD58A7"/>
    <w:rsid w:val="00CE226F"/>
    <w:rsid w:val="00CE7025"/>
    <w:rsid w:val="00CF53F3"/>
    <w:rsid w:val="00D174EB"/>
    <w:rsid w:val="00D23AEC"/>
    <w:rsid w:val="00D373B2"/>
    <w:rsid w:val="00D37D24"/>
    <w:rsid w:val="00D80201"/>
    <w:rsid w:val="00D827D3"/>
    <w:rsid w:val="00D87B92"/>
    <w:rsid w:val="00D87C93"/>
    <w:rsid w:val="00D94D25"/>
    <w:rsid w:val="00DA65C9"/>
    <w:rsid w:val="00DB5C76"/>
    <w:rsid w:val="00DC4298"/>
    <w:rsid w:val="00DC68DD"/>
    <w:rsid w:val="00DD654B"/>
    <w:rsid w:val="00DF10BC"/>
    <w:rsid w:val="00E04823"/>
    <w:rsid w:val="00E2173D"/>
    <w:rsid w:val="00E53568"/>
    <w:rsid w:val="00E60A72"/>
    <w:rsid w:val="00E7258B"/>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84E6F"/>
    <w:rsid w:val="00F9177B"/>
    <w:rsid w:val="00F92C30"/>
    <w:rsid w:val="00FD2CEE"/>
    <w:rsid w:val="010F1DA1"/>
    <w:rsid w:val="011E300A"/>
    <w:rsid w:val="013D1C8A"/>
    <w:rsid w:val="013F0F7C"/>
    <w:rsid w:val="01464694"/>
    <w:rsid w:val="015258FF"/>
    <w:rsid w:val="01601E7A"/>
    <w:rsid w:val="016F329F"/>
    <w:rsid w:val="01782F69"/>
    <w:rsid w:val="017C6290"/>
    <w:rsid w:val="01876A1F"/>
    <w:rsid w:val="018B3842"/>
    <w:rsid w:val="018C1643"/>
    <w:rsid w:val="018F03FE"/>
    <w:rsid w:val="01917322"/>
    <w:rsid w:val="019377A3"/>
    <w:rsid w:val="01993D60"/>
    <w:rsid w:val="01A40160"/>
    <w:rsid w:val="01A96BB6"/>
    <w:rsid w:val="01AB6348"/>
    <w:rsid w:val="01AE15BA"/>
    <w:rsid w:val="01B763DC"/>
    <w:rsid w:val="01BC53AC"/>
    <w:rsid w:val="01BD35AB"/>
    <w:rsid w:val="01C20BC1"/>
    <w:rsid w:val="01C91C5F"/>
    <w:rsid w:val="01D57332"/>
    <w:rsid w:val="01DA5F1D"/>
    <w:rsid w:val="01E366FD"/>
    <w:rsid w:val="01EE75D4"/>
    <w:rsid w:val="02132164"/>
    <w:rsid w:val="02195753"/>
    <w:rsid w:val="022117A3"/>
    <w:rsid w:val="022D7471"/>
    <w:rsid w:val="023372E3"/>
    <w:rsid w:val="02362CC5"/>
    <w:rsid w:val="02380E83"/>
    <w:rsid w:val="024669DA"/>
    <w:rsid w:val="024E06A7"/>
    <w:rsid w:val="02676F4A"/>
    <w:rsid w:val="02691984"/>
    <w:rsid w:val="026D704D"/>
    <w:rsid w:val="02735026"/>
    <w:rsid w:val="027655B6"/>
    <w:rsid w:val="02792F82"/>
    <w:rsid w:val="02806689"/>
    <w:rsid w:val="02825F13"/>
    <w:rsid w:val="02833BCB"/>
    <w:rsid w:val="028430AA"/>
    <w:rsid w:val="02867E41"/>
    <w:rsid w:val="028879D9"/>
    <w:rsid w:val="02A1111E"/>
    <w:rsid w:val="02A12F56"/>
    <w:rsid w:val="02A14D74"/>
    <w:rsid w:val="02B43DAD"/>
    <w:rsid w:val="02B71517"/>
    <w:rsid w:val="02BC4E5F"/>
    <w:rsid w:val="02CC42EB"/>
    <w:rsid w:val="02DC1FED"/>
    <w:rsid w:val="02DD3DF1"/>
    <w:rsid w:val="02DE4088"/>
    <w:rsid w:val="02E247AD"/>
    <w:rsid w:val="02E3266E"/>
    <w:rsid w:val="02ED4364"/>
    <w:rsid w:val="02F71628"/>
    <w:rsid w:val="03035935"/>
    <w:rsid w:val="0306250D"/>
    <w:rsid w:val="030B2A3C"/>
    <w:rsid w:val="031218D5"/>
    <w:rsid w:val="031C70D4"/>
    <w:rsid w:val="0321449C"/>
    <w:rsid w:val="03304250"/>
    <w:rsid w:val="033436B4"/>
    <w:rsid w:val="0337738D"/>
    <w:rsid w:val="033F7AFD"/>
    <w:rsid w:val="034175A9"/>
    <w:rsid w:val="034561FE"/>
    <w:rsid w:val="03486A36"/>
    <w:rsid w:val="034E1F5E"/>
    <w:rsid w:val="0350391F"/>
    <w:rsid w:val="035717DD"/>
    <w:rsid w:val="03644B36"/>
    <w:rsid w:val="036E7CB0"/>
    <w:rsid w:val="03770FAA"/>
    <w:rsid w:val="0388610D"/>
    <w:rsid w:val="039261BA"/>
    <w:rsid w:val="03A013D6"/>
    <w:rsid w:val="03B32D25"/>
    <w:rsid w:val="03C23BAF"/>
    <w:rsid w:val="03C249D5"/>
    <w:rsid w:val="03C40ABE"/>
    <w:rsid w:val="03D60077"/>
    <w:rsid w:val="03DC7E66"/>
    <w:rsid w:val="03E3449B"/>
    <w:rsid w:val="03F050BD"/>
    <w:rsid w:val="03F7077E"/>
    <w:rsid w:val="03F90DB1"/>
    <w:rsid w:val="03FB00F1"/>
    <w:rsid w:val="040172D5"/>
    <w:rsid w:val="04053316"/>
    <w:rsid w:val="040746F2"/>
    <w:rsid w:val="041E23EC"/>
    <w:rsid w:val="04256CBB"/>
    <w:rsid w:val="042711D5"/>
    <w:rsid w:val="042E0EC7"/>
    <w:rsid w:val="0431295A"/>
    <w:rsid w:val="0433224A"/>
    <w:rsid w:val="0438590F"/>
    <w:rsid w:val="04455AD9"/>
    <w:rsid w:val="044D771D"/>
    <w:rsid w:val="044F225E"/>
    <w:rsid w:val="0453127A"/>
    <w:rsid w:val="0461636B"/>
    <w:rsid w:val="04671AF4"/>
    <w:rsid w:val="0467789F"/>
    <w:rsid w:val="046F52E9"/>
    <w:rsid w:val="047B1E84"/>
    <w:rsid w:val="047C5E12"/>
    <w:rsid w:val="04802939"/>
    <w:rsid w:val="0482288A"/>
    <w:rsid w:val="04841778"/>
    <w:rsid w:val="04864A9B"/>
    <w:rsid w:val="0488238D"/>
    <w:rsid w:val="04892F7A"/>
    <w:rsid w:val="04A20B39"/>
    <w:rsid w:val="04B830C1"/>
    <w:rsid w:val="04BC5D9C"/>
    <w:rsid w:val="04C0476A"/>
    <w:rsid w:val="04C759C7"/>
    <w:rsid w:val="04C9670A"/>
    <w:rsid w:val="04D035F5"/>
    <w:rsid w:val="04DE5CC1"/>
    <w:rsid w:val="04EB042F"/>
    <w:rsid w:val="04F10481"/>
    <w:rsid w:val="04F30120"/>
    <w:rsid w:val="04F51041"/>
    <w:rsid w:val="04F72D3C"/>
    <w:rsid w:val="04FB6CA5"/>
    <w:rsid w:val="04FF4175"/>
    <w:rsid w:val="05191440"/>
    <w:rsid w:val="05204AF2"/>
    <w:rsid w:val="05232BB3"/>
    <w:rsid w:val="052E656D"/>
    <w:rsid w:val="053C2598"/>
    <w:rsid w:val="054364BD"/>
    <w:rsid w:val="05533444"/>
    <w:rsid w:val="05551283"/>
    <w:rsid w:val="05551447"/>
    <w:rsid w:val="05665D07"/>
    <w:rsid w:val="056D77F4"/>
    <w:rsid w:val="057C1154"/>
    <w:rsid w:val="0586026D"/>
    <w:rsid w:val="059052A1"/>
    <w:rsid w:val="059211F2"/>
    <w:rsid w:val="059377C2"/>
    <w:rsid w:val="05981791"/>
    <w:rsid w:val="05A0746B"/>
    <w:rsid w:val="05AA6ECF"/>
    <w:rsid w:val="05B55267"/>
    <w:rsid w:val="05B60A3D"/>
    <w:rsid w:val="05BD44C2"/>
    <w:rsid w:val="05C14E93"/>
    <w:rsid w:val="05C313AC"/>
    <w:rsid w:val="05EE7A21"/>
    <w:rsid w:val="05F74FD6"/>
    <w:rsid w:val="06015BFD"/>
    <w:rsid w:val="06042A70"/>
    <w:rsid w:val="06157620"/>
    <w:rsid w:val="0616597F"/>
    <w:rsid w:val="0620235A"/>
    <w:rsid w:val="062A4F87"/>
    <w:rsid w:val="062F0344"/>
    <w:rsid w:val="063161BD"/>
    <w:rsid w:val="06322365"/>
    <w:rsid w:val="06336531"/>
    <w:rsid w:val="063B7194"/>
    <w:rsid w:val="0644691C"/>
    <w:rsid w:val="06473E71"/>
    <w:rsid w:val="064C13DA"/>
    <w:rsid w:val="065904CC"/>
    <w:rsid w:val="06607022"/>
    <w:rsid w:val="06640B64"/>
    <w:rsid w:val="06657762"/>
    <w:rsid w:val="066D09E8"/>
    <w:rsid w:val="066D20E0"/>
    <w:rsid w:val="06791870"/>
    <w:rsid w:val="067F52D3"/>
    <w:rsid w:val="06AB172E"/>
    <w:rsid w:val="06AB30A9"/>
    <w:rsid w:val="06AB7088"/>
    <w:rsid w:val="06AC39F1"/>
    <w:rsid w:val="06C12E7B"/>
    <w:rsid w:val="06C14990"/>
    <w:rsid w:val="06C255FB"/>
    <w:rsid w:val="06C41266"/>
    <w:rsid w:val="06C466BB"/>
    <w:rsid w:val="06C54CB0"/>
    <w:rsid w:val="06CD24E2"/>
    <w:rsid w:val="06D33870"/>
    <w:rsid w:val="06DC4238"/>
    <w:rsid w:val="06E11AE9"/>
    <w:rsid w:val="06E91B3A"/>
    <w:rsid w:val="06F23D1E"/>
    <w:rsid w:val="06FF392B"/>
    <w:rsid w:val="07057562"/>
    <w:rsid w:val="0724643B"/>
    <w:rsid w:val="072A238A"/>
    <w:rsid w:val="0736320D"/>
    <w:rsid w:val="073B634E"/>
    <w:rsid w:val="073C2D1E"/>
    <w:rsid w:val="074C58DC"/>
    <w:rsid w:val="075615A8"/>
    <w:rsid w:val="07641D0D"/>
    <w:rsid w:val="07662674"/>
    <w:rsid w:val="0767483A"/>
    <w:rsid w:val="076D1160"/>
    <w:rsid w:val="07834FAC"/>
    <w:rsid w:val="078F30CB"/>
    <w:rsid w:val="07A01F66"/>
    <w:rsid w:val="07A31B05"/>
    <w:rsid w:val="07AC0B45"/>
    <w:rsid w:val="07BF6ABC"/>
    <w:rsid w:val="07C40FCD"/>
    <w:rsid w:val="07D21D7A"/>
    <w:rsid w:val="07D879E1"/>
    <w:rsid w:val="07E0507A"/>
    <w:rsid w:val="07E761B7"/>
    <w:rsid w:val="07E91DAA"/>
    <w:rsid w:val="07EB4F03"/>
    <w:rsid w:val="07F41CF0"/>
    <w:rsid w:val="07F73864"/>
    <w:rsid w:val="080203D0"/>
    <w:rsid w:val="080F372F"/>
    <w:rsid w:val="081A6BAD"/>
    <w:rsid w:val="08273974"/>
    <w:rsid w:val="082A73B9"/>
    <w:rsid w:val="082F56F4"/>
    <w:rsid w:val="08372ED5"/>
    <w:rsid w:val="083D7026"/>
    <w:rsid w:val="08400F85"/>
    <w:rsid w:val="08444585"/>
    <w:rsid w:val="084D1037"/>
    <w:rsid w:val="085049F9"/>
    <w:rsid w:val="08505652"/>
    <w:rsid w:val="08541F2D"/>
    <w:rsid w:val="08591B53"/>
    <w:rsid w:val="085D7896"/>
    <w:rsid w:val="086379DD"/>
    <w:rsid w:val="08795873"/>
    <w:rsid w:val="08807C62"/>
    <w:rsid w:val="08874B60"/>
    <w:rsid w:val="08885FE3"/>
    <w:rsid w:val="08903BD8"/>
    <w:rsid w:val="08907099"/>
    <w:rsid w:val="089815BC"/>
    <w:rsid w:val="08A4283A"/>
    <w:rsid w:val="08A90D2D"/>
    <w:rsid w:val="08B0513C"/>
    <w:rsid w:val="08B72C3A"/>
    <w:rsid w:val="08BE07C4"/>
    <w:rsid w:val="08C0336E"/>
    <w:rsid w:val="08C203AB"/>
    <w:rsid w:val="08C665C7"/>
    <w:rsid w:val="08CF3947"/>
    <w:rsid w:val="08D539E3"/>
    <w:rsid w:val="08D84396"/>
    <w:rsid w:val="08DB73B0"/>
    <w:rsid w:val="08DE1C47"/>
    <w:rsid w:val="08EC63BA"/>
    <w:rsid w:val="08EE6DAF"/>
    <w:rsid w:val="08EF3D6F"/>
    <w:rsid w:val="090E0B90"/>
    <w:rsid w:val="09137F54"/>
    <w:rsid w:val="09187ED2"/>
    <w:rsid w:val="091D71CF"/>
    <w:rsid w:val="092D2818"/>
    <w:rsid w:val="09376339"/>
    <w:rsid w:val="093B5F9E"/>
    <w:rsid w:val="09474FBC"/>
    <w:rsid w:val="094D4667"/>
    <w:rsid w:val="095520D8"/>
    <w:rsid w:val="095D0797"/>
    <w:rsid w:val="09640E51"/>
    <w:rsid w:val="096B20A4"/>
    <w:rsid w:val="0978425B"/>
    <w:rsid w:val="0980411B"/>
    <w:rsid w:val="098826BB"/>
    <w:rsid w:val="098E57E7"/>
    <w:rsid w:val="09946A19"/>
    <w:rsid w:val="09A6367C"/>
    <w:rsid w:val="09B024F6"/>
    <w:rsid w:val="09B421E7"/>
    <w:rsid w:val="09BC791B"/>
    <w:rsid w:val="09BE25B6"/>
    <w:rsid w:val="09C676BC"/>
    <w:rsid w:val="09CA0BB9"/>
    <w:rsid w:val="09CC3BAD"/>
    <w:rsid w:val="09E244D3"/>
    <w:rsid w:val="09E40044"/>
    <w:rsid w:val="09E44204"/>
    <w:rsid w:val="09F410FD"/>
    <w:rsid w:val="09F63AFE"/>
    <w:rsid w:val="0A141092"/>
    <w:rsid w:val="0A157CFC"/>
    <w:rsid w:val="0A18215B"/>
    <w:rsid w:val="0A1C206E"/>
    <w:rsid w:val="0A1F3AFB"/>
    <w:rsid w:val="0A214D17"/>
    <w:rsid w:val="0A2316C1"/>
    <w:rsid w:val="0A374116"/>
    <w:rsid w:val="0A3B1828"/>
    <w:rsid w:val="0A3D4730"/>
    <w:rsid w:val="0A406793"/>
    <w:rsid w:val="0A4F2112"/>
    <w:rsid w:val="0A562EAD"/>
    <w:rsid w:val="0A60366D"/>
    <w:rsid w:val="0A6A4DCF"/>
    <w:rsid w:val="0A6F1B02"/>
    <w:rsid w:val="0A88671B"/>
    <w:rsid w:val="0A8A08A5"/>
    <w:rsid w:val="0A941E7B"/>
    <w:rsid w:val="0A9A0D24"/>
    <w:rsid w:val="0AAA2B3A"/>
    <w:rsid w:val="0AAE43D8"/>
    <w:rsid w:val="0ABC5CC2"/>
    <w:rsid w:val="0ABF45E0"/>
    <w:rsid w:val="0AC253B8"/>
    <w:rsid w:val="0ACB4F8A"/>
    <w:rsid w:val="0AD029E3"/>
    <w:rsid w:val="0AD20D78"/>
    <w:rsid w:val="0AD319F0"/>
    <w:rsid w:val="0AD95FEE"/>
    <w:rsid w:val="0AEB1D55"/>
    <w:rsid w:val="0AEF28BE"/>
    <w:rsid w:val="0AFB1A29"/>
    <w:rsid w:val="0AFC7C23"/>
    <w:rsid w:val="0B030A0E"/>
    <w:rsid w:val="0B165FCB"/>
    <w:rsid w:val="0B27100A"/>
    <w:rsid w:val="0B283403"/>
    <w:rsid w:val="0B302931"/>
    <w:rsid w:val="0B373A25"/>
    <w:rsid w:val="0B380146"/>
    <w:rsid w:val="0B3F7726"/>
    <w:rsid w:val="0B490628"/>
    <w:rsid w:val="0B4D084E"/>
    <w:rsid w:val="0B5001FD"/>
    <w:rsid w:val="0B5D62E7"/>
    <w:rsid w:val="0B5E6C1B"/>
    <w:rsid w:val="0B7C78A1"/>
    <w:rsid w:val="0B8E3A06"/>
    <w:rsid w:val="0B94665C"/>
    <w:rsid w:val="0B964EC9"/>
    <w:rsid w:val="0B9B3CCE"/>
    <w:rsid w:val="0B9D5FFB"/>
    <w:rsid w:val="0BA62356"/>
    <w:rsid w:val="0BA63302"/>
    <w:rsid w:val="0BB91FA4"/>
    <w:rsid w:val="0BC71F3A"/>
    <w:rsid w:val="0BCF0D6E"/>
    <w:rsid w:val="0BDA2FAB"/>
    <w:rsid w:val="0BDD0790"/>
    <w:rsid w:val="0BDD4638"/>
    <w:rsid w:val="0BF5093F"/>
    <w:rsid w:val="0C095932"/>
    <w:rsid w:val="0C0D7E74"/>
    <w:rsid w:val="0C0E77A3"/>
    <w:rsid w:val="0C154760"/>
    <w:rsid w:val="0C166DCE"/>
    <w:rsid w:val="0C371FE2"/>
    <w:rsid w:val="0C426E10"/>
    <w:rsid w:val="0C4358FB"/>
    <w:rsid w:val="0C593A85"/>
    <w:rsid w:val="0C6236CC"/>
    <w:rsid w:val="0C6658D4"/>
    <w:rsid w:val="0C6C00A7"/>
    <w:rsid w:val="0C6F3B75"/>
    <w:rsid w:val="0C7F1DC2"/>
    <w:rsid w:val="0C825B1D"/>
    <w:rsid w:val="0C87727B"/>
    <w:rsid w:val="0C8C56BB"/>
    <w:rsid w:val="0CA53F3A"/>
    <w:rsid w:val="0CA87886"/>
    <w:rsid w:val="0CAF57CC"/>
    <w:rsid w:val="0CB41A43"/>
    <w:rsid w:val="0CB952B6"/>
    <w:rsid w:val="0CBD53F9"/>
    <w:rsid w:val="0CC06DC6"/>
    <w:rsid w:val="0CC12374"/>
    <w:rsid w:val="0CCC52F8"/>
    <w:rsid w:val="0CD023D1"/>
    <w:rsid w:val="0CDA7707"/>
    <w:rsid w:val="0CDC30C8"/>
    <w:rsid w:val="0CE9136E"/>
    <w:rsid w:val="0CE94F94"/>
    <w:rsid w:val="0CED067B"/>
    <w:rsid w:val="0CFC6488"/>
    <w:rsid w:val="0D004C93"/>
    <w:rsid w:val="0D1158BC"/>
    <w:rsid w:val="0D1D5BF4"/>
    <w:rsid w:val="0D2210AE"/>
    <w:rsid w:val="0D290E15"/>
    <w:rsid w:val="0D2E7CDA"/>
    <w:rsid w:val="0D3161DB"/>
    <w:rsid w:val="0D38710E"/>
    <w:rsid w:val="0D3A5B22"/>
    <w:rsid w:val="0D3A63F7"/>
    <w:rsid w:val="0D443071"/>
    <w:rsid w:val="0D4A61F6"/>
    <w:rsid w:val="0D5A4C9D"/>
    <w:rsid w:val="0D5E127F"/>
    <w:rsid w:val="0D636535"/>
    <w:rsid w:val="0D652404"/>
    <w:rsid w:val="0D692839"/>
    <w:rsid w:val="0D7824BD"/>
    <w:rsid w:val="0D790005"/>
    <w:rsid w:val="0D793F75"/>
    <w:rsid w:val="0D8323B8"/>
    <w:rsid w:val="0D8D3FD0"/>
    <w:rsid w:val="0D941DD9"/>
    <w:rsid w:val="0D947DEF"/>
    <w:rsid w:val="0D9960F6"/>
    <w:rsid w:val="0D9B3836"/>
    <w:rsid w:val="0D9D017D"/>
    <w:rsid w:val="0DA0651A"/>
    <w:rsid w:val="0DAF57C7"/>
    <w:rsid w:val="0DB1600D"/>
    <w:rsid w:val="0DB87064"/>
    <w:rsid w:val="0DC23414"/>
    <w:rsid w:val="0DC45258"/>
    <w:rsid w:val="0DD37D4F"/>
    <w:rsid w:val="0DF20A80"/>
    <w:rsid w:val="0E0974BC"/>
    <w:rsid w:val="0E0D58BA"/>
    <w:rsid w:val="0E105F97"/>
    <w:rsid w:val="0E117299"/>
    <w:rsid w:val="0E1D4C94"/>
    <w:rsid w:val="0E1E01D2"/>
    <w:rsid w:val="0E237ECF"/>
    <w:rsid w:val="0E29601F"/>
    <w:rsid w:val="0E2A646C"/>
    <w:rsid w:val="0E2C57A6"/>
    <w:rsid w:val="0E3B4AAC"/>
    <w:rsid w:val="0E406DCA"/>
    <w:rsid w:val="0E444E25"/>
    <w:rsid w:val="0E4528EE"/>
    <w:rsid w:val="0E463F6A"/>
    <w:rsid w:val="0E4E095A"/>
    <w:rsid w:val="0E511B01"/>
    <w:rsid w:val="0E533A22"/>
    <w:rsid w:val="0E5400D2"/>
    <w:rsid w:val="0E5852DB"/>
    <w:rsid w:val="0E5D50FC"/>
    <w:rsid w:val="0E5E0B3E"/>
    <w:rsid w:val="0E676C43"/>
    <w:rsid w:val="0E6E07F5"/>
    <w:rsid w:val="0E7E2314"/>
    <w:rsid w:val="0E80608C"/>
    <w:rsid w:val="0E8D2FCC"/>
    <w:rsid w:val="0E9658AF"/>
    <w:rsid w:val="0E9944EA"/>
    <w:rsid w:val="0EA0228A"/>
    <w:rsid w:val="0EA578A0"/>
    <w:rsid w:val="0EB331E4"/>
    <w:rsid w:val="0EB5186D"/>
    <w:rsid w:val="0EBA7291"/>
    <w:rsid w:val="0EC73CBB"/>
    <w:rsid w:val="0ED45063"/>
    <w:rsid w:val="0EE00334"/>
    <w:rsid w:val="0EEC54CF"/>
    <w:rsid w:val="0F090320"/>
    <w:rsid w:val="0F296FB7"/>
    <w:rsid w:val="0F2D4847"/>
    <w:rsid w:val="0F3A26DF"/>
    <w:rsid w:val="0F3B6457"/>
    <w:rsid w:val="0F3E4FBF"/>
    <w:rsid w:val="0F4277E5"/>
    <w:rsid w:val="0F451083"/>
    <w:rsid w:val="0F4527B9"/>
    <w:rsid w:val="0F503CB0"/>
    <w:rsid w:val="0F552295"/>
    <w:rsid w:val="0F555D3E"/>
    <w:rsid w:val="0F68165A"/>
    <w:rsid w:val="0F7331B1"/>
    <w:rsid w:val="0F790888"/>
    <w:rsid w:val="0F830CF9"/>
    <w:rsid w:val="0F8807D3"/>
    <w:rsid w:val="0F961643"/>
    <w:rsid w:val="0F985025"/>
    <w:rsid w:val="0F993EA0"/>
    <w:rsid w:val="0FA715B7"/>
    <w:rsid w:val="0FA8483D"/>
    <w:rsid w:val="0FAB0735"/>
    <w:rsid w:val="0FAB73CF"/>
    <w:rsid w:val="0FBA136E"/>
    <w:rsid w:val="0FC67596"/>
    <w:rsid w:val="0FD0094D"/>
    <w:rsid w:val="0FD23538"/>
    <w:rsid w:val="0FEA7956"/>
    <w:rsid w:val="0FED54E5"/>
    <w:rsid w:val="0FF22FB9"/>
    <w:rsid w:val="0FF24D67"/>
    <w:rsid w:val="0FF2619D"/>
    <w:rsid w:val="0FF91388"/>
    <w:rsid w:val="10002E78"/>
    <w:rsid w:val="10051186"/>
    <w:rsid w:val="10082322"/>
    <w:rsid w:val="100827DD"/>
    <w:rsid w:val="100A088B"/>
    <w:rsid w:val="101E557F"/>
    <w:rsid w:val="10206168"/>
    <w:rsid w:val="10220902"/>
    <w:rsid w:val="10262C63"/>
    <w:rsid w:val="102832C0"/>
    <w:rsid w:val="1030329B"/>
    <w:rsid w:val="103627B4"/>
    <w:rsid w:val="10476538"/>
    <w:rsid w:val="107921C2"/>
    <w:rsid w:val="107A6B0B"/>
    <w:rsid w:val="107D4754"/>
    <w:rsid w:val="107E07FE"/>
    <w:rsid w:val="10805044"/>
    <w:rsid w:val="108654B0"/>
    <w:rsid w:val="108A45AA"/>
    <w:rsid w:val="108B5C75"/>
    <w:rsid w:val="1090632E"/>
    <w:rsid w:val="10927871"/>
    <w:rsid w:val="109B2457"/>
    <w:rsid w:val="10A80202"/>
    <w:rsid w:val="10A86948"/>
    <w:rsid w:val="10A91F3A"/>
    <w:rsid w:val="10BD4B6E"/>
    <w:rsid w:val="10C05016"/>
    <w:rsid w:val="10CF50A9"/>
    <w:rsid w:val="10DC5341"/>
    <w:rsid w:val="10DC5DE2"/>
    <w:rsid w:val="10DE77F2"/>
    <w:rsid w:val="10E55858"/>
    <w:rsid w:val="10E8122E"/>
    <w:rsid w:val="10F16B8E"/>
    <w:rsid w:val="10F973AA"/>
    <w:rsid w:val="11002024"/>
    <w:rsid w:val="1101215E"/>
    <w:rsid w:val="1107086A"/>
    <w:rsid w:val="110C00AB"/>
    <w:rsid w:val="112673D2"/>
    <w:rsid w:val="11272A81"/>
    <w:rsid w:val="11323E5A"/>
    <w:rsid w:val="11343C71"/>
    <w:rsid w:val="1140061F"/>
    <w:rsid w:val="11420D5D"/>
    <w:rsid w:val="11511756"/>
    <w:rsid w:val="11596BD4"/>
    <w:rsid w:val="1166278E"/>
    <w:rsid w:val="116A6B7F"/>
    <w:rsid w:val="118151C6"/>
    <w:rsid w:val="11871BD0"/>
    <w:rsid w:val="119F4A7B"/>
    <w:rsid w:val="11A3453B"/>
    <w:rsid w:val="11AF7CCD"/>
    <w:rsid w:val="11B13A44"/>
    <w:rsid w:val="11B64B9D"/>
    <w:rsid w:val="11C219B6"/>
    <w:rsid w:val="11C34C5A"/>
    <w:rsid w:val="11CE54FA"/>
    <w:rsid w:val="11D64215"/>
    <w:rsid w:val="11D7281B"/>
    <w:rsid w:val="11D93657"/>
    <w:rsid w:val="11DD37F5"/>
    <w:rsid w:val="11DD55A3"/>
    <w:rsid w:val="11E62926"/>
    <w:rsid w:val="11E7019B"/>
    <w:rsid w:val="12041F1C"/>
    <w:rsid w:val="120C30E2"/>
    <w:rsid w:val="121D1E44"/>
    <w:rsid w:val="124675EC"/>
    <w:rsid w:val="12486EC1"/>
    <w:rsid w:val="125C1D36"/>
    <w:rsid w:val="125D03B5"/>
    <w:rsid w:val="126F4111"/>
    <w:rsid w:val="126F5ED9"/>
    <w:rsid w:val="128A25F6"/>
    <w:rsid w:val="128B7C0F"/>
    <w:rsid w:val="1299328B"/>
    <w:rsid w:val="12A04B9A"/>
    <w:rsid w:val="12A30DA6"/>
    <w:rsid w:val="12B50BED"/>
    <w:rsid w:val="12C23A7C"/>
    <w:rsid w:val="12C32F26"/>
    <w:rsid w:val="12C6156A"/>
    <w:rsid w:val="12CA4DA3"/>
    <w:rsid w:val="12D20E80"/>
    <w:rsid w:val="12D37006"/>
    <w:rsid w:val="12D919C1"/>
    <w:rsid w:val="12E61CD4"/>
    <w:rsid w:val="12E94BA8"/>
    <w:rsid w:val="12F55F70"/>
    <w:rsid w:val="13021765"/>
    <w:rsid w:val="1304111F"/>
    <w:rsid w:val="13041B90"/>
    <w:rsid w:val="130A3353"/>
    <w:rsid w:val="130B7334"/>
    <w:rsid w:val="13197966"/>
    <w:rsid w:val="131B0C66"/>
    <w:rsid w:val="13380869"/>
    <w:rsid w:val="13525B1D"/>
    <w:rsid w:val="135C15A5"/>
    <w:rsid w:val="136B30DD"/>
    <w:rsid w:val="13755EB2"/>
    <w:rsid w:val="13800B97"/>
    <w:rsid w:val="13877DCB"/>
    <w:rsid w:val="13881341"/>
    <w:rsid w:val="13887B1A"/>
    <w:rsid w:val="13904FC3"/>
    <w:rsid w:val="139F2E5E"/>
    <w:rsid w:val="13A04ADA"/>
    <w:rsid w:val="13A23B9A"/>
    <w:rsid w:val="13A35911"/>
    <w:rsid w:val="13A47BFE"/>
    <w:rsid w:val="13A646F2"/>
    <w:rsid w:val="13AD2096"/>
    <w:rsid w:val="13AE0DA1"/>
    <w:rsid w:val="13B773EB"/>
    <w:rsid w:val="13C4002F"/>
    <w:rsid w:val="13C63319"/>
    <w:rsid w:val="13C7475D"/>
    <w:rsid w:val="13E67824"/>
    <w:rsid w:val="13ED6898"/>
    <w:rsid w:val="140137CB"/>
    <w:rsid w:val="14063E97"/>
    <w:rsid w:val="14166484"/>
    <w:rsid w:val="14171240"/>
    <w:rsid w:val="14197E9B"/>
    <w:rsid w:val="14242A9B"/>
    <w:rsid w:val="14293FDD"/>
    <w:rsid w:val="142B4770"/>
    <w:rsid w:val="143105E6"/>
    <w:rsid w:val="14335E33"/>
    <w:rsid w:val="144E2788"/>
    <w:rsid w:val="144F3B92"/>
    <w:rsid w:val="145D7218"/>
    <w:rsid w:val="145E21A7"/>
    <w:rsid w:val="14663754"/>
    <w:rsid w:val="146D0E60"/>
    <w:rsid w:val="1470604A"/>
    <w:rsid w:val="1479294C"/>
    <w:rsid w:val="147D6BCA"/>
    <w:rsid w:val="148037BC"/>
    <w:rsid w:val="14857BC8"/>
    <w:rsid w:val="148A09EC"/>
    <w:rsid w:val="148E0DD7"/>
    <w:rsid w:val="14960E91"/>
    <w:rsid w:val="149E54BE"/>
    <w:rsid w:val="14A979BF"/>
    <w:rsid w:val="14B4083D"/>
    <w:rsid w:val="14BE3BD0"/>
    <w:rsid w:val="14C03686"/>
    <w:rsid w:val="14CA2C11"/>
    <w:rsid w:val="14CB202B"/>
    <w:rsid w:val="14CF2CA5"/>
    <w:rsid w:val="14D4721A"/>
    <w:rsid w:val="14D53920"/>
    <w:rsid w:val="14D94748"/>
    <w:rsid w:val="14DB226E"/>
    <w:rsid w:val="14DE3402"/>
    <w:rsid w:val="14E36FB1"/>
    <w:rsid w:val="14E60E10"/>
    <w:rsid w:val="14E813D5"/>
    <w:rsid w:val="14F71157"/>
    <w:rsid w:val="15072773"/>
    <w:rsid w:val="15127C5A"/>
    <w:rsid w:val="151D60E3"/>
    <w:rsid w:val="152165F3"/>
    <w:rsid w:val="1530340C"/>
    <w:rsid w:val="15443470"/>
    <w:rsid w:val="154D2A40"/>
    <w:rsid w:val="154F09D4"/>
    <w:rsid w:val="154F0CA1"/>
    <w:rsid w:val="155A6AAB"/>
    <w:rsid w:val="155B6F0B"/>
    <w:rsid w:val="155D44F6"/>
    <w:rsid w:val="1568195A"/>
    <w:rsid w:val="156825AE"/>
    <w:rsid w:val="157648A9"/>
    <w:rsid w:val="157B7989"/>
    <w:rsid w:val="157D25F1"/>
    <w:rsid w:val="158013B3"/>
    <w:rsid w:val="15897466"/>
    <w:rsid w:val="159266A5"/>
    <w:rsid w:val="159D2AA8"/>
    <w:rsid w:val="15BC3A0F"/>
    <w:rsid w:val="15BF05AC"/>
    <w:rsid w:val="15CF3C06"/>
    <w:rsid w:val="15CF6FF0"/>
    <w:rsid w:val="15D62A35"/>
    <w:rsid w:val="15E044A0"/>
    <w:rsid w:val="15E40909"/>
    <w:rsid w:val="15E72E94"/>
    <w:rsid w:val="15EF3AF7"/>
    <w:rsid w:val="15F32BDF"/>
    <w:rsid w:val="15F95FB4"/>
    <w:rsid w:val="15F97B47"/>
    <w:rsid w:val="16071DD9"/>
    <w:rsid w:val="1609105D"/>
    <w:rsid w:val="160C5D02"/>
    <w:rsid w:val="16184098"/>
    <w:rsid w:val="161F7166"/>
    <w:rsid w:val="162426FB"/>
    <w:rsid w:val="16290D5F"/>
    <w:rsid w:val="162C4C37"/>
    <w:rsid w:val="163409FD"/>
    <w:rsid w:val="163F05DA"/>
    <w:rsid w:val="164925E6"/>
    <w:rsid w:val="16564ED8"/>
    <w:rsid w:val="166556E6"/>
    <w:rsid w:val="16695F27"/>
    <w:rsid w:val="166B2C03"/>
    <w:rsid w:val="166B2D98"/>
    <w:rsid w:val="167A093E"/>
    <w:rsid w:val="167E6CA3"/>
    <w:rsid w:val="167F4B95"/>
    <w:rsid w:val="169327D0"/>
    <w:rsid w:val="169D0E74"/>
    <w:rsid w:val="16A0455F"/>
    <w:rsid w:val="16A25BC1"/>
    <w:rsid w:val="16AB4CC3"/>
    <w:rsid w:val="16BC7E7D"/>
    <w:rsid w:val="16BD04E5"/>
    <w:rsid w:val="16C419E8"/>
    <w:rsid w:val="16D1700E"/>
    <w:rsid w:val="16DA045E"/>
    <w:rsid w:val="16E21427"/>
    <w:rsid w:val="16E57675"/>
    <w:rsid w:val="16E66CA8"/>
    <w:rsid w:val="16EB53B1"/>
    <w:rsid w:val="17033117"/>
    <w:rsid w:val="170535D2"/>
    <w:rsid w:val="170A61ED"/>
    <w:rsid w:val="170C6A21"/>
    <w:rsid w:val="170C751B"/>
    <w:rsid w:val="1711641B"/>
    <w:rsid w:val="17166620"/>
    <w:rsid w:val="17174AB2"/>
    <w:rsid w:val="172B1C15"/>
    <w:rsid w:val="172F59B8"/>
    <w:rsid w:val="173C59AC"/>
    <w:rsid w:val="173E4D36"/>
    <w:rsid w:val="173F20E2"/>
    <w:rsid w:val="174D4F79"/>
    <w:rsid w:val="175D4AA9"/>
    <w:rsid w:val="17606A5A"/>
    <w:rsid w:val="17740853"/>
    <w:rsid w:val="177F62FA"/>
    <w:rsid w:val="1780009A"/>
    <w:rsid w:val="178E0BAF"/>
    <w:rsid w:val="1791130A"/>
    <w:rsid w:val="17987B34"/>
    <w:rsid w:val="17990FA9"/>
    <w:rsid w:val="17A10E21"/>
    <w:rsid w:val="17B60D70"/>
    <w:rsid w:val="17C271C7"/>
    <w:rsid w:val="17DE3FD2"/>
    <w:rsid w:val="17E21B65"/>
    <w:rsid w:val="17E25684"/>
    <w:rsid w:val="17EC02EE"/>
    <w:rsid w:val="17F3167D"/>
    <w:rsid w:val="17F51899"/>
    <w:rsid w:val="17FA253A"/>
    <w:rsid w:val="18071145"/>
    <w:rsid w:val="180D1861"/>
    <w:rsid w:val="1824021D"/>
    <w:rsid w:val="182727AA"/>
    <w:rsid w:val="182A0E16"/>
    <w:rsid w:val="182C3C1D"/>
    <w:rsid w:val="182E4DAB"/>
    <w:rsid w:val="183737F8"/>
    <w:rsid w:val="18424965"/>
    <w:rsid w:val="18527BEC"/>
    <w:rsid w:val="185D48BA"/>
    <w:rsid w:val="18690252"/>
    <w:rsid w:val="186A253C"/>
    <w:rsid w:val="187327BD"/>
    <w:rsid w:val="187602DD"/>
    <w:rsid w:val="18764A71"/>
    <w:rsid w:val="18782953"/>
    <w:rsid w:val="187D11D8"/>
    <w:rsid w:val="18851020"/>
    <w:rsid w:val="188651E4"/>
    <w:rsid w:val="1890511D"/>
    <w:rsid w:val="18921538"/>
    <w:rsid w:val="189E12C3"/>
    <w:rsid w:val="189E32A4"/>
    <w:rsid w:val="189E6C73"/>
    <w:rsid w:val="18A64941"/>
    <w:rsid w:val="18AC4201"/>
    <w:rsid w:val="18B47A70"/>
    <w:rsid w:val="18BD055D"/>
    <w:rsid w:val="18C04A46"/>
    <w:rsid w:val="18C4037B"/>
    <w:rsid w:val="18C748B7"/>
    <w:rsid w:val="18D72014"/>
    <w:rsid w:val="18D764B0"/>
    <w:rsid w:val="18D92B7A"/>
    <w:rsid w:val="18DA0A8E"/>
    <w:rsid w:val="18FF308F"/>
    <w:rsid w:val="19094ED0"/>
    <w:rsid w:val="190A1374"/>
    <w:rsid w:val="19263C11"/>
    <w:rsid w:val="19351878"/>
    <w:rsid w:val="19364034"/>
    <w:rsid w:val="193D5EB3"/>
    <w:rsid w:val="1940240E"/>
    <w:rsid w:val="194B6D06"/>
    <w:rsid w:val="194F0096"/>
    <w:rsid w:val="19580F07"/>
    <w:rsid w:val="19605FFF"/>
    <w:rsid w:val="196842EC"/>
    <w:rsid w:val="196C060A"/>
    <w:rsid w:val="196E66EE"/>
    <w:rsid w:val="197226D6"/>
    <w:rsid w:val="197B045A"/>
    <w:rsid w:val="197D1E58"/>
    <w:rsid w:val="19911370"/>
    <w:rsid w:val="19981B0B"/>
    <w:rsid w:val="19A57A33"/>
    <w:rsid w:val="19A60597"/>
    <w:rsid w:val="19A748CE"/>
    <w:rsid w:val="19B53F29"/>
    <w:rsid w:val="19B72B7E"/>
    <w:rsid w:val="19BB4AC7"/>
    <w:rsid w:val="19C257AA"/>
    <w:rsid w:val="19DE010A"/>
    <w:rsid w:val="19ED1019"/>
    <w:rsid w:val="19F30FD0"/>
    <w:rsid w:val="19FC580C"/>
    <w:rsid w:val="1A084634"/>
    <w:rsid w:val="1A0931E6"/>
    <w:rsid w:val="1A0933D9"/>
    <w:rsid w:val="1A0B22C7"/>
    <w:rsid w:val="1A107534"/>
    <w:rsid w:val="1A1B26CF"/>
    <w:rsid w:val="1A1D39FB"/>
    <w:rsid w:val="1A240213"/>
    <w:rsid w:val="1A275744"/>
    <w:rsid w:val="1A2C6661"/>
    <w:rsid w:val="1A332694"/>
    <w:rsid w:val="1A33410B"/>
    <w:rsid w:val="1A3D4066"/>
    <w:rsid w:val="1A422421"/>
    <w:rsid w:val="1A454BBD"/>
    <w:rsid w:val="1A50247D"/>
    <w:rsid w:val="1A5605E9"/>
    <w:rsid w:val="1A5846A0"/>
    <w:rsid w:val="1A5B75BD"/>
    <w:rsid w:val="1A5C1E8C"/>
    <w:rsid w:val="1A5F4086"/>
    <w:rsid w:val="1A684E92"/>
    <w:rsid w:val="1A8A4647"/>
    <w:rsid w:val="1A9609E5"/>
    <w:rsid w:val="1A9723B6"/>
    <w:rsid w:val="1A984C5D"/>
    <w:rsid w:val="1AA34AA6"/>
    <w:rsid w:val="1AA83ACA"/>
    <w:rsid w:val="1AA93183"/>
    <w:rsid w:val="1AAC781B"/>
    <w:rsid w:val="1AB44A07"/>
    <w:rsid w:val="1AB803AE"/>
    <w:rsid w:val="1AB927E6"/>
    <w:rsid w:val="1AC75042"/>
    <w:rsid w:val="1AC90DBB"/>
    <w:rsid w:val="1AD41623"/>
    <w:rsid w:val="1ADA1B4E"/>
    <w:rsid w:val="1AED05E1"/>
    <w:rsid w:val="1AF00F47"/>
    <w:rsid w:val="1AF046CF"/>
    <w:rsid w:val="1AF16568"/>
    <w:rsid w:val="1AFF658A"/>
    <w:rsid w:val="1B040045"/>
    <w:rsid w:val="1B074284"/>
    <w:rsid w:val="1B143739"/>
    <w:rsid w:val="1B21661A"/>
    <w:rsid w:val="1B24725D"/>
    <w:rsid w:val="1B2B048F"/>
    <w:rsid w:val="1B301CAE"/>
    <w:rsid w:val="1B44289D"/>
    <w:rsid w:val="1B4A2D9D"/>
    <w:rsid w:val="1B4D4C2F"/>
    <w:rsid w:val="1B4F12C0"/>
    <w:rsid w:val="1B5752AC"/>
    <w:rsid w:val="1B5E72DC"/>
    <w:rsid w:val="1B67625B"/>
    <w:rsid w:val="1B6B043B"/>
    <w:rsid w:val="1B6B336B"/>
    <w:rsid w:val="1B6D18C5"/>
    <w:rsid w:val="1B6E424D"/>
    <w:rsid w:val="1B863F0D"/>
    <w:rsid w:val="1B9369D7"/>
    <w:rsid w:val="1B9534FE"/>
    <w:rsid w:val="1B9E5564"/>
    <w:rsid w:val="1BAF5377"/>
    <w:rsid w:val="1BB15F13"/>
    <w:rsid w:val="1BB678D9"/>
    <w:rsid w:val="1BBF4AED"/>
    <w:rsid w:val="1BCB3B13"/>
    <w:rsid w:val="1BD97AB4"/>
    <w:rsid w:val="1BFA4214"/>
    <w:rsid w:val="1C071B9A"/>
    <w:rsid w:val="1C146D3D"/>
    <w:rsid w:val="1C19483C"/>
    <w:rsid w:val="1C1D13BE"/>
    <w:rsid w:val="1C213008"/>
    <w:rsid w:val="1C2C1382"/>
    <w:rsid w:val="1C347AE7"/>
    <w:rsid w:val="1C3709C2"/>
    <w:rsid w:val="1C3F5A29"/>
    <w:rsid w:val="1C5172BA"/>
    <w:rsid w:val="1C533032"/>
    <w:rsid w:val="1C680DA8"/>
    <w:rsid w:val="1C6D2061"/>
    <w:rsid w:val="1C73352D"/>
    <w:rsid w:val="1C7F0A0D"/>
    <w:rsid w:val="1C874A89"/>
    <w:rsid w:val="1C883EE2"/>
    <w:rsid w:val="1C8A5704"/>
    <w:rsid w:val="1C993644"/>
    <w:rsid w:val="1CA30814"/>
    <w:rsid w:val="1CA40989"/>
    <w:rsid w:val="1CA411B8"/>
    <w:rsid w:val="1CA91C58"/>
    <w:rsid w:val="1CAE2016"/>
    <w:rsid w:val="1CAE730B"/>
    <w:rsid w:val="1CB64E6F"/>
    <w:rsid w:val="1CBC0BD7"/>
    <w:rsid w:val="1CD11261"/>
    <w:rsid w:val="1CD6156D"/>
    <w:rsid w:val="1CE211FC"/>
    <w:rsid w:val="1CE974F2"/>
    <w:rsid w:val="1CF333E6"/>
    <w:rsid w:val="1CF87735"/>
    <w:rsid w:val="1CFF0AC4"/>
    <w:rsid w:val="1D0565E2"/>
    <w:rsid w:val="1D1C5DA2"/>
    <w:rsid w:val="1D2122A1"/>
    <w:rsid w:val="1D2357FD"/>
    <w:rsid w:val="1D2D51F1"/>
    <w:rsid w:val="1D300C7D"/>
    <w:rsid w:val="1D3249F5"/>
    <w:rsid w:val="1D37486F"/>
    <w:rsid w:val="1D42071E"/>
    <w:rsid w:val="1D4856D1"/>
    <w:rsid w:val="1D4C2B5B"/>
    <w:rsid w:val="1D6257AE"/>
    <w:rsid w:val="1D677324"/>
    <w:rsid w:val="1D6E2D29"/>
    <w:rsid w:val="1D782040"/>
    <w:rsid w:val="1D8C6A7E"/>
    <w:rsid w:val="1D8E167F"/>
    <w:rsid w:val="1D9531D6"/>
    <w:rsid w:val="1D9778CB"/>
    <w:rsid w:val="1DAF4FB1"/>
    <w:rsid w:val="1DB01D77"/>
    <w:rsid w:val="1DB95872"/>
    <w:rsid w:val="1DBD7240"/>
    <w:rsid w:val="1DC07134"/>
    <w:rsid w:val="1DC15568"/>
    <w:rsid w:val="1DC77F7C"/>
    <w:rsid w:val="1DCE2AB1"/>
    <w:rsid w:val="1DD0335C"/>
    <w:rsid w:val="1DD51824"/>
    <w:rsid w:val="1DD620D3"/>
    <w:rsid w:val="1DD65CC8"/>
    <w:rsid w:val="1DD7570D"/>
    <w:rsid w:val="1DDB508D"/>
    <w:rsid w:val="1DDE1182"/>
    <w:rsid w:val="1DDE2DCF"/>
    <w:rsid w:val="1DE5415D"/>
    <w:rsid w:val="1DED6B6E"/>
    <w:rsid w:val="1DF0665E"/>
    <w:rsid w:val="1DFC3B16"/>
    <w:rsid w:val="1E071D72"/>
    <w:rsid w:val="1E125CB7"/>
    <w:rsid w:val="1E1E21E7"/>
    <w:rsid w:val="1E2566DA"/>
    <w:rsid w:val="1E2D48C4"/>
    <w:rsid w:val="1E32366D"/>
    <w:rsid w:val="1E36628C"/>
    <w:rsid w:val="1E3B46CC"/>
    <w:rsid w:val="1E510853"/>
    <w:rsid w:val="1E57604D"/>
    <w:rsid w:val="1E635018"/>
    <w:rsid w:val="1E656782"/>
    <w:rsid w:val="1E814CED"/>
    <w:rsid w:val="1E8469F9"/>
    <w:rsid w:val="1E92658B"/>
    <w:rsid w:val="1E9C5B42"/>
    <w:rsid w:val="1E9C5BFF"/>
    <w:rsid w:val="1EA53511"/>
    <w:rsid w:val="1EA672D8"/>
    <w:rsid w:val="1ECC3FFD"/>
    <w:rsid w:val="1ED2384F"/>
    <w:rsid w:val="1ED9232C"/>
    <w:rsid w:val="1EDD43FA"/>
    <w:rsid w:val="1EDF476D"/>
    <w:rsid w:val="1EE241F9"/>
    <w:rsid w:val="1EEA697A"/>
    <w:rsid w:val="1EEC0C5C"/>
    <w:rsid w:val="1F176E60"/>
    <w:rsid w:val="1F1A3993"/>
    <w:rsid w:val="1F37018C"/>
    <w:rsid w:val="1F447B60"/>
    <w:rsid w:val="1F455558"/>
    <w:rsid w:val="1F494278"/>
    <w:rsid w:val="1F4C1597"/>
    <w:rsid w:val="1F51433D"/>
    <w:rsid w:val="1F5500CB"/>
    <w:rsid w:val="1F5B5AF9"/>
    <w:rsid w:val="1F7574A3"/>
    <w:rsid w:val="1F7C2691"/>
    <w:rsid w:val="1F9A340A"/>
    <w:rsid w:val="1FA24F7F"/>
    <w:rsid w:val="1FB26162"/>
    <w:rsid w:val="1FB31A5F"/>
    <w:rsid w:val="1FC20797"/>
    <w:rsid w:val="1FC97C87"/>
    <w:rsid w:val="1FCC023A"/>
    <w:rsid w:val="1FD47FE6"/>
    <w:rsid w:val="1FDE3F49"/>
    <w:rsid w:val="1FE933AA"/>
    <w:rsid w:val="1FF468DA"/>
    <w:rsid w:val="1FF94A2D"/>
    <w:rsid w:val="2000330E"/>
    <w:rsid w:val="200B0D0C"/>
    <w:rsid w:val="201051B9"/>
    <w:rsid w:val="201120ED"/>
    <w:rsid w:val="20191A25"/>
    <w:rsid w:val="20280331"/>
    <w:rsid w:val="202D1DEC"/>
    <w:rsid w:val="2040794E"/>
    <w:rsid w:val="20460DDC"/>
    <w:rsid w:val="20460ED9"/>
    <w:rsid w:val="204D6F6C"/>
    <w:rsid w:val="20506C8E"/>
    <w:rsid w:val="205E01F7"/>
    <w:rsid w:val="2064368A"/>
    <w:rsid w:val="207F43D9"/>
    <w:rsid w:val="20875058"/>
    <w:rsid w:val="20906E82"/>
    <w:rsid w:val="209128E5"/>
    <w:rsid w:val="209F1645"/>
    <w:rsid w:val="20A84AFD"/>
    <w:rsid w:val="20A976C4"/>
    <w:rsid w:val="20B336D0"/>
    <w:rsid w:val="20B41FC9"/>
    <w:rsid w:val="20B707BB"/>
    <w:rsid w:val="20B91E5B"/>
    <w:rsid w:val="20C04A0E"/>
    <w:rsid w:val="20C106E3"/>
    <w:rsid w:val="20DA452F"/>
    <w:rsid w:val="20E40D06"/>
    <w:rsid w:val="20E70DDA"/>
    <w:rsid w:val="20EE157B"/>
    <w:rsid w:val="20EE5292"/>
    <w:rsid w:val="20EE7A98"/>
    <w:rsid w:val="20F012DA"/>
    <w:rsid w:val="20F91B22"/>
    <w:rsid w:val="20FB0C58"/>
    <w:rsid w:val="2102118F"/>
    <w:rsid w:val="21042B4C"/>
    <w:rsid w:val="210643F0"/>
    <w:rsid w:val="21126A1E"/>
    <w:rsid w:val="211A3117"/>
    <w:rsid w:val="211D6ED8"/>
    <w:rsid w:val="21224D81"/>
    <w:rsid w:val="21365E4F"/>
    <w:rsid w:val="21432762"/>
    <w:rsid w:val="214418B5"/>
    <w:rsid w:val="215F5D66"/>
    <w:rsid w:val="216A0307"/>
    <w:rsid w:val="217B299D"/>
    <w:rsid w:val="219B228D"/>
    <w:rsid w:val="219C7087"/>
    <w:rsid w:val="219D2205"/>
    <w:rsid w:val="219F5A6F"/>
    <w:rsid w:val="21A2770F"/>
    <w:rsid w:val="21A72E05"/>
    <w:rsid w:val="21AF4DC3"/>
    <w:rsid w:val="21B75E11"/>
    <w:rsid w:val="21C06F92"/>
    <w:rsid w:val="21C34A4E"/>
    <w:rsid w:val="21C84E9E"/>
    <w:rsid w:val="21CA5B44"/>
    <w:rsid w:val="21CB5CF6"/>
    <w:rsid w:val="21D17902"/>
    <w:rsid w:val="21E22287"/>
    <w:rsid w:val="21E5632B"/>
    <w:rsid w:val="21F143E4"/>
    <w:rsid w:val="21F15A4A"/>
    <w:rsid w:val="21F718D2"/>
    <w:rsid w:val="220643AF"/>
    <w:rsid w:val="22077889"/>
    <w:rsid w:val="22104944"/>
    <w:rsid w:val="22121D33"/>
    <w:rsid w:val="22131E5F"/>
    <w:rsid w:val="2225695B"/>
    <w:rsid w:val="222B4A26"/>
    <w:rsid w:val="2230171F"/>
    <w:rsid w:val="224C1EE4"/>
    <w:rsid w:val="224E5006"/>
    <w:rsid w:val="22507E1C"/>
    <w:rsid w:val="225F71CC"/>
    <w:rsid w:val="226E0F46"/>
    <w:rsid w:val="22894FBA"/>
    <w:rsid w:val="228B7D1B"/>
    <w:rsid w:val="22993411"/>
    <w:rsid w:val="22A31EF1"/>
    <w:rsid w:val="22A3753B"/>
    <w:rsid w:val="22A627B6"/>
    <w:rsid w:val="22B83FDE"/>
    <w:rsid w:val="22B8599C"/>
    <w:rsid w:val="22BB1853"/>
    <w:rsid w:val="22C41C6A"/>
    <w:rsid w:val="22C81958"/>
    <w:rsid w:val="22DB78DD"/>
    <w:rsid w:val="22EE7034"/>
    <w:rsid w:val="22F20146"/>
    <w:rsid w:val="22F774F6"/>
    <w:rsid w:val="22FD46BD"/>
    <w:rsid w:val="23006217"/>
    <w:rsid w:val="230F132C"/>
    <w:rsid w:val="231057D9"/>
    <w:rsid w:val="23153857"/>
    <w:rsid w:val="231B17F9"/>
    <w:rsid w:val="23216DFA"/>
    <w:rsid w:val="233A304E"/>
    <w:rsid w:val="23443D7D"/>
    <w:rsid w:val="234F1862"/>
    <w:rsid w:val="235511EA"/>
    <w:rsid w:val="235D02F2"/>
    <w:rsid w:val="23614F48"/>
    <w:rsid w:val="23690609"/>
    <w:rsid w:val="237A3E4E"/>
    <w:rsid w:val="237E1230"/>
    <w:rsid w:val="238A29AB"/>
    <w:rsid w:val="238F40D9"/>
    <w:rsid w:val="23933508"/>
    <w:rsid w:val="239504D4"/>
    <w:rsid w:val="23950A3C"/>
    <w:rsid w:val="239A2125"/>
    <w:rsid w:val="239B5FC0"/>
    <w:rsid w:val="23A92C60"/>
    <w:rsid w:val="23AA0F3C"/>
    <w:rsid w:val="23B03FD9"/>
    <w:rsid w:val="23B714CC"/>
    <w:rsid w:val="23BA7F5A"/>
    <w:rsid w:val="23C13739"/>
    <w:rsid w:val="23CE2F9E"/>
    <w:rsid w:val="23DD1433"/>
    <w:rsid w:val="23E11DA2"/>
    <w:rsid w:val="23E235B0"/>
    <w:rsid w:val="23E66539"/>
    <w:rsid w:val="23F23130"/>
    <w:rsid w:val="23FF75FB"/>
    <w:rsid w:val="24044813"/>
    <w:rsid w:val="2423778D"/>
    <w:rsid w:val="242474A7"/>
    <w:rsid w:val="2428389C"/>
    <w:rsid w:val="2439617A"/>
    <w:rsid w:val="244520C9"/>
    <w:rsid w:val="245005B3"/>
    <w:rsid w:val="2455546D"/>
    <w:rsid w:val="245F0DC4"/>
    <w:rsid w:val="24661A7D"/>
    <w:rsid w:val="246C280E"/>
    <w:rsid w:val="247104F9"/>
    <w:rsid w:val="24734E74"/>
    <w:rsid w:val="24753BB1"/>
    <w:rsid w:val="24940315"/>
    <w:rsid w:val="249511E4"/>
    <w:rsid w:val="249604BE"/>
    <w:rsid w:val="24A31E88"/>
    <w:rsid w:val="24C504EE"/>
    <w:rsid w:val="24C76B9D"/>
    <w:rsid w:val="24CE37C5"/>
    <w:rsid w:val="24D14521"/>
    <w:rsid w:val="24D80578"/>
    <w:rsid w:val="24E164AF"/>
    <w:rsid w:val="24E37825"/>
    <w:rsid w:val="24E41B08"/>
    <w:rsid w:val="24E65466"/>
    <w:rsid w:val="24E944A8"/>
    <w:rsid w:val="24ED56A6"/>
    <w:rsid w:val="24F61130"/>
    <w:rsid w:val="24F96CA5"/>
    <w:rsid w:val="24FC5064"/>
    <w:rsid w:val="250B6C88"/>
    <w:rsid w:val="250D16FB"/>
    <w:rsid w:val="25207316"/>
    <w:rsid w:val="25207829"/>
    <w:rsid w:val="252348FA"/>
    <w:rsid w:val="252437BD"/>
    <w:rsid w:val="25280D33"/>
    <w:rsid w:val="252A5017"/>
    <w:rsid w:val="25373204"/>
    <w:rsid w:val="253A1C68"/>
    <w:rsid w:val="253C7281"/>
    <w:rsid w:val="25564658"/>
    <w:rsid w:val="25585215"/>
    <w:rsid w:val="255A4BBE"/>
    <w:rsid w:val="255D101D"/>
    <w:rsid w:val="25603917"/>
    <w:rsid w:val="25627611"/>
    <w:rsid w:val="25636FED"/>
    <w:rsid w:val="25645A54"/>
    <w:rsid w:val="25772EBB"/>
    <w:rsid w:val="25832019"/>
    <w:rsid w:val="258C59D8"/>
    <w:rsid w:val="259331FE"/>
    <w:rsid w:val="25957FF8"/>
    <w:rsid w:val="259B0AB8"/>
    <w:rsid w:val="259D545F"/>
    <w:rsid w:val="25A149AC"/>
    <w:rsid w:val="25AF3F32"/>
    <w:rsid w:val="25B14925"/>
    <w:rsid w:val="25B22A3B"/>
    <w:rsid w:val="25BA2D11"/>
    <w:rsid w:val="25C206E3"/>
    <w:rsid w:val="25C654B7"/>
    <w:rsid w:val="25D0124F"/>
    <w:rsid w:val="25D26FA5"/>
    <w:rsid w:val="25D97596"/>
    <w:rsid w:val="25E37902"/>
    <w:rsid w:val="25F044F9"/>
    <w:rsid w:val="25F74971"/>
    <w:rsid w:val="26040109"/>
    <w:rsid w:val="26061962"/>
    <w:rsid w:val="260F672F"/>
    <w:rsid w:val="26175540"/>
    <w:rsid w:val="261849A4"/>
    <w:rsid w:val="262C56B0"/>
    <w:rsid w:val="262F1527"/>
    <w:rsid w:val="263D0137"/>
    <w:rsid w:val="2642755C"/>
    <w:rsid w:val="264436A6"/>
    <w:rsid w:val="264E03C6"/>
    <w:rsid w:val="26507D69"/>
    <w:rsid w:val="26526108"/>
    <w:rsid w:val="26590788"/>
    <w:rsid w:val="265D1B10"/>
    <w:rsid w:val="26640280"/>
    <w:rsid w:val="266D04E0"/>
    <w:rsid w:val="267D0DD4"/>
    <w:rsid w:val="268A18BB"/>
    <w:rsid w:val="26900E65"/>
    <w:rsid w:val="269308F5"/>
    <w:rsid w:val="269B5762"/>
    <w:rsid w:val="26A0140A"/>
    <w:rsid w:val="26A4480F"/>
    <w:rsid w:val="26AB027E"/>
    <w:rsid w:val="26B47D7B"/>
    <w:rsid w:val="26B942D9"/>
    <w:rsid w:val="26BD3478"/>
    <w:rsid w:val="26CB5BEC"/>
    <w:rsid w:val="26D17EE9"/>
    <w:rsid w:val="26D26B3A"/>
    <w:rsid w:val="26DB5397"/>
    <w:rsid w:val="26E70819"/>
    <w:rsid w:val="26EC030B"/>
    <w:rsid w:val="26ED2085"/>
    <w:rsid w:val="26F614FF"/>
    <w:rsid w:val="26FC7E22"/>
    <w:rsid w:val="27085698"/>
    <w:rsid w:val="2722517B"/>
    <w:rsid w:val="2726309C"/>
    <w:rsid w:val="27325E70"/>
    <w:rsid w:val="27326652"/>
    <w:rsid w:val="27341B93"/>
    <w:rsid w:val="27430D53"/>
    <w:rsid w:val="274E2D73"/>
    <w:rsid w:val="27537702"/>
    <w:rsid w:val="27644968"/>
    <w:rsid w:val="2771098E"/>
    <w:rsid w:val="27752950"/>
    <w:rsid w:val="27803467"/>
    <w:rsid w:val="278422F1"/>
    <w:rsid w:val="278B23EE"/>
    <w:rsid w:val="278E13C2"/>
    <w:rsid w:val="278F0C96"/>
    <w:rsid w:val="27942DC6"/>
    <w:rsid w:val="279938C3"/>
    <w:rsid w:val="279C7ABE"/>
    <w:rsid w:val="27A46AC2"/>
    <w:rsid w:val="27A70952"/>
    <w:rsid w:val="27B52D32"/>
    <w:rsid w:val="27BD0EA7"/>
    <w:rsid w:val="27BF5A1F"/>
    <w:rsid w:val="27BF77CD"/>
    <w:rsid w:val="27C22234"/>
    <w:rsid w:val="27D30046"/>
    <w:rsid w:val="27D4336A"/>
    <w:rsid w:val="27E9484A"/>
    <w:rsid w:val="27E96CD0"/>
    <w:rsid w:val="27EF6F7C"/>
    <w:rsid w:val="27F60128"/>
    <w:rsid w:val="27FA6A57"/>
    <w:rsid w:val="27FC4245"/>
    <w:rsid w:val="28052561"/>
    <w:rsid w:val="28081174"/>
    <w:rsid w:val="28100970"/>
    <w:rsid w:val="28130FC3"/>
    <w:rsid w:val="28164F13"/>
    <w:rsid w:val="28180C8B"/>
    <w:rsid w:val="28185CCE"/>
    <w:rsid w:val="281A2308"/>
    <w:rsid w:val="28242AFE"/>
    <w:rsid w:val="28245882"/>
    <w:rsid w:val="282D4DA2"/>
    <w:rsid w:val="28383DE0"/>
    <w:rsid w:val="284763CA"/>
    <w:rsid w:val="28497097"/>
    <w:rsid w:val="284B72B3"/>
    <w:rsid w:val="284C1CF1"/>
    <w:rsid w:val="285259C3"/>
    <w:rsid w:val="286F0F65"/>
    <w:rsid w:val="28810C2F"/>
    <w:rsid w:val="28832153"/>
    <w:rsid w:val="288C402F"/>
    <w:rsid w:val="288F3C5D"/>
    <w:rsid w:val="289724F8"/>
    <w:rsid w:val="28A86D3D"/>
    <w:rsid w:val="28AB6575"/>
    <w:rsid w:val="28AF56E0"/>
    <w:rsid w:val="28BF2E88"/>
    <w:rsid w:val="28C50D1F"/>
    <w:rsid w:val="28CA5CB4"/>
    <w:rsid w:val="28E22AAD"/>
    <w:rsid w:val="28E868B0"/>
    <w:rsid w:val="28F364BD"/>
    <w:rsid w:val="28F60FCD"/>
    <w:rsid w:val="29034D8E"/>
    <w:rsid w:val="290D640A"/>
    <w:rsid w:val="291560D2"/>
    <w:rsid w:val="291A4C7E"/>
    <w:rsid w:val="291F0427"/>
    <w:rsid w:val="29211DC2"/>
    <w:rsid w:val="29293C6D"/>
    <w:rsid w:val="29336A3F"/>
    <w:rsid w:val="29356CDE"/>
    <w:rsid w:val="293715E5"/>
    <w:rsid w:val="293C79A7"/>
    <w:rsid w:val="293E56B3"/>
    <w:rsid w:val="29424212"/>
    <w:rsid w:val="29454D6E"/>
    <w:rsid w:val="294855A0"/>
    <w:rsid w:val="294A57BC"/>
    <w:rsid w:val="294F4DA4"/>
    <w:rsid w:val="295449EC"/>
    <w:rsid w:val="29554FB8"/>
    <w:rsid w:val="295D23DB"/>
    <w:rsid w:val="296228C4"/>
    <w:rsid w:val="29626662"/>
    <w:rsid w:val="296A5517"/>
    <w:rsid w:val="297172A8"/>
    <w:rsid w:val="2983564B"/>
    <w:rsid w:val="2986365A"/>
    <w:rsid w:val="298F2D60"/>
    <w:rsid w:val="29BE52CE"/>
    <w:rsid w:val="29CE5AA6"/>
    <w:rsid w:val="29DB2E13"/>
    <w:rsid w:val="29DB795F"/>
    <w:rsid w:val="29EA4B44"/>
    <w:rsid w:val="29F43C64"/>
    <w:rsid w:val="29F91337"/>
    <w:rsid w:val="29FA25C8"/>
    <w:rsid w:val="29FC032F"/>
    <w:rsid w:val="29FD19B7"/>
    <w:rsid w:val="2A03307B"/>
    <w:rsid w:val="2A0D142F"/>
    <w:rsid w:val="2A0E5BA5"/>
    <w:rsid w:val="2A112438"/>
    <w:rsid w:val="2A121ADD"/>
    <w:rsid w:val="2A1808B1"/>
    <w:rsid w:val="2A1C72FC"/>
    <w:rsid w:val="2A1D07DB"/>
    <w:rsid w:val="2A363D92"/>
    <w:rsid w:val="2A3A1248"/>
    <w:rsid w:val="2A3B23D3"/>
    <w:rsid w:val="2A463A27"/>
    <w:rsid w:val="2A6021EF"/>
    <w:rsid w:val="2A6A0AB6"/>
    <w:rsid w:val="2A783C63"/>
    <w:rsid w:val="2A790BAB"/>
    <w:rsid w:val="2A7A22B0"/>
    <w:rsid w:val="2A7A288C"/>
    <w:rsid w:val="2A7A5040"/>
    <w:rsid w:val="2A7F5588"/>
    <w:rsid w:val="2A823FDD"/>
    <w:rsid w:val="2A871EF8"/>
    <w:rsid w:val="2A900B3D"/>
    <w:rsid w:val="2A94612D"/>
    <w:rsid w:val="2A99095C"/>
    <w:rsid w:val="2A9C5B40"/>
    <w:rsid w:val="2AA400F4"/>
    <w:rsid w:val="2AAC54BB"/>
    <w:rsid w:val="2AAD6003"/>
    <w:rsid w:val="2AB57FF9"/>
    <w:rsid w:val="2ABA24CE"/>
    <w:rsid w:val="2ABA6371"/>
    <w:rsid w:val="2ABF7AE4"/>
    <w:rsid w:val="2AC329D5"/>
    <w:rsid w:val="2AC771F9"/>
    <w:rsid w:val="2ACC28DA"/>
    <w:rsid w:val="2AE11D66"/>
    <w:rsid w:val="2AEB102F"/>
    <w:rsid w:val="2AFA470A"/>
    <w:rsid w:val="2AFD6C12"/>
    <w:rsid w:val="2B0678E1"/>
    <w:rsid w:val="2B081E52"/>
    <w:rsid w:val="2B0C20F7"/>
    <w:rsid w:val="2B0F5533"/>
    <w:rsid w:val="2B1A03EA"/>
    <w:rsid w:val="2B1B65B9"/>
    <w:rsid w:val="2B2706A2"/>
    <w:rsid w:val="2B28252F"/>
    <w:rsid w:val="2B2D2106"/>
    <w:rsid w:val="2B461FAE"/>
    <w:rsid w:val="2B4D31F0"/>
    <w:rsid w:val="2B4F0637"/>
    <w:rsid w:val="2B4F71D5"/>
    <w:rsid w:val="2B527EE3"/>
    <w:rsid w:val="2B580D2F"/>
    <w:rsid w:val="2B5E1A74"/>
    <w:rsid w:val="2B667187"/>
    <w:rsid w:val="2B6C7C6C"/>
    <w:rsid w:val="2B736F2B"/>
    <w:rsid w:val="2B7D4228"/>
    <w:rsid w:val="2B7D7783"/>
    <w:rsid w:val="2B8B70C4"/>
    <w:rsid w:val="2B9576E2"/>
    <w:rsid w:val="2B9A4D5A"/>
    <w:rsid w:val="2B9D6077"/>
    <w:rsid w:val="2B9F55DB"/>
    <w:rsid w:val="2BA41CAA"/>
    <w:rsid w:val="2BAA0794"/>
    <w:rsid w:val="2BB94533"/>
    <w:rsid w:val="2BBB53AD"/>
    <w:rsid w:val="2BBB639B"/>
    <w:rsid w:val="2BC01D66"/>
    <w:rsid w:val="2BC2082C"/>
    <w:rsid w:val="2BC36628"/>
    <w:rsid w:val="2BC5737C"/>
    <w:rsid w:val="2BCB2584"/>
    <w:rsid w:val="2BD25B6F"/>
    <w:rsid w:val="2BEC51D8"/>
    <w:rsid w:val="2BEC7EFA"/>
    <w:rsid w:val="2BEF1A87"/>
    <w:rsid w:val="2BEF7F55"/>
    <w:rsid w:val="2BF66BA9"/>
    <w:rsid w:val="2C0368C6"/>
    <w:rsid w:val="2C05500E"/>
    <w:rsid w:val="2C0D4506"/>
    <w:rsid w:val="2C1134D0"/>
    <w:rsid w:val="2C246940"/>
    <w:rsid w:val="2C290D81"/>
    <w:rsid w:val="2C2E78B5"/>
    <w:rsid w:val="2C3C1EC1"/>
    <w:rsid w:val="2C42462B"/>
    <w:rsid w:val="2C531232"/>
    <w:rsid w:val="2C5B41CA"/>
    <w:rsid w:val="2C5E0D2F"/>
    <w:rsid w:val="2C5F361A"/>
    <w:rsid w:val="2C6A3498"/>
    <w:rsid w:val="2C8A6306"/>
    <w:rsid w:val="2C8B76DA"/>
    <w:rsid w:val="2C8F068C"/>
    <w:rsid w:val="2CA045D1"/>
    <w:rsid w:val="2CA423D8"/>
    <w:rsid w:val="2CA96082"/>
    <w:rsid w:val="2CB719CB"/>
    <w:rsid w:val="2CB85977"/>
    <w:rsid w:val="2CB949B4"/>
    <w:rsid w:val="2CBB5644"/>
    <w:rsid w:val="2CC44205"/>
    <w:rsid w:val="2CC905A9"/>
    <w:rsid w:val="2CCF5DDE"/>
    <w:rsid w:val="2CD56F32"/>
    <w:rsid w:val="2CDB0944"/>
    <w:rsid w:val="2CE27267"/>
    <w:rsid w:val="2CE74D39"/>
    <w:rsid w:val="2CE8150A"/>
    <w:rsid w:val="2D016444"/>
    <w:rsid w:val="2D085772"/>
    <w:rsid w:val="2D0B00A7"/>
    <w:rsid w:val="2D12077C"/>
    <w:rsid w:val="2D1A1408"/>
    <w:rsid w:val="2D21385E"/>
    <w:rsid w:val="2D270FD0"/>
    <w:rsid w:val="2D277EFB"/>
    <w:rsid w:val="2D2E11B0"/>
    <w:rsid w:val="2D31047C"/>
    <w:rsid w:val="2D3178DC"/>
    <w:rsid w:val="2D324DB9"/>
    <w:rsid w:val="2D4D2C4B"/>
    <w:rsid w:val="2D4E3F0C"/>
    <w:rsid w:val="2D5664DE"/>
    <w:rsid w:val="2D646B9E"/>
    <w:rsid w:val="2D6706EB"/>
    <w:rsid w:val="2D6C5D01"/>
    <w:rsid w:val="2D6D1127"/>
    <w:rsid w:val="2D700E9E"/>
    <w:rsid w:val="2D7D7F0E"/>
    <w:rsid w:val="2D80355B"/>
    <w:rsid w:val="2D825B35"/>
    <w:rsid w:val="2D9139BA"/>
    <w:rsid w:val="2D976683"/>
    <w:rsid w:val="2DA01E4F"/>
    <w:rsid w:val="2DA27975"/>
    <w:rsid w:val="2DA57465"/>
    <w:rsid w:val="2DAA4A7C"/>
    <w:rsid w:val="2DB27C81"/>
    <w:rsid w:val="2DB74C8F"/>
    <w:rsid w:val="2DCB05F1"/>
    <w:rsid w:val="2DE35338"/>
    <w:rsid w:val="2E11076A"/>
    <w:rsid w:val="2E132BF2"/>
    <w:rsid w:val="2E150147"/>
    <w:rsid w:val="2E161683"/>
    <w:rsid w:val="2E194F3D"/>
    <w:rsid w:val="2E344345"/>
    <w:rsid w:val="2E3B3926"/>
    <w:rsid w:val="2E3B56D4"/>
    <w:rsid w:val="2E3E0198"/>
    <w:rsid w:val="2E3F0BEE"/>
    <w:rsid w:val="2E4F0821"/>
    <w:rsid w:val="2E5015EC"/>
    <w:rsid w:val="2E521413"/>
    <w:rsid w:val="2E560939"/>
    <w:rsid w:val="2E5A7CD6"/>
    <w:rsid w:val="2E5E648E"/>
    <w:rsid w:val="2E6A61A2"/>
    <w:rsid w:val="2E6E5AA9"/>
    <w:rsid w:val="2E743409"/>
    <w:rsid w:val="2E790DE1"/>
    <w:rsid w:val="2E7B7EC9"/>
    <w:rsid w:val="2E7C01C6"/>
    <w:rsid w:val="2E9136EE"/>
    <w:rsid w:val="2E9242BF"/>
    <w:rsid w:val="2EA8720D"/>
    <w:rsid w:val="2EBF3113"/>
    <w:rsid w:val="2EC42A1F"/>
    <w:rsid w:val="2EC56BE5"/>
    <w:rsid w:val="2EC73785"/>
    <w:rsid w:val="2EDA4EED"/>
    <w:rsid w:val="2EF00893"/>
    <w:rsid w:val="2EFF3E52"/>
    <w:rsid w:val="2F08433B"/>
    <w:rsid w:val="2F136646"/>
    <w:rsid w:val="2F1A5A56"/>
    <w:rsid w:val="2F1F371B"/>
    <w:rsid w:val="2F261EE0"/>
    <w:rsid w:val="2F2F22BD"/>
    <w:rsid w:val="2F3557ED"/>
    <w:rsid w:val="2F363704"/>
    <w:rsid w:val="2F39477D"/>
    <w:rsid w:val="2F3D14B0"/>
    <w:rsid w:val="2F4131BE"/>
    <w:rsid w:val="2F546A4D"/>
    <w:rsid w:val="2F5762E2"/>
    <w:rsid w:val="2F61762B"/>
    <w:rsid w:val="2F723377"/>
    <w:rsid w:val="2F793F6A"/>
    <w:rsid w:val="2F847853"/>
    <w:rsid w:val="2F866E22"/>
    <w:rsid w:val="2F8F3F29"/>
    <w:rsid w:val="2F962068"/>
    <w:rsid w:val="2F972DDE"/>
    <w:rsid w:val="2F9E3716"/>
    <w:rsid w:val="2F9E5E02"/>
    <w:rsid w:val="2FA12592"/>
    <w:rsid w:val="2FA92ACB"/>
    <w:rsid w:val="2FB27C17"/>
    <w:rsid w:val="2FC12E0D"/>
    <w:rsid w:val="2FC32224"/>
    <w:rsid w:val="2FCB1ED7"/>
    <w:rsid w:val="2FD3657A"/>
    <w:rsid w:val="2FDB474A"/>
    <w:rsid w:val="2FDD2E8E"/>
    <w:rsid w:val="2FDE3125"/>
    <w:rsid w:val="2FEC0550"/>
    <w:rsid w:val="2FED2320"/>
    <w:rsid w:val="2FF260EA"/>
    <w:rsid w:val="2FF3094F"/>
    <w:rsid w:val="2FFD0C0E"/>
    <w:rsid w:val="300D20E3"/>
    <w:rsid w:val="300D36B9"/>
    <w:rsid w:val="301B2328"/>
    <w:rsid w:val="30225849"/>
    <w:rsid w:val="302A5A00"/>
    <w:rsid w:val="30322E5C"/>
    <w:rsid w:val="30396D27"/>
    <w:rsid w:val="3044003E"/>
    <w:rsid w:val="30446AC1"/>
    <w:rsid w:val="30505F70"/>
    <w:rsid w:val="305703F6"/>
    <w:rsid w:val="30645CFC"/>
    <w:rsid w:val="30665E9F"/>
    <w:rsid w:val="306C7EFE"/>
    <w:rsid w:val="30806AFC"/>
    <w:rsid w:val="3091782D"/>
    <w:rsid w:val="3092535C"/>
    <w:rsid w:val="30A57B99"/>
    <w:rsid w:val="30B97331"/>
    <w:rsid w:val="30BA6D63"/>
    <w:rsid w:val="30C10112"/>
    <w:rsid w:val="30C23A3B"/>
    <w:rsid w:val="30C62E41"/>
    <w:rsid w:val="30CB263C"/>
    <w:rsid w:val="30CC18B7"/>
    <w:rsid w:val="30F5319F"/>
    <w:rsid w:val="310821E5"/>
    <w:rsid w:val="310C35ED"/>
    <w:rsid w:val="310D031B"/>
    <w:rsid w:val="31136BFE"/>
    <w:rsid w:val="31186793"/>
    <w:rsid w:val="311E37B6"/>
    <w:rsid w:val="312132A7"/>
    <w:rsid w:val="31336B36"/>
    <w:rsid w:val="313B3958"/>
    <w:rsid w:val="313E5402"/>
    <w:rsid w:val="31496258"/>
    <w:rsid w:val="314B0B14"/>
    <w:rsid w:val="31594B69"/>
    <w:rsid w:val="315B0515"/>
    <w:rsid w:val="31607AF5"/>
    <w:rsid w:val="31660CB9"/>
    <w:rsid w:val="316B6CEE"/>
    <w:rsid w:val="3173799B"/>
    <w:rsid w:val="317409D9"/>
    <w:rsid w:val="31780A67"/>
    <w:rsid w:val="31821D30"/>
    <w:rsid w:val="31881438"/>
    <w:rsid w:val="318C3787"/>
    <w:rsid w:val="31913A69"/>
    <w:rsid w:val="31922F44"/>
    <w:rsid w:val="319B3CAA"/>
    <w:rsid w:val="31AA0A84"/>
    <w:rsid w:val="31B36D87"/>
    <w:rsid w:val="31C10CC5"/>
    <w:rsid w:val="31C53C32"/>
    <w:rsid w:val="31C70022"/>
    <w:rsid w:val="31CC3EA3"/>
    <w:rsid w:val="31CE06FD"/>
    <w:rsid w:val="31D04385"/>
    <w:rsid w:val="31DA7CEA"/>
    <w:rsid w:val="31E51FB7"/>
    <w:rsid w:val="31ED3136"/>
    <w:rsid w:val="31FD406A"/>
    <w:rsid w:val="31FE0EF2"/>
    <w:rsid w:val="31FE2FC8"/>
    <w:rsid w:val="32066C5B"/>
    <w:rsid w:val="321A5DCA"/>
    <w:rsid w:val="323B5CA2"/>
    <w:rsid w:val="324276A3"/>
    <w:rsid w:val="32440A8B"/>
    <w:rsid w:val="324639D0"/>
    <w:rsid w:val="324D77D1"/>
    <w:rsid w:val="325719E8"/>
    <w:rsid w:val="326170B4"/>
    <w:rsid w:val="3264531C"/>
    <w:rsid w:val="32665466"/>
    <w:rsid w:val="326B38EB"/>
    <w:rsid w:val="32830ACC"/>
    <w:rsid w:val="32892A4B"/>
    <w:rsid w:val="32AF0842"/>
    <w:rsid w:val="32B04854"/>
    <w:rsid w:val="32B51EF8"/>
    <w:rsid w:val="32B736BD"/>
    <w:rsid w:val="32B865A2"/>
    <w:rsid w:val="32C526D6"/>
    <w:rsid w:val="32C739DA"/>
    <w:rsid w:val="32D817FB"/>
    <w:rsid w:val="32DC3E61"/>
    <w:rsid w:val="32E75208"/>
    <w:rsid w:val="32E97DF4"/>
    <w:rsid w:val="32FE6CC1"/>
    <w:rsid w:val="33082597"/>
    <w:rsid w:val="330E2F53"/>
    <w:rsid w:val="330F4321"/>
    <w:rsid w:val="3317426F"/>
    <w:rsid w:val="3317670F"/>
    <w:rsid w:val="331F2416"/>
    <w:rsid w:val="33291ECF"/>
    <w:rsid w:val="33323549"/>
    <w:rsid w:val="33435FD9"/>
    <w:rsid w:val="3345063A"/>
    <w:rsid w:val="33501C21"/>
    <w:rsid w:val="335121B9"/>
    <w:rsid w:val="33596D28"/>
    <w:rsid w:val="336E4DB0"/>
    <w:rsid w:val="33714640"/>
    <w:rsid w:val="337829B0"/>
    <w:rsid w:val="337A0742"/>
    <w:rsid w:val="337C0BAD"/>
    <w:rsid w:val="33835519"/>
    <w:rsid w:val="338E25CB"/>
    <w:rsid w:val="3390353C"/>
    <w:rsid w:val="33923816"/>
    <w:rsid w:val="33947D60"/>
    <w:rsid w:val="33960E31"/>
    <w:rsid w:val="339766EC"/>
    <w:rsid w:val="33A13F7B"/>
    <w:rsid w:val="33A8589B"/>
    <w:rsid w:val="33B95F01"/>
    <w:rsid w:val="33C07D0A"/>
    <w:rsid w:val="33E170B6"/>
    <w:rsid w:val="33E476E2"/>
    <w:rsid w:val="33E93BB1"/>
    <w:rsid w:val="33F75282"/>
    <w:rsid w:val="33FB6405"/>
    <w:rsid w:val="340101EB"/>
    <w:rsid w:val="3402383D"/>
    <w:rsid w:val="34076784"/>
    <w:rsid w:val="340A53E6"/>
    <w:rsid w:val="34100227"/>
    <w:rsid w:val="34110143"/>
    <w:rsid w:val="341B4C51"/>
    <w:rsid w:val="34270BD4"/>
    <w:rsid w:val="342B7310"/>
    <w:rsid w:val="342F343D"/>
    <w:rsid w:val="343011E9"/>
    <w:rsid w:val="34352F7A"/>
    <w:rsid w:val="34413BB3"/>
    <w:rsid w:val="34517714"/>
    <w:rsid w:val="345F74B2"/>
    <w:rsid w:val="34634E66"/>
    <w:rsid w:val="346E1392"/>
    <w:rsid w:val="347362F2"/>
    <w:rsid w:val="34784F8C"/>
    <w:rsid w:val="34831B82"/>
    <w:rsid w:val="348342CA"/>
    <w:rsid w:val="34880F47"/>
    <w:rsid w:val="348A1DB8"/>
    <w:rsid w:val="34980D1E"/>
    <w:rsid w:val="34A25951"/>
    <w:rsid w:val="34AE72C0"/>
    <w:rsid w:val="34B033E7"/>
    <w:rsid w:val="34BD350C"/>
    <w:rsid w:val="34BF74EA"/>
    <w:rsid w:val="34C22E54"/>
    <w:rsid w:val="34C93A39"/>
    <w:rsid w:val="34D766B0"/>
    <w:rsid w:val="34DB19BE"/>
    <w:rsid w:val="34DB2B4D"/>
    <w:rsid w:val="34E16316"/>
    <w:rsid w:val="34E467C1"/>
    <w:rsid w:val="34E66EBD"/>
    <w:rsid w:val="34E75F12"/>
    <w:rsid w:val="34F32500"/>
    <w:rsid w:val="34F338FE"/>
    <w:rsid w:val="34FA0097"/>
    <w:rsid w:val="34FE39F8"/>
    <w:rsid w:val="350A5CF4"/>
    <w:rsid w:val="351729F7"/>
    <w:rsid w:val="351F2F82"/>
    <w:rsid w:val="3535293E"/>
    <w:rsid w:val="3536502B"/>
    <w:rsid w:val="353665BD"/>
    <w:rsid w:val="35371562"/>
    <w:rsid w:val="354C4C22"/>
    <w:rsid w:val="355B65B2"/>
    <w:rsid w:val="355D4F81"/>
    <w:rsid w:val="356F2353"/>
    <w:rsid w:val="35705AE4"/>
    <w:rsid w:val="35824905"/>
    <w:rsid w:val="35843F72"/>
    <w:rsid w:val="35862A9A"/>
    <w:rsid w:val="35970273"/>
    <w:rsid w:val="35BC17F0"/>
    <w:rsid w:val="35C74E47"/>
    <w:rsid w:val="35DA09C0"/>
    <w:rsid w:val="35E24DF5"/>
    <w:rsid w:val="35FC0320"/>
    <w:rsid w:val="35FC78A0"/>
    <w:rsid w:val="35FF3C90"/>
    <w:rsid w:val="35FF463C"/>
    <w:rsid w:val="3606454A"/>
    <w:rsid w:val="360C62D3"/>
    <w:rsid w:val="360C6E10"/>
    <w:rsid w:val="360D4DD7"/>
    <w:rsid w:val="361124A4"/>
    <w:rsid w:val="36132896"/>
    <w:rsid w:val="36203B2D"/>
    <w:rsid w:val="362376E7"/>
    <w:rsid w:val="36251E52"/>
    <w:rsid w:val="3627310D"/>
    <w:rsid w:val="3633222C"/>
    <w:rsid w:val="363407F7"/>
    <w:rsid w:val="3638445C"/>
    <w:rsid w:val="36434D26"/>
    <w:rsid w:val="36470DE8"/>
    <w:rsid w:val="364D39D1"/>
    <w:rsid w:val="36513CE6"/>
    <w:rsid w:val="365612E8"/>
    <w:rsid w:val="366513C8"/>
    <w:rsid w:val="3686608C"/>
    <w:rsid w:val="368E7A3C"/>
    <w:rsid w:val="368F0CB2"/>
    <w:rsid w:val="36A65F5F"/>
    <w:rsid w:val="36AD62EF"/>
    <w:rsid w:val="36B4674F"/>
    <w:rsid w:val="36C04CF9"/>
    <w:rsid w:val="36CA1F25"/>
    <w:rsid w:val="36DB260C"/>
    <w:rsid w:val="36DE0951"/>
    <w:rsid w:val="36F210B1"/>
    <w:rsid w:val="36F901E6"/>
    <w:rsid w:val="37007AC7"/>
    <w:rsid w:val="37113475"/>
    <w:rsid w:val="37133063"/>
    <w:rsid w:val="37152F66"/>
    <w:rsid w:val="371722E2"/>
    <w:rsid w:val="371D335B"/>
    <w:rsid w:val="371F6EDC"/>
    <w:rsid w:val="372A09FA"/>
    <w:rsid w:val="37330115"/>
    <w:rsid w:val="373529C0"/>
    <w:rsid w:val="374101FF"/>
    <w:rsid w:val="37537F32"/>
    <w:rsid w:val="375A3819"/>
    <w:rsid w:val="375A58F4"/>
    <w:rsid w:val="375F2D0C"/>
    <w:rsid w:val="376B4FBE"/>
    <w:rsid w:val="37807A1C"/>
    <w:rsid w:val="378974B0"/>
    <w:rsid w:val="378E3BE4"/>
    <w:rsid w:val="379837CA"/>
    <w:rsid w:val="37994C24"/>
    <w:rsid w:val="37A273E4"/>
    <w:rsid w:val="37A4695E"/>
    <w:rsid w:val="37AA79A3"/>
    <w:rsid w:val="37B253AC"/>
    <w:rsid w:val="37B73B33"/>
    <w:rsid w:val="37B75F51"/>
    <w:rsid w:val="37C87091"/>
    <w:rsid w:val="37CD3F9D"/>
    <w:rsid w:val="37D42B5B"/>
    <w:rsid w:val="37E8004A"/>
    <w:rsid w:val="37F048A0"/>
    <w:rsid w:val="37F27E10"/>
    <w:rsid w:val="380A6843"/>
    <w:rsid w:val="382932C1"/>
    <w:rsid w:val="382A51FA"/>
    <w:rsid w:val="382F4B08"/>
    <w:rsid w:val="38312A30"/>
    <w:rsid w:val="38523D46"/>
    <w:rsid w:val="385C2977"/>
    <w:rsid w:val="385E6AEF"/>
    <w:rsid w:val="386D5023"/>
    <w:rsid w:val="38975BFC"/>
    <w:rsid w:val="38995E18"/>
    <w:rsid w:val="38A00A0E"/>
    <w:rsid w:val="38A172FA"/>
    <w:rsid w:val="38A23923"/>
    <w:rsid w:val="38B10FD3"/>
    <w:rsid w:val="38B12660"/>
    <w:rsid w:val="38B92017"/>
    <w:rsid w:val="38DC7DB9"/>
    <w:rsid w:val="38DE2E10"/>
    <w:rsid w:val="38E12A24"/>
    <w:rsid w:val="38E52E0C"/>
    <w:rsid w:val="38E7522B"/>
    <w:rsid w:val="38EC5F48"/>
    <w:rsid w:val="38F172EC"/>
    <w:rsid w:val="38FA46B4"/>
    <w:rsid w:val="390C7C27"/>
    <w:rsid w:val="390D588D"/>
    <w:rsid w:val="39112852"/>
    <w:rsid w:val="39186D3D"/>
    <w:rsid w:val="391F5244"/>
    <w:rsid w:val="39225CE4"/>
    <w:rsid w:val="392635CF"/>
    <w:rsid w:val="392876F4"/>
    <w:rsid w:val="392A377B"/>
    <w:rsid w:val="393120C7"/>
    <w:rsid w:val="39331DC9"/>
    <w:rsid w:val="393E362D"/>
    <w:rsid w:val="39534219"/>
    <w:rsid w:val="3954329D"/>
    <w:rsid w:val="39551744"/>
    <w:rsid w:val="395E6FAD"/>
    <w:rsid w:val="396252C6"/>
    <w:rsid w:val="3967248F"/>
    <w:rsid w:val="39673BFA"/>
    <w:rsid w:val="396D0C84"/>
    <w:rsid w:val="396D6ECE"/>
    <w:rsid w:val="3971644D"/>
    <w:rsid w:val="397244C0"/>
    <w:rsid w:val="3974410E"/>
    <w:rsid w:val="39773AA5"/>
    <w:rsid w:val="397F27D6"/>
    <w:rsid w:val="39900FC9"/>
    <w:rsid w:val="3990461B"/>
    <w:rsid w:val="39916571"/>
    <w:rsid w:val="39972358"/>
    <w:rsid w:val="39980102"/>
    <w:rsid w:val="399A1E48"/>
    <w:rsid w:val="39AC0EFC"/>
    <w:rsid w:val="39AE1A04"/>
    <w:rsid w:val="39B527DE"/>
    <w:rsid w:val="39B7679D"/>
    <w:rsid w:val="39C550B5"/>
    <w:rsid w:val="39DC14C7"/>
    <w:rsid w:val="39DC32CF"/>
    <w:rsid w:val="39DC5B33"/>
    <w:rsid w:val="39EF3377"/>
    <w:rsid w:val="39F63CA8"/>
    <w:rsid w:val="39F85C7D"/>
    <w:rsid w:val="39FF7EFD"/>
    <w:rsid w:val="3A0C76D7"/>
    <w:rsid w:val="3A15327D"/>
    <w:rsid w:val="3A1E479F"/>
    <w:rsid w:val="3A204AEC"/>
    <w:rsid w:val="3A2200E6"/>
    <w:rsid w:val="3A2843A8"/>
    <w:rsid w:val="3A2D4580"/>
    <w:rsid w:val="3A2F07E2"/>
    <w:rsid w:val="3A3E0D77"/>
    <w:rsid w:val="3A40644A"/>
    <w:rsid w:val="3A441C9D"/>
    <w:rsid w:val="3A4E34CE"/>
    <w:rsid w:val="3A504D64"/>
    <w:rsid w:val="3A5610C1"/>
    <w:rsid w:val="3A6234A0"/>
    <w:rsid w:val="3A627DF4"/>
    <w:rsid w:val="3A791CD8"/>
    <w:rsid w:val="3A7A59B6"/>
    <w:rsid w:val="3A83258B"/>
    <w:rsid w:val="3A914FF9"/>
    <w:rsid w:val="3A9611FB"/>
    <w:rsid w:val="3AB06356"/>
    <w:rsid w:val="3AB77E36"/>
    <w:rsid w:val="3AC20A9E"/>
    <w:rsid w:val="3AC7670A"/>
    <w:rsid w:val="3ACA5143"/>
    <w:rsid w:val="3ACC7E1E"/>
    <w:rsid w:val="3ADC43DB"/>
    <w:rsid w:val="3AE20C06"/>
    <w:rsid w:val="3AEB018A"/>
    <w:rsid w:val="3AEC66D3"/>
    <w:rsid w:val="3B047A2C"/>
    <w:rsid w:val="3B101F22"/>
    <w:rsid w:val="3B112C59"/>
    <w:rsid w:val="3B124C1B"/>
    <w:rsid w:val="3B144FE3"/>
    <w:rsid w:val="3B1479D8"/>
    <w:rsid w:val="3B1A183F"/>
    <w:rsid w:val="3B247C1B"/>
    <w:rsid w:val="3B263436"/>
    <w:rsid w:val="3B2A3136"/>
    <w:rsid w:val="3B2B31E1"/>
    <w:rsid w:val="3B375496"/>
    <w:rsid w:val="3B3B31B7"/>
    <w:rsid w:val="3B43293D"/>
    <w:rsid w:val="3B44115B"/>
    <w:rsid w:val="3B532EF7"/>
    <w:rsid w:val="3B5B758E"/>
    <w:rsid w:val="3B5F7EA1"/>
    <w:rsid w:val="3B622EBC"/>
    <w:rsid w:val="3B691AD2"/>
    <w:rsid w:val="3B697A40"/>
    <w:rsid w:val="3B733F3E"/>
    <w:rsid w:val="3B7B6258"/>
    <w:rsid w:val="3B7C16F1"/>
    <w:rsid w:val="3B7D36E1"/>
    <w:rsid w:val="3B8A52AF"/>
    <w:rsid w:val="3B8A6A1F"/>
    <w:rsid w:val="3B8E1539"/>
    <w:rsid w:val="3B97118C"/>
    <w:rsid w:val="3B9B6F13"/>
    <w:rsid w:val="3BAE3267"/>
    <w:rsid w:val="3BC05AA5"/>
    <w:rsid w:val="3BC74A4B"/>
    <w:rsid w:val="3BCD738B"/>
    <w:rsid w:val="3BD3218F"/>
    <w:rsid w:val="3BE5760A"/>
    <w:rsid w:val="3BE95FBF"/>
    <w:rsid w:val="3BF736C7"/>
    <w:rsid w:val="3C0134AE"/>
    <w:rsid w:val="3C033CD5"/>
    <w:rsid w:val="3C0812EB"/>
    <w:rsid w:val="3C0C4260"/>
    <w:rsid w:val="3C0D7EBC"/>
    <w:rsid w:val="3C0F313B"/>
    <w:rsid w:val="3C193F39"/>
    <w:rsid w:val="3C2E6878"/>
    <w:rsid w:val="3C340332"/>
    <w:rsid w:val="3C35789E"/>
    <w:rsid w:val="3C3A17EA"/>
    <w:rsid w:val="3C3E6D60"/>
    <w:rsid w:val="3C4D4524"/>
    <w:rsid w:val="3C5639DE"/>
    <w:rsid w:val="3C571C05"/>
    <w:rsid w:val="3C64352B"/>
    <w:rsid w:val="3C672E2C"/>
    <w:rsid w:val="3C764FC0"/>
    <w:rsid w:val="3C8B7826"/>
    <w:rsid w:val="3C8D58BE"/>
    <w:rsid w:val="3C8E5FED"/>
    <w:rsid w:val="3C942323"/>
    <w:rsid w:val="3C943E83"/>
    <w:rsid w:val="3C9E20B1"/>
    <w:rsid w:val="3CA31014"/>
    <w:rsid w:val="3CB53A65"/>
    <w:rsid w:val="3CC05722"/>
    <w:rsid w:val="3CC102AC"/>
    <w:rsid w:val="3CD76CB4"/>
    <w:rsid w:val="3CDB50CB"/>
    <w:rsid w:val="3CE360F2"/>
    <w:rsid w:val="3CEA5162"/>
    <w:rsid w:val="3CEE5C15"/>
    <w:rsid w:val="3CF46F06"/>
    <w:rsid w:val="3CF5496B"/>
    <w:rsid w:val="3D0B4E51"/>
    <w:rsid w:val="3D115586"/>
    <w:rsid w:val="3D197739"/>
    <w:rsid w:val="3D296645"/>
    <w:rsid w:val="3D2B2775"/>
    <w:rsid w:val="3D3103CE"/>
    <w:rsid w:val="3D3130F3"/>
    <w:rsid w:val="3D3C4E22"/>
    <w:rsid w:val="3D422B64"/>
    <w:rsid w:val="3D477BF1"/>
    <w:rsid w:val="3D500385"/>
    <w:rsid w:val="3D59462B"/>
    <w:rsid w:val="3D5A44CB"/>
    <w:rsid w:val="3D5A54B8"/>
    <w:rsid w:val="3D6025AF"/>
    <w:rsid w:val="3D647CD4"/>
    <w:rsid w:val="3D6E33D0"/>
    <w:rsid w:val="3D7B49B3"/>
    <w:rsid w:val="3D84454D"/>
    <w:rsid w:val="3D8620EC"/>
    <w:rsid w:val="3D8D259B"/>
    <w:rsid w:val="3D8D2E74"/>
    <w:rsid w:val="3D940183"/>
    <w:rsid w:val="3D94569F"/>
    <w:rsid w:val="3DA1471C"/>
    <w:rsid w:val="3DAD4BED"/>
    <w:rsid w:val="3DAE1A1E"/>
    <w:rsid w:val="3DB328C2"/>
    <w:rsid w:val="3DC2604C"/>
    <w:rsid w:val="3DCC12F0"/>
    <w:rsid w:val="3DD46CC7"/>
    <w:rsid w:val="3DE41CDC"/>
    <w:rsid w:val="3DE85142"/>
    <w:rsid w:val="3DE90CA8"/>
    <w:rsid w:val="3DEB52FD"/>
    <w:rsid w:val="3DF12E5A"/>
    <w:rsid w:val="3E016AE6"/>
    <w:rsid w:val="3E187D1F"/>
    <w:rsid w:val="3E1C3525"/>
    <w:rsid w:val="3E200B4B"/>
    <w:rsid w:val="3E225DB0"/>
    <w:rsid w:val="3E33791B"/>
    <w:rsid w:val="3E3D069E"/>
    <w:rsid w:val="3E483582"/>
    <w:rsid w:val="3E5337D0"/>
    <w:rsid w:val="3E537DE4"/>
    <w:rsid w:val="3E554154"/>
    <w:rsid w:val="3E5F165E"/>
    <w:rsid w:val="3E6A28BE"/>
    <w:rsid w:val="3E86299B"/>
    <w:rsid w:val="3E8A2A4A"/>
    <w:rsid w:val="3E904009"/>
    <w:rsid w:val="3E996659"/>
    <w:rsid w:val="3E9E1FC0"/>
    <w:rsid w:val="3EA300A7"/>
    <w:rsid w:val="3EB93130"/>
    <w:rsid w:val="3EC3043C"/>
    <w:rsid w:val="3EC8242A"/>
    <w:rsid w:val="3EC82FB3"/>
    <w:rsid w:val="3EC8679C"/>
    <w:rsid w:val="3ECC3CBE"/>
    <w:rsid w:val="3ECE132F"/>
    <w:rsid w:val="3ED66E05"/>
    <w:rsid w:val="3ED9378A"/>
    <w:rsid w:val="3EE5288B"/>
    <w:rsid w:val="3EFD1DF1"/>
    <w:rsid w:val="3F027DD0"/>
    <w:rsid w:val="3F232D0D"/>
    <w:rsid w:val="3F257025"/>
    <w:rsid w:val="3F2763A2"/>
    <w:rsid w:val="3F293129"/>
    <w:rsid w:val="3F2E1337"/>
    <w:rsid w:val="3F2E2497"/>
    <w:rsid w:val="3F3303B1"/>
    <w:rsid w:val="3F4152FA"/>
    <w:rsid w:val="3F440641"/>
    <w:rsid w:val="3F4A339D"/>
    <w:rsid w:val="3F4A5777"/>
    <w:rsid w:val="3F553F1E"/>
    <w:rsid w:val="3F650802"/>
    <w:rsid w:val="3F66563F"/>
    <w:rsid w:val="3F6E7773"/>
    <w:rsid w:val="3F7F1757"/>
    <w:rsid w:val="3F8165CD"/>
    <w:rsid w:val="3F83115D"/>
    <w:rsid w:val="3F8E7BF9"/>
    <w:rsid w:val="3F9F1936"/>
    <w:rsid w:val="3FBF2FE8"/>
    <w:rsid w:val="3FCF3ECE"/>
    <w:rsid w:val="3FDE02D2"/>
    <w:rsid w:val="3FFB6A4F"/>
    <w:rsid w:val="40016981"/>
    <w:rsid w:val="4002562A"/>
    <w:rsid w:val="400D69C0"/>
    <w:rsid w:val="401E0B4D"/>
    <w:rsid w:val="401E1F88"/>
    <w:rsid w:val="40266EE6"/>
    <w:rsid w:val="40267F92"/>
    <w:rsid w:val="40275AB8"/>
    <w:rsid w:val="402D166A"/>
    <w:rsid w:val="403A2EC7"/>
    <w:rsid w:val="405A40DF"/>
    <w:rsid w:val="40653402"/>
    <w:rsid w:val="40654256"/>
    <w:rsid w:val="406E2D1C"/>
    <w:rsid w:val="40774C91"/>
    <w:rsid w:val="407A1956"/>
    <w:rsid w:val="407C3AE5"/>
    <w:rsid w:val="407F1C79"/>
    <w:rsid w:val="409171F4"/>
    <w:rsid w:val="40942BDE"/>
    <w:rsid w:val="409B660A"/>
    <w:rsid w:val="409C46F8"/>
    <w:rsid w:val="40A148E9"/>
    <w:rsid w:val="40A96AA7"/>
    <w:rsid w:val="40B04F11"/>
    <w:rsid w:val="40C27447"/>
    <w:rsid w:val="40CA627D"/>
    <w:rsid w:val="40D2308B"/>
    <w:rsid w:val="40D630BA"/>
    <w:rsid w:val="40D641E4"/>
    <w:rsid w:val="40DD7A15"/>
    <w:rsid w:val="41063FE9"/>
    <w:rsid w:val="41080CDA"/>
    <w:rsid w:val="411266A1"/>
    <w:rsid w:val="411E0B85"/>
    <w:rsid w:val="413362A7"/>
    <w:rsid w:val="414311A9"/>
    <w:rsid w:val="4149186F"/>
    <w:rsid w:val="415428DD"/>
    <w:rsid w:val="415B010F"/>
    <w:rsid w:val="415E7F1E"/>
    <w:rsid w:val="416136C1"/>
    <w:rsid w:val="4163168B"/>
    <w:rsid w:val="41645CF3"/>
    <w:rsid w:val="41684FED"/>
    <w:rsid w:val="41705CAC"/>
    <w:rsid w:val="41751899"/>
    <w:rsid w:val="417852FE"/>
    <w:rsid w:val="41792489"/>
    <w:rsid w:val="417E7959"/>
    <w:rsid w:val="41833E46"/>
    <w:rsid w:val="41863A79"/>
    <w:rsid w:val="418718DD"/>
    <w:rsid w:val="418E755B"/>
    <w:rsid w:val="41975AE6"/>
    <w:rsid w:val="419A0534"/>
    <w:rsid w:val="419B5637"/>
    <w:rsid w:val="41A50C0C"/>
    <w:rsid w:val="41A7672E"/>
    <w:rsid w:val="41AB30BD"/>
    <w:rsid w:val="41C16449"/>
    <w:rsid w:val="41CB028C"/>
    <w:rsid w:val="41EA4FEF"/>
    <w:rsid w:val="41EC4267"/>
    <w:rsid w:val="41EE52C2"/>
    <w:rsid w:val="41FD4D22"/>
    <w:rsid w:val="42101E16"/>
    <w:rsid w:val="4212294F"/>
    <w:rsid w:val="421309EA"/>
    <w:rsid w:val="421337A1"/>
    <w:rsid w:val="421B33FA"/>
    <w:rsid w:val="422C1E62"/>
    <w:rsid w:val="422C3873"/>
    <w:rsid w:val="422E1456"/>
    <w:rsid w:val="422F2399"/>
    <w:rsid w:val="42310E70"/>
    <w:rsid w:val="4238215D"/>
    <w:rsid w:val="42387696"/>
    <w:rsid w:val="42472441"/>
    <w:rsid w:val="42490980"/>
    <w:rsid w:val="424A586D"/>
    <w:rsid w:val="42576B28"/>
    <w:rsid w:val="425A03C6"/>
    <w:rsid w:val="426254CD"/>
    <w:rsid w:val="426A072B"/>
    <w:rsid w:val="426E0E54"/>
    <w:rsid w:val="42746CC9"/>
    <w:rsid w:val="42782D0E"/>
    <w:rsid w:val="42794168"/>
    <w:rsid w:val="42812BEB"/>
    <w:rsid w:val="428D254A"/>
    <w:rsid w:val="42917131"/>
    <w:rsid w:val="429733C9"/>
    <w:rsid w:val="429F13E2"/>
    <w:rsid w:val="42AE6B72"/>
    <w:rsid w:val="42B07FE6"/>
    <w:rsid w:val="42B20202"/>
    <w:rsid w:val="42B368EE"/>
    <w:rsid w:val="42BE31F4"/>
    <w:rsid w:val="42BF4A33"/>
    <w:rsid w:val="42CA2B06"/>
    <w:rsid w:val="42CA3CDB"/>
    <w:rsid w:val="42D85084"/>
    <w:rsid w:val="42DA1507"/>
    <w:rsid w:val="42E23496"/>
    <w:rsid w:val="42E43514"/>
    <w:rsid w:val="42E87A95"/>
    <w:rsid w:val="43011432"/>
    <w:rsid w:val="43127A8C"/>
    <w:rsid w:val="431567DE"/>
    <w:rsid w:val="431B24E0"/>
    <w:rsid w:val="431F46B8"/>
    <w:rsid w:val="432129E2"/>
    <w:rsid w:val="432B0A09"/>
    <w:rsid w:val="433A4C14"/>
    <w:rsid w:val="43441DEB"/>
    <w:rsid w:val="4345375F"/>
    <w:rsid w:val="43476B9D"/>
    <w:rsid w:val="4349122C"/>
    <w:rsid w:val="434B6E74"/>
    <w:rsid w:val="4357300A"/>
    <w:rsid w:val="43621BFB"/>
    <w:rsid w:val="43654953"/>
    <w:rsid w:val="43675239"/>
    <w:rsid w:val="437300B3"/>
    <w:rsid w:val="43756941"/>
    <w:rsid w:val="437E6337"/>
    <w:rsid w:val="437F77BC"/>
    <w:rsid w:val="43801B7A"/>
    <w:rsid w:val="438028DB"/>
    <w:rsid w:val="43830C99"/>
    <w:rsid w:val="43933756"/>
    <w:rsid w:val="439C453E"/>
    <w:rsid w:val="43B53A2B"/>
    <w:rsid w:val="43B823A9"/>
    <w:rsid w:val="43BE6232"/>
    <w:rsid w:val="43C90F7F"/>
    <w:rsid w:val="43D349E2"/>
    <w:rsid w:val="43D441A9"/>
    <w:rsid w:val="43D951C6"/>
    <w:rsid w:val="43D95633"/>
    <w:rsid w:val="43D971F8"/>
    <w:rsid w:val="43DA1716"/>
    <w:rsid w:val="43DD4E0B"/>
    <w:rsid w:val="43DE0B83"/>
    <w:rsid w:val="44011F00"/>
    <w:rsid w:val="44057C4B"/>
    <w:rsid w:val="44062C0D"/>
    <w:rsid w:val="440C6F05"/>
    <w:rsid w:val="44174544"/>
    <w:rsid w:val="441C152A"/>
    <w:rsid w:val="44320154"/>
    <w:rsid w:val="44352E99"/>
    <w:rsid w:val="44385C50"/>
    <w:rsid w:val="443E0904"/>
    <w:rsid w:val="44415838"/>
    <w:rsid w:val="4449591C"/>
    <w:rsid w:val="444F6752"/>
    <w:rsid w:val="445F7F16"/>
    <w:rsid w:val="44674FD6"/>
    <w:rsid w:val="446F1124"/>
    <w:rsid w:val="44744AF3"/>
    <w:rsid w:val="447C700B"/>
    <w:rsid w:val="447F27A2"/>
    <w:rsid w:val="4482462E"/>
    <w:rsid w:val="448B551F"/>
    <w:rsid w:val="448D2619"/>
    <w:rsid w:val="44982F38"/>
    <w:rsid w:val="44A1052F"/>
    <w:rsid w:val="44A1408B"/>
    <w:rsid w:val="44A76CF6"/>
    <w:rsid w:val="44AD1FCC"/>
    <w:rsid w:val="44BD0353"/>
    <w:rsid w:val="44C1472D"/>
    <w:rsid w:val="44C83D0E"/>
    <w:rsid w:val="44CD31E2"/>
    <w:rsid w:val="44DD62F3"/>
    <w:rsid w:val="44DE63A8"/>
    <w:rsid w:val="44DF60D4"/>
    <w:rsid w:val="44E04549"/>
    <w:rsid w:val="44E421C9"/>
    <w:rsid w:val="44F32FB8"/>
    <w:rsid w:val="44F85C75"/>
    <w:rsid w:val="450C32D1"/>
    <w:rsid w:val="45117BCB"/>
    <w:rsid w:val="452F78E8"/>
    <w:rsid w:val="45393FE2"/>
    <w:rsid w:val="453A3D5A"/>
    <w:rsid w:val="454B22CD"/>
    <w:rsid w:val="455E3D2A"/>
    <w:rsid w:val="455E543A"/>
    <w:rsid w:val="456526DC"/>
    <w:rsid w:val="456B6252"/>
    <w:rsid w:val="45830823"/>
    <w:rsid w:val="45862A66"/>
    <w:rsid w:val="45912560"/>
    <w:rsid w:val="45923676"/>
    <w:rsid w:val="45AF08BA"/>
    <w:rsid w:val="45BA3A4B"/>
    <w:rsid w:val="45C168FC"/>
    <w:rsid w:val="45C269A9"/>
    <w:rsid w:val="45CA5863"/>
    <w:rsid w:val="45E42AD7"/>
    <w:rsid w:val="45E44565"/>
    <w:rsid w:val="45ED675F"/>
    <w:rsid w:val="45FB6FE8"/>
    <w:rsid w:val="45FE6567"/>
    <w:rsid w:val="46004DE1"/>
    <w:rsid w:val="460F771A"/>
    <w:rsid w:val="46177320"/>
    <w:rsid w:val="461F1D4F"/>
    <w:rsid w:val="46226875"/>
    <w:rsid w:val="46317741"/>
    <w:rsid w:val="46383B0F"/>
    <w:rsid w:val="46450A93"/>
    <w:rsid w:val="464B7691"/>
    <w:rsid w:val="464F1BEA"/>
    <w:rsid w:val="46510993"/>
    <w:rsid w:val="465E2B27"/>
    <w:rsid w:val="4660270E"/>
    <w:rsid w:val="46647097"/>
    <w:rsid w:val="4672717E"/>
    <w:rsid w:val="46761D34"/>
    <w:rsid w:val="46792680"/>
    <w:rsid w:val="46843C64"/>
    <w:rsid w:val="468A7785"/>
    <w:rsid w:val="468D27B6"/>
    <w:rsid w:val="468D510C"/>
    <w:rsid w:val="46935C55"/>
    <w:rsid w:val="46A14816"/>
    <w:rsid w:val="46A55988"/>
    <w:rsid w:val="46A80D82"/>
    <w:rsid w:val="46AB7443"/>
    <w:rsid w:val="46AD46D2"/>
    <w:rsid w:val="46B26810"/>
    <w:rsid w:val="46BB7BAE"/>
    <w:rsid w:val="46BF304B"/>
    <w:rsid w:val="46CB0396"/>
    <w:rsid w:val="46CB3B16"/>
    <w:rsid w:val="46DB13AA"/>
    <w:rsid w:val="46DB2E7F"/>
    <w:rsid w:val="46E94533"/>
    <w:rsid w:val="46E97115"/>
    <w:rsid w:val="46EA34E6"/>
    <w:rsid w:val="46F506BE"/>
    <w:rsid w:val="46F575B9"/>
    <w:rsid w:val="46F909AA"/>
    <w:rsid w:val="46FF6008"/>
    <w:rsid w:val="470457E6"/>
    <w:rsid w:val="47094169"/>
    <w:rsid w:val="47174AD8"/>
    <w:rsid w:val="47185071"/>
    <w:rsid w:val="471861C1"/>
    <w:rsid w:val="472530E4"/>
    <w:rsid w:val="472936D2"/>
    <w:rsid w:val="472B40E0"/>
    <w:rsid w:val="47307DD7"/>
    <w:rsid w:val="47376D57"/>
    <w:rsid w:val="473A07C7"/>
    <w:rsid w:val="473C1E11"/>
    <w:rsid w:val="473E3FFB"/>
    <w:rsid w:val="473F409F"/>
    <w:rsid w:val="4741268A"/>
    <w:rsid w:val="474449A0"/>
    <w:rsid w:val="47496A9E"/>
    <w:rsid w:val="474C23A8"/>
    <w:rsid w:val="475029D2"/>
    <w:rsid w:val="475603F6"/>
    <w:rsid w:val="47571378"/>
    <w:rsid w:val="47642037"/>
    <w:rsid w:val="47656905"/>
    <w:rsid w:val="47685334"/>
    <w:rsid w:val="47722A18"/>
    <w:rsid w:val="47737A6D"/>
    <w:rsid w:val="47741D0C"/>
    <w:rsid w:val="477C493B"/>
    <w:rsid w:val="47841B24"/>
    <w:rsid w:val="478622F2"/>
    <w:rsid w:val="47876B9F"/>
    <w:rsid w:val="478A6996"/>
    <w:rsid w:val="478F54C6"/>
    <w:rsid w:val="479236A7"/>
    <w:rsid w:val="47953EA1"/>
    <w:rsid w:val="47985C20"/>
    <w:rsid w:val="479869DC"/>
    <w:rsid w:val="47A213C0"/>
    <w:rsid w:val="47AA76FA"/>
    <w:rsid w:val="47AD2D46"/>
    <w:rsid w:val="47B4036E"/>
    <w:rsid w:val="47B76453"/>
    <w:rsid w:val="47C2640D"/>
    <w:rsid w:val="47CA5946"/>
    <w:rsid w:val="47D6229D"/>
    <w:rsid w:val="47DC4284"/>
    <w:rsid w:val="47DF7B1C"/>
    <w:rsid w:val="47E8372E"/>
    <w:rsid w:val="47F21EF0"/>
    <w:rsid w:val="47F5197C"/>
    <w:rsid w:val="47F95DB7"/>
    <w:rsid w:val="481D120F"/>
    <w:rsid w:val="482105C0"/>
    <w:rsid w:val="48211E7E"/>
    <w:rsid w:val="482F2480"/>
    <w:rsid w:val="48342F88"/>
    <w:rsid w:val="483510C7"/>
    <w:rsid w:val="48477862"/>
    <w:rsid w:val="485C39F4"/>
    <w:rsid w:val="485F4BAA"/>
    <w:rsid w:val="4862142D"/>
    <w:rsid w:val="48626E30"/>
    <w:rsid w:val="48636ED0"/>
    <w:rsid w:val="48680479"/>
    <w:rsid w:val="487835F2"/>
    <w:rsid w:val="487C274E"/>
    <w:rsid w:val="48952A5D"/>
    <w:rsid w:val="489701E4"/>
    <w:rsid w:val="489839F7"/>
    <w:rsid w:val="489C5552"/>
    <w:rsid w:val="489D3C05"/>
    <w:rsid w:val="48AB0568"/>
    <w:rsid w:val="48AF7082"/>
    <w:rsid w:val="48B00D40"/>
    <w:rsid w:val="48B23A8E"/>
    <w:rsid w:val="48C170BE"/>
    <w:rsid w:val="48CD0CC0"/>
    <w:rsid w:val="48D53C4F"/>
    <w:rsid w:val="48D949EA"/>
    <w:rsid w:val="48F52BF7"/>
    <w:rsid w:val="48F73D54"/>
    <w:rsid w:val="49037C95"/>
    <w:rsid w:val="4905290C"/>
    <w:rsid w:val="49063785"/>
    <w:rsid w:val="490868B8"/>
    <w:rsid w:val="491C0184"/>
    <w:rsid w:val="491C548A"/>
    <w:rsid w:val="491D1B81"/>
    <w:rsid w:val="492F531F"/>
    <w:rsid w:val="492F6636"/>
    <w:rsid w:val="492F7E36"/>
    <w:rsid w:val="493C0826"/>
    <w:rsid w:val="49405D5E"/>
    <w:rsid w:val="494D2A33"/>
    <w:rsid w:val="49561E92"/>
    <w:rsid w:val="496109D3"/>
    <w:rsid w:val="4962520E"/>
    <w:rsid w:val="49673563"/>
    <w:rsid w:val="496A1DB8"/>
    <w:rsid w:val="4971045B"/>
    <w:rsid w:val="4979031F"/>
    <w:rsid w:val="497976FA"/>
    <w:rsid w:val="4980571E"/>
    <w:rsid w:val="49833A3E"/>
    <w:rsid w:val="49896678"/>
    <w:rsid w:val="49AE68B8"/>
    <w:rsid w:val="49B274AE"/>
    <w:rsid w:val="49B609BA"/>
    <w:rsid w:val="49C60139"/>
    <w:rsid w:val="49C63B01"/>
    <w:rsid w:val="49E6704C"/>
    <w:rsid w:val="49EE6A1F"/>
    <w:rsid w:val="49EF23AD"/>
    <w:rsid w:val="49F14CC3"/>
    <w:rsid w:val="49FD0DD8"/>
    <w:rsid w:val="49FD6413"/>
    <w:rsid w:val="4A087357"/>
    <w:rsid w:val="4A0B1FA6"/>
    <w:rsid w:val="4A0C39A3"/>
    <w:rsid w:val="4A0D21C2"/>
    <w:rsid w:val="4A1B1F00"/>
    <w:rsid w:val="4A2512BA"/>
    <w:rsid w:val="4A2F5C12"/>
    <w:rsid w:val="4A301A0D"/>
    <w:rsid w:val="4A3D4FF8"/>
    <w:rsid w:val="4A3F629B"/>
    <w:rsid w:val="4A416D23"/>
    <w:rsid w:val="4A4C7AB7"/>
    <w:rsid w:val="4A541B9F"/>
    <w:rsid w:val="4A546A31"/>
    <w:rsid w:val="4A691BA3"/>
    <w:rsid w:val="4A6F4573"/>
    <w:rsid w:val="4A75264F"/>
    <w:rsid w:val="4A7D4C52"/>
    <w:rsid w:val="4A8622B6"/>
    <w:rsid w:val="4A8F0E29"/>
    <w:rsid w:val="4A9401EE"/>
    <w:rsid w:val="4A9439D1"/>
    <w:rsid w:val="4AA13962"/>
    <w:rsid w:val="4AAF6DD6"/>
    <w:rsid w:val="4AB64608"/>
    <w:rsid w:val="4AC777A1"/>
    <w:rsid w:val="4ACC7988"/>
    <w:rsid w:val="4ACF2AC4"/>
    <w:rsid w:val="4ADB40EF"/>
    <w:rsid w:val="4ADD4949"/>
    <w:rsid w:val="4ADF497B"/>
    <w:rsid w:val="4AE86A3E"/>
    <w:rsid w:val="4AF331A0"/>
    <w:rsid w:val="4AF7270C"/>
    <w:rsid w:val="4AF81756"/>
    <w:rsid w:val="4AFB4707"/>
    <w:rsid w:val="4B037587"/>
    <w:rsid w:val="4B0C10BD"/>
    <w:rsid w:val="4B15132F"/>
    <w:rsid w:val="4B1D6F30"/>
    <w:rsid w:val="4B201A81"/>
    <w:rsid w:val="4B33627A"/>
    <w:rsid w:val="4B356505"/>
    <w:rsid w:val="4B3A331C"/>
    <w:rsid w:val="4B3C501C"/>
    <w:rsid w:val="4B3D32A5"/>
    <w:rsid w:val="4B425199"/>
    <w:rsid w:val="4B503E7D"/>
    <w:rsid w:val="4B5526A6"/>
    <w:rsid w:val="4B6140D7"/>
    <w:rsid w:val="4B6A739A"/>
    <w:rsid w:val="4B6B2FC4"/>
    <w:rsid w:val="4B720A2E"/>
    <w:rsid w:val="4B816AF3"/>
    <w:rsid w:val="4B84080B"/>
    <w:rsid w:val="4B885FA4"/>
    <w:rsid w:val="4B983D0E"/>
    <w:rsid w:val="4B985ABC"/>
    <w:rsid w:val="4BBA5C6F"/>
    <w:rsid w:val="4BC3761F"/>
    <w:rsid w:val="4BC84812"/>
    <w:rsid w:val="4BD5286C"/>
    <w:rsid w:val="4BE83C66"/>
    <w:rsid w:val="4BEE2702"/>
    <w:rsid w:val="4BEF7DD1"/>
    <w:rsid w:val="4BF03667"/>
    <w:rsid w:val="4BF1539E"/>
    <w:rsid w:val="4BFE7D23"/>
    <w:rsid w:val="4C0D46FC"/>
    <w:rsid w:val="4C0D69A5"/>
    <w:rsid w:val="4C114E73"/>
    <w:rsid w:val="4C1D41C6"/>
    <w:rsid w:val="4C276414"/>
    <w:rsid w:val="4C2F01CE"/>
    <w:rsid w:val="4C30348B"/>
    <w:rsid w:val="4C457E06"/>
    <w:rsid w:val="4C486022"/>
    <w:rsid w:val="4C533964"/>
    <w:rsid w:val="4C561AA4"/>
    <w:rsid w:val="4C564748"/>
    <w:rsid w:val="4C5653EF"/>
    <w:rsid w:val="4C58759F"/>
    <w:rsid w:val="4C6E490F"/>
    <w:rsid w:val="4C6E57B5"/>
    <w:rsid w:val="4C7A3E0A"/>
    <w:rsid w:val="4C9130F6"/>
    <w:rsid w:val="4C992C68"/>
    <w:rsid w:val="4C9A24A5"/>
    <w:rsid w:val="4C9A5BA3"/>
    <w:rsid w:val="4CB30DFF"/>
    <w:rsid w:val="4CB4751A"/>
    <w:rsid w:val="4CC80B32"/>
    <w:rsid w:val="4CCF0CFC"/>
    <w:rsid w:val="4CD36081"/>
    <w:rsid w:val="4CD715B6"/>
    <w:rsid w:val="4CE34671"/>
    <w:rsid w:val="4CE7633D"/>
    <w:rsid w:val="4CF17B79"/>
    <w:rsid w:val="4CFE58B7"/>
    <w:rsid w:val="4D022BD1"/>
    <w:rsid w:val="4D0D5045"/>
    <w:rsid w:val="4D0F534D"/>
    <w:rsid w:val="4D135839"/>
    <w:rsid w:val="4D144D0B"/>
    <w:rsid w:val="4D241DA1"/>
    <w:rsid w:val="4D2874FB"/>
    <w:rsid w:val="4D3161C8"/>
    <w:rsid w:val="4D3925A5"/>
    <w:rsid w:val="4D3B252B"/>
    <w:rsid w:val="4D48415D"/>
    <w:rsid w:val="4D694853"/>
    <w:rsid w:val="4D6E3730"/>
    <w:rsid w:val="4D761DF4"/>
    <w:rsid w:val="4D7D0B22"/>
    <w:rsid w:val="4D803811"/>
    <w:rsid w:val="4D964BDE"/>
    <w:rsid w:val="4D9D16E6"/>
    <w:rsid w:val="4DA22F6F"/>
    <w:rsid w:val="4DA366F2"/>
    <w:rsid w:val="4DA65D61"/>
    <w:rsid w:val="4DA74E33"/>
    <w:rsid w:val="4DA82C5E"/>
    <w:rsid w:val="4DA90ECF"/>
    <w:rsid w:val="4DAB7D28"/>
    <w:rsid w:val="4DB90D53"/>
    <w:rsid w:val="4DC25072"/>
    <w:rsid w:val="4DC43E1F"/>
    <w:rsid w:val="4DC5673B"/>
    <w:rsid w:val="4DCA651D"/>
    <w:rsid w:val="4DCB2178"/>
    <w:rsid w:val="4DD455C4"/>
    <w:rsid w:val="4DD52FF7"/>
    <w:rsid w:val="4DEE1BA4"/>
    <w:rsid w:val="4DF25957"/>
    <w:rsid w:val="4DF85277"/>
    <w:rsid w:val="4DFC5B74"/>
    <w:rsid w:val="4E00643A"/>
    <w:rsid w:val="4E1A5E9B"/>
    <w:rsid w:val="4E204F8C"/>
    <w:rsid w:val="4E206385"/>
    <w:rsid w:val="4E220315"/>
    <w:rsid w:val="4E2B750E"/>
    <w:rsid w:val="4E372CEF"/>
    <w:rsid w:val="4E5057CD"/>
    <w:rsid w:val="4E525C89"/>
    <w:rsid w:val="4E530BBB"/>
    <w:rsid w:val="4E5F70ED"/>
    <w:rsid w:val="4E6C7842"/>
    <w:rsid w:val="4E710F72"/>
    <w:rsid w:val="4E712D20"/>
    <w:rsid w:val="4E716DD6"/>
    <w:rsid w:val="4E7D41EF"/>
    <w:rsid w:val="4E8743CF"/>
    <w:rsid w:val="4E8A19A2"/>
    <w:rsid w:val="4EA73499"/>
    <w:rsid w:val="4EAF6660"/>
    <w:rsid w:val="4EB3274A"/>
    <w:rsid w:val="4EB33338"/>
    <w:rsid w:val="4EB42C0C"/>
    <w:rsid w:val="4EC112A5"/>
    <w:rsid w:val="4EC15329"/>
    <w:rsid w:val="4EC27DC2"/>
    <w:rsid w:val="4EC55A56"/>
    <w:rsid w:val="4ECC7680"/>
    <w:rsid w:val="4ECD7A91"/>
    <w:rsid w:val="4ED5661F"/>
    <w:rsid w:val="4EE33A64"/>
    <w:rsid w:val="4EE520BF"/>
    <w:rsid w:val="4EEA667A"/>
    <w:rsid w:val="4EEC2511"/>
    <w:rsid w:val="4EFE20DA"/>
    <w:rsid w:val="4F0516BA"/>
    <w:rsid w:val="4F05494C"/>
    <w:rsid w:val="4F0D50A9"/>
    <w:rsid w:val="4F11126D"/>
    <w:rsid w:val="4F1A62E3"/>
    <w:rsid w:val="4F1E19C9"/>
    <w:rsid w:val="4F20737B"/>
    <w:rsid w:val="4F254CD6"/>
    <w:rsid w:val="4F2E6E63"/>
    <w:rsid w:val="4F311C64"/>
    <w:rsid w:val="4F460289"/>
    <w:rsid w:val="4F473CD7"/>
    <w:rsid w:val="4F474CB8"/>
    <w:rsid w:val="4F5D32F2"/>
    <w:rsid w:val="4F737BC5"/>
    <w:rsid w:val="4F8306AF"/>
    <w:rsid w:val="4F897829"/>
    <w:rsid w:val="4F8B21F9"/>
    <w:rsid w:val="4F970DE9"/>
    <w:rsid w:val="4F971FC4"/>
    <w:rsid w:val="4F974A08"/>
    <w:rsid w:val="4F985CD1"/>
    <w:rsid w:val="4FA5268C"/>
    <w:rsid w:val="4FAE3B00"/>
    <w:rsid w:val="4FC804D5"/>
    <w:rsid w:val="4FC96B8B"/>
    <w:rsid w:val="4FCC1A25"/>
    <w:rsid w:val="4FDD6723"/>
    <w:rsid w:val="4FDF78E9"/>
    <w:rsid w:val="4FF22676"/>
    <w:rsid w:val="4FFE1B06"/>
    <w:rsid w:val="50047F66"/>
    <w:rsid w:val="500A40D7"/>
    <w:rsid w:val="501A0C8E"/>
    <w:rsid w:val="501A122A"/>
    <w:rsid w:val="501A2F43"/>
    <w:rsid w:val="502138A5"/>
    <w:rsid w:val="50247920"/>
    <w:rsid w:val="502E57D9"/>
    <w:rsid w:val="50593A6B"/>
    <w:rsid w:val="505A51B9"/>
    <w:rsid w:val="505A67EB"/>
    <w:rsid w:val="50654940"/>
    <w:rsid w:val="50700DB5"/>
    <w:rsid w:val="50750658"/>
    <w:rsid w:val="50765757"/>
    <w:rsid w:val="507B60D8"/>
    <w:rsid w:val="50827466"/>
    <w:rsid w:val="50870598"/>
    <w:rsid w:val="508C15FC"/>
    <w:rsid w:val="508D1967"/>
    <w:rsid w:val="509C3829"/>
    <w:rsid w:val="509E5922"/>
    <w:rsid w:val="50B63FD8"/>
    <w:rsid w:val="50B777F0"/>
    <w:rsid w:val="50BB47E0"/>
    <w:rsid w:val="50BD18A9"/>
    <w:rsid w:val="50C46BEE"/>
    <w:rsid w:val="50D37CC2"/>
    <w:rsid w:val="50D92558"/>
    <w:rsid w:val="50D94705"/>
    <w:rsid w:val="50DF2385"/>
    <w:rsid w:val="50E33CEC"/>
    <w:rsid w:val="50F24380"/>
    <w:rsid w:val="50FC73BD"/>
    <w:rsid w:val="5104794E"/>
    <w:rsid w:val="510F1A3E"/>
    <w:rsid w:val="510F4A72"/>
    <w:rsid w:val="511C56B7"/>
    <w:rsid w:val="511D153D"/>
    <w:rsid w:val="51205FD8"/>
    <w:rsid w:val="51363DAD"/>
    <w:rsid w:val="513C4376"/>
    <w:rsid w:val="51433D5D"/>
    <w:rsid w:val="51435D0C"/>
    <w:rsid w:val="51446169"/>
    <w:rsid w:val="514F6D7D"/>
    <w:rsid w:val="51654692"/>
    <w:rsid w:val="516B6A17"/>
    <w:rsid w:val="516E22FB"/>
    <w:rsid w:val="517765FC"/>
    <w:rsid w:val="517A638F"/>
    <w:rsid w:val="518202C7"/>
    <w:rsid w:val="519A032B"/>
    <w:rsid w:val="519D4FB2"/>
    <w:rsid w:val="519E21FD"/>
    <w:rsid w:val="51AA50F9"/>
    <w:rsid w:val="51AF10C4"/>
    <w:rsid w:val="51B06B92"/>
    <w:rsid w:val="51B07591"/>
    <w:rsid w:val="51B43002"/>
    <w:rsid w:val="51B57B6D"/>
    <w:rsid w:val="51B839E6"/>
    <w:rsid w:val="51BB1A11"/>
    <w:rsid w:val="51BD6C11"/>
    <w:rsid w:val="51CD2E5F"/>
    <w:rsid w:val="51D07D5D"/>
    <w:rsid w:val="51DA58AE"/>
    <w:rsid w:val="51DB5821"/>
    <w:rsid w:val="51DD376A"/>
    <w:rsid w:val="51E5449B"/>
    <w:rsid w:val="51E66508"/>
    <w:rsid w:val="51E847AF"/>
    <w:rsid w:val="51EA7907"/>
    <w:rsid w:val="51F7178E"/>
    <w:rsid w:val="52017EFE"/>
    <w:rsid w:val="521E5FFD"/>
    <w:rsid w:val="522D3F63"/>
    <w:rsid w:val="52353550"/>
    <w:rsid w:val="524450A3"/>
    <w:rsid w:val="52483D98"/>
    <w:rsid w:val="52510CC8"/>
    <w:rsid w:val="52583CBA"/>
    <w:rsid w:val="525E35BB"/>
    <w:rsid w:val="525F5585"/>
    <w:rsid w:val="52643FB3"/>
    <w:rsid w:val="5264494A"/>
    <w:rsid w:val="526E0E00"/>
    <w:rsid w:val="5270414C"/>
    <w:rsid w:val="52952D55"/>
    <w:rsid w:val="52B0193D"/>
    <w:rsid w:val="52B224F0"/>
    <w:rsid w:val="52B41F04"/>
    <w:rsid w:val="52B6366E"/>
    <w:rsid w:val="52C660C9"/>
    <w:rsid w:val="52CF29D7"/>
    <w:rsid w:val="52D94139"/>
    <w:rsid w:val="52E3567F"/>
    <w:rsid w:val="52ED06D4"/>
    <w:rsid w:val="52F331C3"/>
    <w:rsid w:val="52F93FBF"/>
    <w:rsid w:val="53001BB3"/>
    <w:rsid w:val="530028C4"/>
    <w:rsid w:val="53024A4D"/>
    <w:rsid w:val="530265E4"/>
    <w:rsid w:val="530A0C1B"/>
    <w:rsid w:val="53143779"/>
    <w:rsid w:val="531B3817"/>
    <w:rsid w:val="53264D65"/>
    <w:rsid w:val="532931AC"/>
    <w:rsid w:val="532F0995"/>
    <w:rsid w:val="532F74D8"/>
    <w:rsid w:val="5334431C"/>
    <w:rsid w:val="53431E6B"/>
    <w:rsid w:val="534555A6"/>
    <w:rsid w:val="53501B3A"/>
    <w:rsid w:val="5367646B"/>
    <w:rsid w:val="537514ED"/>
    <w:rsid w:val="537D2167"/>
    <w:rsid w:val="53815461"/>
    <w:rsid w:val="53987838"/>
    <w:rsid w:val="539D45B7"/>
    <w:rsid w:val="539E2F53"/>
    <w:rsid w:val="53A56FC8"/>
    <w:rsid w:val="53AB168D"/>
    <w:rsid w:val="53AD1FC2"/>
    <w:rsid w:val="53B07B30"/>
    <w:rsid w:val="53B4545D"/>
    <w:rsid w:val="53C102A5"/>
    <w:rsid w:val="53CD3590"/>
    <w:rsid w:val="53D23837"/>
    <w:rsid w:val="53D32C63"/>
    <w:rsid w:val="53DE6F83"/>
    <w:rsid w:val="53E17EA9"/>
    <w:rsid w:val="53EF3446"/>
    <w:rsid w:val="53F01264"/>
    <w:rsid w:val="53F82DF0"/>
    <w:rsid w:val="53FA37B7"/>
    <w:rsid w:val="53FA5565"/>
    <w:rsid w:val="53FC0EC4"/>
    <w:rsid w:val="5400395F"/>
    <w:rsid w:val="54062707"/>
    <w:rsid w:val="54077C82"/>
    <w:rsid w:val="540E194F"/>
    <w:rsid w:val="541233D7"/>
    <w:rsid w:val="5414737F"/>
    <w:rsid w:val="541C389D"/>
    <w:rsid w:val="541F29DD"/>
    <w:rsid w:val="5422041B"/>
    <w:rsid w:val="542B3971"/>
    <w:rsid w:val="5448592B"/>
    <w:rsid w:val="544B7B6F"/>
    <w:rsid w:val="544C7BFD"/>
    <w:rsid w:val="545029C2"/>
    <w:rsid w:val="5450301F"/>
    <w:rsid w:val="5450471C"/>
    <w:rsid w:val="545B7CBD"/>
    <w:rsid w:val="545F471D"/>
    <w:rsid w:val="54644D9B"/>
    <w:rsid w:val="54692F42"/>
    <w:rsid w:val="546A3A38"/>
    <w:rsid w:val="546E3ADE"/>
    <w:rsid w:val="54736A86"/>
    <w:rsid w:val="547651B8"/>
    <w:rsid w:val="54780EBC"/>
    <w:rsid w:val="547F33FC"/>
    <w:rsid w:val="548379B4"/>
    <w:rsid w:val="54A72293"/>
    <w:rsid w:val="54A84FC1"/>
    <w:rsid w:val="54A91A03"/>
    <w:rsid w:val="54C2646B"/>
    <w:rsid w:val="54C72B03"/>
    <w:rsid w:val="54CC69D9"/>
    <w:rsid w:val="54CC7FC3"/>
    <w:rsid w:val="54CD0339"/>
    <w:rsid w:val="54D65F23"/>
    <w:rsid w:val="54E94703"/>
    <w:rsid w:val="54EA17CF"/>
    <w:rsid w:val="54EF0AAE"/>
    <w:rsid w:val="54F647EB"/>
    <w:rsid w:val="54F77F3B"/>
    <w:rsid w:val="54F9507D"/>
    <w:rsid w:val="5503044A"/>
    <w:rsid w:val="550541C2"/>
    <w:rsid w:val="55090AE5"/>
    <w:rsid w:val="5518442B"/>
    <w:rsid w:val="5522648E"/>
    <w:rsid w:val="55257673"/>
    <w:rsid w:val="552611B1"/>
    <w:rsid w:val="55262A58"/>
    <w:rsid w:val="55316CD7"/>
    <w:rsid w:val="553271D3"/>
    <w:rsid w:val="5536081F"/>
    <w:rsid w:val="5537062A"/>
    <w:rsid w:val="55425E7B"/>
    <w:rsid w:val="55434CEA"/>
    <w:rsid w:val="554B700A"/>
    <w:rsid w:val="554F2666"/>
    <w:rsid w:val="554F7B33"/>
    <w:rsid w:val="55546EF7"/>
    <w:rsid w:val="55564A1D"/>
    <w:rsid w:val="556C60B3"/>
    <w:rsid w:val="55754E2B"/>
    <w:rsid w:val="55945D37"/>
    <w:rsid w:val="55A45A21"/>
    <w:rsid w:val="55AA0F8C"/>
    <w:rsid w:val="55B77BA9"/>
    <w:rsid w:val="55C87E5B"/>
    <w:rsid w:val="55CD5E8D"/>
    <w:rsid w:val="55D158CE"/>
    <w:rsid w:val="55DB4561"/>
    <w:rsid w:val="55DC0F43"/>
    <w:rsid w:val="55EB1F25"/>
    <w:rsid w:val="55EE0C26"/>
    <w:rsid w:val="56177866"/>
    <w:rsid w:val="561A04E3"/>
    <w:rsid w:val="562F774B"/>
    <w:rsid w:val="563E5AB2"/>
    <w:rsid w:val="563F540E"/>
    <w:rsid w:val="564414E3"/>
    <w:rsid w:val="564C522B"/>
    <w:rsid w:val="56551179"/>
    <w:rsid w:val="565C42B5"/>
    <w:rsid w:val="566118CC"/>
    <w:rsid w:val="567B7BFD"/>
    <w:rsid w:val="568850AA"/>
    <w:rsid w:val="56974290"/>
    <w:rsid w:val="56986987"/>
    <w:rsid w:val="569E667C"/>
    <w:rsid w:val="56A501F8"/>
    <w:rsid w:val="56B67C5D"/>
    <w:rsid w:val="56C055FC"/>
    <w:rsid w:val="56CB143B"/>
    <w:rsid w:val="56CC638C"/>
    <w:rsid w:val="56D3410E"/>
    <w:rsid w:val="56D51BC3"/>
    <w:rsid w:val="56DB67A7"/>
    <w:rsid w:val="56E556D3"/>
    <w:rsid w:val="56EB73E7"/>
    <w:rsid w:val="56EF34E3"/>
    <w:rsid w:val="56F049FE"/>
    <w:rsid w:val="56F33E8F"/>
    <w:rsid w:val="56FB37AA"/>
    <w:rsid w:val="56FC6F89"/>
    <w:rsid w:val="570D273C"/>
    <w:rsid w:val="571E1E61"/>
    <w:rsid w:val="57302766"/>
    <w:rsid w:val="573518D3"/>
    <w:rsid w:val="57501DED"/>
    <w:rsid w:val="575A1028"/>
    <w:rsid w:val="57634140"/>
    <w:rsid w:val="576524BB"/>
    <w:rsid w:val="576D6D93"/>
    <w:rsid w:val="577E6A3F"/>
    <w:rsid w:val="577F5FA9"/>
    <w:rsid w:val="577F68C1"/>
    <w:rsid w:val="57812F5F"/>
    <w:rsid w:val="57931F59"/>
    <w:rsid w:val="57A1557A"/>
    <w:rsid w:val="57A16858"/>
    <w:rsid w:val="57AC250F"/>
    <w:rsid w:val="57C24C91"/>
    <w:rsid w:val="57CF2668"/>
    <w:rsid w:val="57D20CF9"/>
    <w:rsid w:val="57E52ADF"/>
    <w:rsid w:val="57E70737"/>
    <w:rsid w:val="57EA2A94"/>
    <w:rsid w:val="57EC1669"/>
    <w:rsid w:val="57EE6662"/>
    <w:rsid w:val="57FC57BD"/>
    <w:rsid w:val="57FF6155"/>
    <w:rsid w:val="580140A6"/>
    <w:rsid w:val="580B6E3C"/>
    <w:rsid w:val="580C1C8E"/>
    <w:rsid w:val="580D7D81"/>
    <w:rsid w:val="58120B37"/>
    <w:rsid w:val="58131D55"/>
    <w:rsid w:val="581E62DD"/>
    <w:rsid w:val="58291B84"/>
    <w:rsid w:val="58342026"/>
    <w:rsid w:val="58462CFB"/>
    <w:rsid w:val="585673E9"/>
    <w:rsid w:val="585A65D3"/>
    <w:rsid w:val="58613E05"/>
    <w:rsid w:val="58623049"/>
    <w:rsid w:val="586A54CE"/>
    <w:rsid w:val="586C3CC6"/>
    <w:rsid w:val="58783CFA"/>
    <w:rsid w:val="587B52C1"/>
    <w:rsid w:val="588D4442"/>
    <w:rsid w:val="588E0972"/>
    <w:rsid w:val="58951088"/>
    <w:rsid w:val="58990FC0"/>
    <w:rsid w:val="58A14C54"/>
    <w:rsid w:val="58A64233"/>
    <w:rsid w:val="58AF4435"/>
    <w:rsid w:val="58BA52C3"/>
    <w:rsid w:val="58BB3DC0"/>
    <w:rsid w:val="58C07FBB"/>
    <w:rsid w:val="58CC1EB8"/>
    <w:rsid w:val="58CF5213"/>
    <w:rsid w:val="58D1792B"/>
    <w:rsid w:val="58D95B4A"/>
    <w:rsid w:val="58DD409B"/>
    <w:rsid w:val="58E236F3"/>
    <w:rsid w:val="58E6255C"/>
    <w:rsid w:val="58F015D0"/>
    <w:rsid w:val="58FE78A6"/>
    <w:rsid w:val="59056087"/>
    <w:rsid w:val="5906339C"/>
    <w:rsid w:val="59131292"/>
    <w:rsid w:val="59232A72"/>
    <w:rsid w:val="5925316F"/>
    <w:rsid w:val="5942577F"/>
    <w:rsid w:val="59511F8F"/>
    <w:rsid w:val="59580B22"/>
    <w:rsid w:val="596A0C5D"/>
    <w:rsid w:val="5988042A"/>
    <w:rsid w:val="599041ED"/>
    <w:rsid w:val="59912541"/>
    <w:rsid w:val="59924FF5"/>
    <w:rsid w:val="599817E8"/>
    <w:rsid w:val="59B56492"/>
    <w:rsid w:val="59B91A1F"/>
    <w:rsid w:val="59C35ACF"/>
    <w:rsid w:val="59C53B23"/>
    <w:rsid w:val="59D65B05"/>
    <w:rsid w:val="59ED3476"/>
    <w:rsid w:val="5A02182B"/>
    <w:rsid w:val="5A0D509A"/>
    <w:rsid w:val="5A0F7891"/>
    <w:rsid w:val="5A1B6236"/>
    <w:rsid w:val="5A2400DF"/>
    <w:rsid w:val="5A285981"/>
    <w:rsid w:val="5A347F30"/>
    <w:rsid w:val="5A38069B"/>
    <w:rsid w:val="5A552EDD"/>
    <w:rsid w:val="5A587D48"/>
    <w:rsid w:val="5A6257DB"/>
    <w:rsid w:val="5A64740A"/>
    <w:rsid w:val="5A664CCE"/>
    <w:rsid w:val="5A737E20"/>
    <w:rsid w:val="5A746011"/>
    <w:rsid w:val="5A764626"/>
    <w:rsid w:val="5A7D0C9E"/>
    <w:rsid w:val="5A7D2A4C"/>
    <w:rsid w:val="5A8A5E83"/>
    <w:rsid w:val="5A8E6A07"/>
    <w:rsid w:val="5AA20ED6"/>
    <w:rsid w:val="5AA423B5"/>
    <w:rsid w:val="5AA708CA"/>
    <w:rsid w:val="5AA775FF"/>
    <w:rsid w:val="5AAC551A"/>
    <w:rsid w:val="5AB37F0E"/>
    <w:rsid w:val="5AC02939"/>
    <w:rsid w:val="5ADA3FE6"/>
    <w:rsid w:val="5AE969BB"/>
    <w:rsid w:val="5AED2B97"/>
    <w:rsid w:val="5AF17F45"/>
    <w:rsid w:val="5AF26392"/>
    <w:rsid w:val="5AF37DCE"/>
    <w:rsid w:val="5AFD5309"/>
    <w:rsid w:val="5B102138"/>
    <w:rsid w:val="5B157129"/>
    <w:rsid w:val="5B21787C"/>
    <w:rsid w:val="5B2327FE"/>
    <w:rsid w:val="5B2A28AF"/>
    <w:rsid w:val="5B2D4026"/>
    <w:rsid w:val="5B3B4BE1"/>
    <w:rsid w:val="5B4672E2"/>
    <w:rsid w:val="5B4B20B5"/>
    <w:rsid w:val="5B4F263B"/>
    <w:rsid w:val="5B5C08B4"/>
    <w:rsid w:val="5B5E6F93"/>
    <w:rsid w:val="5B6160B4"/>
    <w:rsid w:val="5B661732"/>
    <w:rsid w:val="5B691244"/>
    <w:rsid w:val="5B767480"/>
    <w:rsid w:val="5B7A672F"/>
    <w:rsid w:val="5B7C1860"/>
    <w:rsid w:val="5B7F50BF"/>
    <w:rsid w:val="5B867F38"/>
    <w:rsid w:val="5B9207A8"/>
    <w:rsid w:val="5B9E0ECC"/>
    <w:rsid w:val="5B9F7DAC"/>
    <w:rsid w:val="5BAC3A38"/>
    <w:rsid w:val="5BB77E50"/>
    <w:rsid w:val="5BBB37E1"/>
    <w:rsid w:val="5BBB3896"/>
    <w:rsid w:val="5BD40D92"/>
    <w:rsid w:val="5BF22D70"/>
    <w:rsid w:val="5BF55195"/>
    <w:rsid w:val="5C021E11"/>
    <w:rsid w:val="5C0553DC"/>
    <w:rsid w:val="5C07081F"/>
    <w:rsid w:val="5C0C052C"/>
    <w:rsid w:val="5C0C53F2"/>
    <w:rsid w:val="5C111495"/>
    <w:rsid w:val="5C165947"/>
    <w:rsid w:val="5C1739FF"/>
    <w:rsid w:val="5C182B40"/>
    <w:rsid w:val="5C1949F7"/>
    <w:rsid w:val="5C1F7933"/>
    <w:rsid w:val="5C3405B2"/>
    <w:rsid w:val="5C4863C1"/>
    <w:rsid w:val="5C4E068B"/>
    <w:rsid w:val="5C602626"/>
    <w:rsid w:val="5C61437B"/>
    <w:rsid w:val="5C6C3BD8"/>
    <w:rsid w:val="5C797243"/>
    <w:rsid w:val="5C7A6CC5"/>
    <w:rsid w:val="5C8956D8"/>
    <w:rsid w:val="5C8C06C1"/>
    <w:rsid w:val="5C992D62"/>
    <w:rsid w:val="5C9A1694"/>
    <w:rsid w:val="5C9D1184"/>
    <w:rsid w:val="5CAC6EDF"/>
    <w:rsid w:val="5CB02287"/>
    <w:rsid w:val="5CB4328D"/>
    <w:rsid w:val="5CC24B59"/>
    <w:rsid w:val="5CCC5196"/>
    <w:rsid w:val="5CDB4FE6"/>
    <w:rsid w:val="5CDF5473"/>
    <w:rsid w:val="5CEE5E83"/>
    <w:rsid w:val="5CEF6584"/>
    <w:rsid w:val="5CF71428"/>
    <w:rsid w:val="5D1773C9"/>
    <w:rsid w:val="5D1A6C78"/>
    <w:rsid w:val="5D1C02FB"/>
    <w:rsid w:val="5D254024"/>
    <w:rsid w:val="5D292A17"/>
    <w:rsid w:val="5D2B6790"/>
    <w:rsid w:val="5D34149D"/>
    <w:rsid w:val="5D3B5726"/>
    <w:rsid w:val="5D3F048D"/>
    <w:rsid w:val="5D445AA3"/>
    <w:rsid w:val="5D4601B1"/>
    <w:rsid w:val="5D494DBC"/>
    <w:rsid w:val="5D55588E"/>
    <w:rsid w:val="5D5A0839"/>
    <w:rsid w:val="5D5A4F29"/>
    <w:rsid w:val="5D67174C"/>
    <w:rsid w:val="5D703A41"/>
    <w:rsid w:val="5D786911"/>
    <w:rsid w:val="5D7A5CAC"/>
    <w:rsid w:val="5D7B0085"/>
    <w:rsid w:val="5D7B50D7"/>
    <w:rsid w:val="5D810AA5"/>
    <w:rsid w:val="5D811B5C"/>
    <w:rsid w:val="5D8660BC"/>
    <w:rsid w:val="5D9A56C3"/>
    <w:rsid w:val="5DAB27C9"/>
    <w:rsid w:val="5DAF7B60"/>
    <w:rsid w:val="5DB46EC8"/>
    <w:rsid w:val="5DC15346"/>
    <w:rsid w:val="5DC22429"/>
    <w:rsid w:val="5DCB6A18"/>
    <w:rsid w:val="5DD371C8"/>
    <w:rsid w:val="5DDB0AAD"/>
    <w:rsid w:val="5DF37C13"/>
    <w:rsid w:val="5DF84E51"/>
    <w:rsid w:val="5E156A90"/>
    <w:rsid w:val="5E211BF7"/>
    <w:rsid w:val="5E294CFC"/>
    <w:rsid w:val="5E337E3E"/>
    <w:rsid w:val="5E3564A3"/>
    <w:rsid w:val="5E39617D"/>
    <w:rsid w:val="5E400076"/>
    <w:rsid w:val="5E4775F9"/>
    <w:rsid w:val="5E5A73BB"/>
    <w:rsid w:val="5E6572A9"/>
    <w:rsid w:val="5E6F4588"/>
    <w:rsid w:val="5E766ABA"/>
    <w:rsid w:val="5E783C56"/>
    <w:rsid w:val="5E790CA0"/>
    <w:rsid w:val="5E7945FC"/>
    <w:rsid w:val="5E930082"/>
    <w:rsid w:val="5E93121F"/>
    <w:rsid w:val="5E96232F"/>
    <w:rsid w:val="5EB351E3"/>
    <w:rsid w:val="5EB6009E"/>
    <w:rsid w:val="5EC43375"/>
    <w:rsid w:val="5ECB5E0F"/>
    <w:rsid w:val="5ED15115"/>
    <w:rsid w:val="5ED22BFF"/>
    <w:rsid w:val="5ED32946"/>
    <w:rsid w:val="5ED74E21"/>
    <w:rsid w:val="5EDD61AF"/>
    <w:rsid w:val="5EE278D0"/>
    <w:rsid w:val="5EE622DA"/>
    <w:rsid w:val="5F0454EA"/>
    <w:rsid w:val="5F070F10"/>
    <w:rsid w:val="5F0E22EC"/>
    <w:rsid w:val="5F1119B5"/>
    <w:rsid w:val="5F2E07B9"/>
    <w:rsid w:val="5F44309B"/>
    <w:rsid w:val="5F4C162A"/>
    <w:rsid w:val="5F4F10AF"/>
    <w:rsid w:val="5F577D10"/>
    <w:rsid w:val="5F5A6ED0"/>
    <w:rsid w:val="5F5C4825"/>
    <w:rsid w:val="5F701D7B"/>
    <w:rsid w:val="5F727FC6"/>
    <w:rsid w:val="5F8874C5"/>
    <w:rsid w:val="5F926F9A"/>
    <w:rsid w:val="5FA562EE"/>
    <w:rsid w:val="5FB17F94"/>
    <w:rsid w:val="5FB67C3B"/>
    <w:rsid w:val="5FB7255D"/>
    <w:rsid w:val="5FBA715C"/>
    <w:rsid w:val="5FBE789B"/>
    <w:rsid w:val="5FC469D3"/>
    <w:rsid w:val="5FD862BD"/>
    <w:rsid w:val="5FDD0F28"/>
    <w:rsid w:val="5FDE4C57"/>
    <w:rsid w:val="5FE570CA"/>
    <w:rsid w:val="5FF92B75"/>
    <w:rsid w:val="5FFD3C4A"/>
    <w:rsid w:val="60085D90"/>
    <w:rsid w:val="60265BCA"/>
    <w:rsid w:val="603A2B07"/>
    <w:rsid w:val="6040415C"/>
    <w:rsid w:val="6054527B"/>
    <w:rsid w:val="60613951"/>
    <w:rsid w:val="607F45F5"/>
    <w:rsid w:val="607F6BA2"/>
    <w:rsid w:val="608E4E60"/>
    <w:rsid w:val="609A3A92"/>
    <w:rsid w:val="609E54CA"/>
    <w:rsid w:val="60A35595"/>
    <w:rsid w:val="60A652C9"/>
    <w:rsid w:val="60A77018"/>
    <w:rsid w:val="60A81050"/>
    <w:rsid w:val="60A94626"/>
    <w:rsid w:val="60B3575F"/>
    <w:rsid w:val="60BE3971"/>
    <w:rsid w:val="60C36BAA"/>
    <w:rsid w:val="60DA02C2"/>
    <w:rsid w:val="60E471F1"/>
    <w:rsid w:val="60E850DB"/>
    <w:rsid w:val="60F2534F"/>
    <w:rsid w:val="60F600EF"/>
    <w:rsid w:val="60F864F0"/>
    <w:rsid w:val="610244AA"/>
    <w:rsid w:val="61093E19"/>
    <w:rsid w:val="611304E9"/>
    <w:rsid w:val="61186287"/>
    <w:rsid w:val="61193CEB"/>
    <w:rsid w:val="61296823"/>
    <w:rsid w:val="613045F7"/>
    <w:rsid w:val="613C19CF"/>
    <w:rsid w:val="6145645F"/>
    <w:rsid w:val="614B50C1"/>
    <w:rsid w:val="61517443"/>
    <w:rsid w:val="61593AF6"/>
    <w:rsid w:val="615A3AE7"/>
    <w:rsid w:val="615E036B"/>
    <w:rsid w:val="6161797C"/>
    <w:rsid w:val="616D653E"/>
    <w:rsid w:val="61705093"/>
    <w:rsid w:val="61761FA3"/>
    <w:rsid w:val="61791AAE"/>
    <w:rsid w:val="618F5E5F"/>
    <w:rsid w:val="61AD00BB"/>
    <w:rsid w:val="61B00A1E"/>
    <w:rsid w:val="61C44FB6"/>
    <w:rsid w:val="61CA606C"/>
    <w:rsid w:val="61D12494"/>
    <w:rsid w:val="61D3123E"/>
    <w:rsid w:val="61D4596C"/>
    <w:rsid w:val="61DE243F"/>
    <w:rsid w:val="61ED2A14"/>
    <w:rsid w:val="61F21F72"/>
    <w:rsid w:val="62006316"/>
    <w:rsid w:val="62083B4D"/>
    <w:rsid w:val="62141908"/>
    <w:rsid w:val="621912AD"/>
    <w:rsid w:val="621A51B1"/>
    <w:rsid w:val="621B7911"/>
    <w:rsid w:val="62244482"/>
    <w:rsid w:val="622446F8"/>
    <w:rsid w:val="622C2A0D"/>
    <w:rsid w:val="622C3BBB"/>
    <w:rsid w:val="622F287E"/>
    <w:rsid w:val="62364403"/>
    <w:rsid w:val="62387CD2"/>
    <w:rsid w:val="623E51B7"/>
    <w:rsid w:val="62436960"/>
    <w:rsid w:val="624A76B8"/>
    <w:rsid w:val="62521D8C"/>
    <w:rsid w:val="625C6B16"/>
    <w:rsid w:val="625E3163"/>
    <w:rsid w:val="625F53CD"/>
    <w:rsid w:val="62604FDE"/>
    <w:rsid w:val="62642997"/>
    <w:rsid w:val="6267026A"/>
    <w:rsid w:val="62686E91"/>
    <w:rsid w:val="626A7D5A"/>
    <w:rsid w:val="627961EF"/>
    <w:rsid w:val="627B5880"/>
    <w:rsid w:val="627D4188"/>
    <w:rsid w:val="62856942"/>
    <w:rsid w:val="6294124F"/>
    <w:rsid w:val="629C00D6"/>
    <w:rsid w:val="629C583C"/>
    <w:rsid w:val="629D1EDE"/>
    <w:rsid w:val="629F5000"/>
    <w:rsid w:val="62AA0157"/>
    <w:rsid w:val="62C20707"/>
    <w:rsid w:val="62C54F90"/>
    <w:rsid w:val="62C751AC"/>
    <w:rsid w:val="62CA2E80"/>
    <w:rsid w:val="62CB57FE"/>
    <w:rsid w:val="62D17676"/>
    <w:rsid w:val="62D32BA1"/>
    <w:rsid w:val="62DE7627"/>
    <w:rsid w:val="62E37288"/>
    <w:rsid w:val="62EE6B0C"/>
    <w:rsid w:val="62F835B8"/>
    <w:rsid w:val="63027145"/>
    <w:rsid w:val="63075750"/>
    <w:rsid w:val="63084640"/>
    <w:rsid w:val="630E1549"/>
    <w:rsid w:val="631040EF"/>
    <w:rsid w:val="63147EC5"/>
    <w:rsid w:val="63162979"/>
    <w:rsid w:val="631D7C98"/>
    <w:rsid w:val="63286425"/>
    <w:rsid w:val="63352116"/>
    <w:rsid w:val="633571CC"/>
    <w:rsid w:val="633B709F"/>
    <w:rsid w:val="634265E1"/>
    <w:rsid w:val="6348512C"/>
    <w:rsid w:val="634D0FFB"/>
    <w:rsid w:val="634D4E50"/>
    <w:rsid w:val="635A4FE5"/>
    <w:rsid w:val="635C7A8A"/>
    <w:rsid w:val="63607B63"/>
    <w:rsid w:val="636451F8"/>
    <w:rsid w:val="636655E8"/>
    <w:rsid w:val="63715118"/>
    <w:rsid w:val="637A221F"/>
    <w:rsid w:val="637F7835"/>
    <w:rsid w:val="63827B1B"/>
    <w:rsid w:val="63864396"/>
    <w:rsid w:val="639826A5"/>
    <w:rsid w:val="639C03E7"/>
    <w:rsid w:val="63AB4186"/>
    <w:rsid w:val="63AC40B1"/>
    <w:rsid w:val="63AC7B01"/>
    <w:rsid w:val="63B069B7"/>
    <w:rsid w:val="63B96A14"/>
    <w:rsid w:val="63C85E2C"/>
    <w:rsid w:val="63D92960"/>
    <w:rsid w:val="63E1229E"/>
    <w:rsid w:val="63E35F3A"/>
    <w:rsid w:val="63EC4F0E"/>
    <w:rsid w:val="63F0276B"/>
    <w:rsid w:val="63F26259"/>
    <w:rsid w:val="63F43CF5"/>
    <w:rsid w:val="63FF4C2E"/>
    <w:rsid w:val="640A7A27"/>
    <w:rsid w:val="64104E63"/>
    <w:rsid w:val="6416019A"/>
    <w:rsid w:val="6419743D"/>
    <w:rsid w:val="641C32D6"/>
    <w:rsid w:val="641C6E32"/>
    <w:rsid w:val="641F310C"/>
    <w:rsid w:val="642B52C7"/>
    <w:rsid w:val="642D197F"/>
    <w:rsid w:val="64351649"/>
    <w:rsid w:val="643979E4"/>
    <w:rsid w:val="64412D3D"/>
    <w:rsid w:val="6449399F"/>
    <w:rsid w:val="64505561"/>
    <w:rsid w:val="6451172E"/>
    <w:rsid w:val="645B218B"/>
    <w:rsid w:val="64615543"/>
    <w:rsid w:val="646949A2"/>
    <w:rsid w:val="646A5923"/>
    <w:rsid w:val="64752152"/>
    <w:rsid w:val="64802D6E"/>
    <w:rsid w:val="6481537F"/>
    <w:rsid w:val="64835103"/>
    <w:rsid w:val="648F1CFA"/>
    <w:rsid w:val="64A37A75"/>
    <w:rsid w:val="64B7696A"/>
    <w:rsid w:val="64BF2823"/>
    <w:rsid w:val="64D30230"/>
    <w:rsid w:val="64D81ED5"/>
    <w:rsid w:val="64D85ADD"/>
    <w:rsid w:val="64E45A26"/>
    <w:rsid w:val="64EA6F30"/>
    <w:rsid w:val="64F25DE5"/>
    <w:rsid w:val="64FA0716"/>
    <w:rsid w:val="64FD4EB5"/>
    <w:rsid w:val="65097286"/>
    <w:rsid w:val="650B4776"/>
    <w:rsid w:val="651151DE"/>
    <w:rsid w:val="65182A1E"/>
    <w:rsid w:val="65194470"/>
    <w:rsid w:val="652900ED"/>
    <w:rsid w:val="65341AB7"/>
    <w:rsid w:val="65365BD7"/>
    <w:rsid w:val="653D34A1"/>
    <w:rsid w:val="654C0A01"/>
    <w:rsid w:val="654C400E"/>
    <w:rsid w:val="655C6B59"/>
    <w:rsid w:val="656767D3"/>
    <w:rsid w:val="65686596"/>
    <w:rsid w:val="65764C68"/>
    <w:rsid w:val="65931D3A"/>
    <w:rsid w:val="659822DD"/>
    <w:rsid w:val="65A3380C"/>
    <w:rsid w:val="65AB2B63"/>
    <w:rsid w:val="65AC2438"/>
    <w:rsid w:val="65AF3DC5"/>
    <w:rsid w:val="65B44DD6"/>
    <w:rsid w:val="65B500B8"/>
    <w:rsid w:val="65D21F83"/>
    <w:rsid w:val="65D60201"/>
    <w:rsid w:val="65D95B4E"/>
    <w:rsid w:val="65DF280D"/>
    <w:rsid w:val="65E174B2"/>
    <w:rsid w:val="65F01AB4"/>
    <w:rsid w:val="65F77B57"/>
    <w:rsid w:val="65FB765F"/>
    <w:rsid w:val="65FE7F42"/>
    <w:rsid w:val="66007C45"/>
    <w:rsid w:val="660B3DE6"/>
    <w:rsid w:val="66100967"/>
    <w:rsid w:val="6622278A"/>
    <w:rsid w:val="662720D2"/>
    <w:rsid w:val="663219D1"/>
    <w:rsid w:val="66376FAC"/>
    <w:rsid w:val="663A5586"/>
    <w:rsid w:val="664663E8"/>
    <w:rsid w:val="664B7EA3"/>
    <w:rsid w:val="665304C5"/>
    <w:rsid w:val="6653533F"/>
    <w:rsid w:val="665B5E5F"/>
    <w:rsid w:val="6660552E"/>
    <w:rsid w:val="66634050"/>
    <w:rsid w:val="66646397"/>
    <w:rsid w:val="666D301C"/>
    <w:rsid w:val="66723681"/>
    <w:rsid w:val="66854BCD"/>
    <w:rsid w:val="668D06E0"/>
    <w:rsid w:val="668F4233"/>
    <w:rsid w:val="669C06FE"/>
    <w:rsid w:val="669D0FFF"/>
    <w:rsid w:val="66A37B86"/>
    <w:rsid w:val="66B131AA"/>
    <w:rsid w:val="66B23631"/>
    <w:rsid w:val="66B87247"/>
    <w:rsid w:val="66C1139D"/>
    <w:rsid w:val="66D00173"/>
    <w:rsid w:val="66D12486"/>
    <w:rsid w:val="66D4710B"/>
    <w:rsid w:val="66D87459"/>
    <w:rsid w:val="66DC5B3F"/>
    <w:rsid w:val="66E03F2D"/>
    <w:rsid w:val="66EB4340"/>
    <w:rsid w:val="66EF6A80"/>
    <w:rsid w:val="66F81E55"/>
    <w:rsid w:val="67071D58"/>
    <w:rsid w:val="670C5884"/>
    <w:rsid w:val="67105321"/>
    <w:rsid w:val="67286393"/>
    <w:rsid w:val="67366086"/>
    <w:rsid w:val="67381AD5"/>
    <w:rsid w:val="674E19F8"/>
    <w:rsid w:val="675E2286"/>
    <w:rsid w:val="676E7F3D"/>
    <w:rsid w:val="67703034"/>
    <w:rsid w:val="67704FAD"/>
    <w:rsid w:val="67705E13"/>
    <w:rsid w:val="67740045"/>
    <w:rsid w:val="677436BA"/>
    <w:rsid w:val="677E4332"/>
    <w:rsid w:val="67836156"/>
    <w:rsid w:val="67880EF4"/>
    <w:rsid w:val="67A27CC2"/>
    <w:rsid w:val="67A60B9C"/>
    <w:rsid w:val="67AD0F3F"/>
    <w:rsid w:val="67B30841"/>
    <w:rsid w:val="67C02813"/>
    <w:rsid w:val="67C5120B"/>
    <w:rsid w:val="67D440E3"/>
    <w:rsid w:val="67D514C6"/>
    <w:rsid w:val="67DA2C38"/>
    <w:rsid w:val="67DF6EC0"/>
    <w:rsid w:val="67EA233A"/>
    <w:rsid w:val="67EF30B3"/>
    <w:rsid w:val="67FE2E53"/>
    <w:rsid w:val="68061993"/>
    <w:rsid w:val="680D0939"/>
    <w:rsid w:val="68237FD2"/>
    <w:rsid w:val="68252054"/>
    <w:rsid w:val="68331294"/>
    <w:rsid w:val="68394CF3"/>
    <w:rsid w:val="684224C0"/>
    <w:rsid w:val="684557CE"/>
    <w:rsid w:val="68466D27"/>
    <w:rsid w:val="685F3791"/>
    <w:rsid w:val="685F5D48"/>
    <w:rsid w:val="686A00C3"/>
    <w:rsid w:val="686C698D"/>
    <w:rsid w:val="686D127F"/>
    <w:rsid w:val="687067F6"/>
    <w:rsid w:val="68741E62"/>
    <w:rsid w:val="6874371C"/>
    <w:rsid w:val="68747A3A"/>
    <w:rsid w:val="687731D1"/>
    <w:rsid w:val="68802A41"/>
    <w:rsid w:val="6885133E"/>
    <w:rsid w:val="689078F6"/>
    <w:rsid w:val="689304A0"/>
    <w:rsid w:val="68A5389A"/>
    <w:rsid w:val="68B65617"/>
    <w:rsid w:val="68B729D2"/>
    <w:rsid w:val="68B93D81"/>
    <w:rsid w:val="68BC7885"/>
    <w:rsid w:val="68D1337E"/>
    <w:rsid w:val="68D20407"/>
    <w:rsid w:val="68DD74D8"/>
    <w:rsid w:val="68E3352F"/>
    <w:rsid w:val="68E65278"/>
    <w:rsid w:val="68EC04DE"/>
    <w:rsid w:val="68F20AA9"/>
    <w:rsid w:val="68FC7FC0"/>
    <w:rsid w:val="69022832"/>
    <w:rsid w:val="69093CAF"/>
    <w:rsid w:val="69097784"/>
    <w:rsid w:val="690B7520"/>
    <w:rsid w:val="691200AE"/>
    <w:rsid w:val="69140A20"/>
    <w:rsid w:val="69152147"/>
    <w:rsid w:val="69285AA8"/>
    <w:rsid w:val="6931256A"/>
    <w:rsid w:val="69317031"/>
    <w:rsid w:val="69466329"/>
    <w:rsid w:val="69564B94"/>
    <w:rsid w:val="695A58A7"/>
    <w:rsid w:val="695F613F"/>
    <w:rsid w:val="69601EB7"/>
    <w:rsid w:val="69647D29"/>
    <w:rsid w:val="6977720C"/>
    <w:rsid w:val="697E40EB"/>
    <w:rsid w:val="697E74B0"/>
    <w:rsid w:val="6992357A"/>
    <w:rsid w:val="69AB1271"/>
    <w:rsid w:val="69AD77A9"/>
    <w:rsid w:val="69AF21EC"/>
    <w:rsid w:val="69B875FD"/>
    <w:rsid w:val="69B96038"/>
    <w:rsid w:val="69C76718"/>
    <w:rsid w:val="69C81164"/>
    <w:rsid w:val="69CF00C0"/>
    <w:rsid w:val="69D32689"/>
    <w:rsid w:val="69D85016"/>
    <w:rsid w:val="69DA61FE"/>
    <w:rsid w:val="69DC02CC"/>
    <w:rsid w:val="69E67C99"/>
    <w:rsid w:val="69FD5302"/>
    <w:rsid w:val="6A0456C2"/>
    <w:rsid w:val="6A0A4204"/>
    <w:rsid w:val="6A0A518E"/>
    <w:rsid w:val="6A0B1654"/>
    <w:rsid w:val="6A1F58CE"/>
    <w:rsid w:val="6A220495"/>
    <w:rsid w:val="6A2C3B47"/>
    <w:rsid w:val="6A305C56"/>
    <w:rsid w:val="6A410D55"/>
    <w:rsid w:val="6A441179"/>
    <w:rsid w:val="6A476FE2"/>
    <w:rsid w:val="6A497118"/>
    <w:rsid w:val="6A5318E5"/>
    <w:rsid w:val="6A6D40BC"/>
    <w:rsid w:val="6A6D5380"/>
    <w:rsid w:val="6A7259FE"/>
    <w:rsid w:val="6A817C93"/>
    <w:rsid w:val="6A83685F"/>
    <w:rsid w:val="6A871F0C"/>
    <w:rsid w:val="6A897C0D"/>
    <w:rsid w:val="6A8D10DF"/>
    <w:rsid w:val="6A90546D"/>
    <w:rsid w:val="6A971908"/>
    <w:rsid w:val="6AA320BF"/>
    <w:rsid w:val="6AB5211E"/>
    <w:rsid w:val="6ABF0E6A"/>
    <w:rsid w:val="6ACD0E86"/>
    <w:rsid w:val="6AD00976"/>
    <w:rsid w:val="6AD95A7D"/>
    <w:rsid w:val="6AD97F5A"/>
    <w:rsid w:val="6ADE12E5"/>
    <w:rsid w:val="6ADF06DE"/>
    <w:rsid w:val="6AF42FD3"/>
    <w:rsid w:val="6AFA59F3"/>
    <w:rsid w:val="6AFF0D97"/>
    <w:rsid w:val="6B05038A"/>
    <w:rsid w:val="6B176BC8"/>
    <w:rsid w:val="6B2B66DF"/>
    <w:rsid w:val="6B6C069F"/>
    <w:rsid w:val="6B6D4417"/>
    <w:rsid w:val="6B716202"/>
    <w:rsid w:val="6B741C4A"/>
    <w:rsid w:val="6B753F21"/>
    <w:rsid w:val="6B776695"/>
    <w:rsid w:val="6B782F1E"/>
    <w:rsid w:val="6B7925B5"/>
    <w:rsid w:val="6B8829BB"/>
    <w:rsid w:val="6B89009E"/>
    <w:rsid w:val="6B8A0EE1"/>
    <w:rsid w:val="6B8B51C2"/>
    <w:rsid w:val="6B9A59AF"/>
    <w:rsid w:val="6BA076F0"/>
    <w:rsid w:val="6BA716CC"/>
    <w:rsid w:val="6BAC4F3F"/>
    <w:rsid w:val="6BAF7BD0"/>
    <w:rsid w:val="6BC3763E"/>
    <w:rsid w:val="6BC568DE"/>
    <w:rsid w:val="6BC8789F"/>
    <w:rsid w:val="6BCA00F3"/>
    <w:rsid w:val="6BD44428"/>
    <w:rsid w:val="6BDA756C"/>
    <w:rsid w:val="6BDC755C"/>
    <w:rsid w:val="6BDD4FB6"/>
    <w:rsid w:val="6BEB340B"/>
    <w:rsid w:val="6BF47F19"/>
    <w:rsid w:val="6BF510A4"/>
    <w:rsid w:val="6BFE0F82"/>
    <w:rsid w:val="6BFF36AF"/>
    <w:rsid w:val="6C0343D2"/>
    <w:rsid w:val="6C144674"/>
    <w:rsid w:val="6C161086"/>
    <w:rsid w:val="6C2E38EE"/>
    <w:rsid w:val="6C335661"/>
    <w:rsid w:val="6C3811AE"/>
    <w:rsid w:val="6C45693C"/>
    <w:rsid w:val="6C4873D4"/>
    <w:rsid w:val="6C4E4249"/>
    <w:rsid w:val="6C5164C2"/>
    <w:rsid w:val="6C576A17"/>
    <w:rsid w:val="6C5C7421"/>
    <w:rsid w:val="6C602F3C"/>
    <w:rsid w:val="6C647BD2"/>
    <w:rsid w:val="6C671C24"/>
    <w:rsid w:val="6C774EA5"/>
    <w:rsid w:val="6C77611C"/>
    <w:rsid w:val="6C7D1340"/>
    <w:rsid w:val="6C8A7F22"/>
    <w:rsid w:val="6C8E2466"/>
    <w:rsid w:val="6C900289"/>
    <w:rsid w:val="6C973107"/>
    <w:rsid w:val="6C9D26A9"/>
    <w:rsid w:val="6CAD5413"/>
    <w:rsid w:val="6CB561E6"/>
    <w:rsid w:val="6CC02E2E"/>
    <w:rsid w:val="6CC83FFB"/>
    <w:rsid w:val="6CD04B41"/>
    <w:rsid w:val="6CD96E67"/>
    <w:rsid w:val="6CDD1263"/>
    <w:rsid w:val="6CDD463E"/>
    <w:rsid w:val="6CE27AF9"/>
    <w:rsid w:val="6CE30221"/>
    <w:rsid w:val="6CF50B68"/>
    <w:rsid w:val="6CF511CB"/>
    <w:rsid w:val="6CF83B19"/>
    <w:rsid w:val="6CFE7A1D"/>
    <w:rsid w:val="6D001895"/>
    <w:rsid w:val="6D013069"/>
    <w:rsid w:val="6D035033"/>
    <w:rsid w:val="6D0A2431"/>
    <w:rsid w:val="6D13356D"/>
    <w:rsid w:val="6D172F05"/>
    <w:rsid w:val="6D1B4843"/>
    <w:rsid w:val="6D1E383F"/>
    <w:rsid w:val="6D233B8B"/>
    <w:rsid w:val="6D242CB5"/>
    <w:rsid w:val="6D324CAD"/>
    <w:rsid w:val="6D327C15"/>
    <w:rsid w:val="6D347EA9"/>
    <w:rsid w:val="6D38376D"/>
    <w:rsid w:val="6D396CA7"/>
    <w:rsid w:val="6D3A1767"/>
    <w:rsid w:val="6D3B587B"/>
    <w:rsid w:val="6D3D7F2F"/>
    <w:rsid w:val="6D594AFC"/>
    <w:rsid w:val="6D64766A"/>
    <w:rsid w:val="6D696D90"/>
    <w:rsid w:val="6D6A6E60"/>
    <w:rsid w:val="6D6C2BD8"/>
    <w:rsid w:val="6D8D2B4F"/>
    <w:rsid w:val="6D940381"/>
    <w:rsid w:val="6D986AF3"/>
    <w:rsid w:val="6D994C12"/>
    <w:rsid w:val="6DAB236E"/>
    <w:rsid w:val="6DB60733"/>
    <w:rsid w:val="6DBB120B"/>
    <w:rsid w:val="6DBE1A43"/>
    <w:rsid w:val="6DCB287A"/>
    <w:rsid w:val="6DCF476F"/>
    <w:rsid w:val="6DD2377C"/>
    <w:rsid w:val="6DDB1B0C"/>
    <w:rsid w:val="6DE309C1"/>
    <w:rsid w:val="6DF04651"/>
    <w:rsid w:val="6DF825E5"/>
    <w:rsid w:val="6E010E59"/>
    <w:rsid w:val="6E0D3650"/>
    <w:rsid w:val="6E182D60"/>
    <w:rsid w:val="6E282CF9"/>
    <w:rsid w:val="6E2B2A93"/>
    <w:rsid w:val="6E2D2C94"/>
    <w:rsid w:val="6E461B04"/>
    <w:rsid w:val="6E582A2C"/>
    <w:rsid w:val="6E6011F9"/>
    <w:rsid w:val="6E645FA5"/>
    <w:rsid w:val="6E657628"/>
    <w:rsid w:val="6E6E1524"/>
    <w:rsid w:val="6E7961A9"/>
    <w:rsid w:val="6E7E2890"/>
    <w:rsid w:val="6E825693"/>
    <w:rsid w:val="6E881C94"/>
    <w:rsid w:val="6E9154B8"/>
    <w:rsid w:val="6E9270A8"/>
    <w:rsid w:val="6EA13BFA"/>
    <w:rsid w:val="6EAD794B"/>
    <w:rsid w:val="6EC15B86"/>
    <w:rsid w:val="6EC15FF9"/>
    <w:rsid w:val="6EC425A0"/>
    <w:rsid w:val="6EC543D7"/>
    <w:rsid w:val="6EC82F43"/>
    <w:rsid w:val="6EE54ACA"/>
    <w:rsid w:val="6EEF1D13"/>
    <w:rsid w:val="6EF9023E"/>
    <w:rsid w:val="6EFA4A61"/>
    <w:rsid w:val="6EFC4430"/>
    <w:rsid w:val="6EFF229C"/>
    <w:rsid w:val="6F045092"/>
    <w:rsid w:val="6F1928EC"/>
    <w:rsid w:val="6F1A0BE2"/>
    <w:rsid w:val="6F1A2251"/>
    <w:rsid w:val="6F1A6D0C"/>
    <w:rsid w:val="6F231DFF"/>
    <w:rsid w:val="6F2A675D"/>
    <w:rsid w:val="6F3B6D06"/>
    <w:rsid w:val="6F5C3578"/>
    <w:rsid w:val="6F63625D"/>
    <w:rsid w:val="6F6618A9"/>
    <w:rsid w:val="6F7F78D9"/>
    <w:rsid w:val="6F844DBC"/>
    <w:rsid w:val="6F8715EB"/>
    <w:rsid w:val="6F8725F7"/>
    <w:rsid w:val="6F8C1686"/>
    <w:rsid w:val="6FA65F39"/>
    <w:rsid w:val="6FAD579E"/>
    <w:rsid w:val="6FBD6232"/>
    <w:rsid w:val="6FC01F8F"/>
    <w:rsid w:val="6FC514E5"/>
    <w:rsid w:val="6FCF73F6"/>
    <w:rsid w:val="6FDC1942"/>
    <w:rsid w:val="6FE06C43"/>
    <w:rsid w:val="6FE20202"/>
    <w:rsid w:val="6FEC283D"/>
    <w:rsid w:val="6FF43359"/>
    <w:rsid w:val="6FF9096F"/>
    <w:rsid w:val="6FF93153"/>
    <w:rsid w:val="6FFA2C08"/>
    <w:rsid w:val="700500E3"/>
    <w:rsid w:val="700C21C5"/>
    <w:rsid w:val="70246D82"/>
    <w:rsid w:val="702A275D"/>
    <w:rsid w:val="702C748F"/>
    <w:rsid w:val="70382C39"/>
    <w:rsid w:val="703D65DA"/>
    <w:rsid w:val="703F08EA"/>
    <w:rsid w:val="703F5BF3"/>
    <w:rsid w:val="704551BF"/>
    <w:rsid w:val="70455963"/>
    <w:rsid w:val="70497201"/>
    <w:rsid w:val="704C260E"/>
    <w:rsid w:val="70543CE2"/>
    <w:rsid w:val="70561F0A"/>
    <w:rsid w:val="705E5D7E"/>
    <w:rsid w:val="705F4C76"/>
    <w:rsid w:val="706458F5"/>
    <w:rsid w:val="707675BB"/>
    <w:rsid w:val="708A2768"/>
    <w:rsid w:val="709D2DEC"/>
    <w:rsid w:val="709F20B3"/>
    <w:rsid w:val="70A01767"/>
    <w:rsid w:val="70A15996"/>
    <w:rsid w:val="70A55376"/>
    <w:rsid w:val="70AA46DF"/>
    <w:rsid w:val="70AC7790"/>
    <w:rsid w:val="70B800B5"/>
    <w:rsid w:val="70B82FD3"/>
    <w:rsid w:val="70B95679"/>
    <w:rsid w:val="70C224AB"/>
    <w:rsid w:val="70C432B4"/>
    <w:rsid w:val="70CA591E"/>
    <w:rsid w:val="70CC28E1"/>
    <w:rsid w:val="70CF4244"/>
    <w:rsid w:val="70D676F5"/>
    <w:rsid w:val="70DF7ED0"/>
    <w:rsid w:val="70EC65A4"/>
    <w:rsid w:val="70EE1B56"/>
    <w:rsid w:val="70F4004C"/>
    <w:rsid w:val="70F82D59"/>
    <w:rsid w:val="710515F9"/>
    <w:rsid w:val="710D5505"/>
    <w:rsid w:val="711606F7"/>
    <w:rsid w:val="711D243B"/>
    <w:rsid w:val="71275730"/>
    <w:rsid w:val="713043DC"/>
    <w:rsid w:val="7136359B"/>
    <w:rsid w:val="713C0B14"/>
    <w:rsid w:val="714960E5"/>
    <w:rsid w:val="714F1722"/>
    <w:rsid w:val="716144FC"/>
    <w:rsid w:val="71707E34"/>
    <w:rsid w:val="717179D7"/>
    <w:rsid w:val="7175261E"/>
    <w:rsid w:val="7175696F"/>
    <w:rsid w:val="7198256C"/>
    <w:rsid w:val="719C7B18"/>
    <w:rsid w:val="719E7939"/>
    <w:rsid w:val="719F49F9"/>
    <w:rsid w:val="71B95573"/>
    <w:rsid w:val="71BB5741"/>
    <w:rsid w:val="71C30E32"/>
    <w:rsid w:val="71C81EF7"/>
    <w:rsid w:val="71CE7B26"/>
    <w:rsid w:val="71D80AB5"/>
    <w:rsid w:val="71E0131C"/>
    <w:rsid w:val="71E02D3A"/>
    <w:rsid w:val="71E87E16"/>
    <w:rsid w:val="71EB7849"/>
    <w:rsid w:val="71EC1C07"/>
    <w:rsid w:val="71F24FB3"/>
    <w:rsid w:val="71F52906"/>
    <w:rsid w:val="720158B9"/>
    <w:rsid w:val="720C498A"/>
    <w:rsid w:val="720D1F2F"/>
    <w:rsid w:val="720E7528"/>
    <w:rsid w:val="72217E8B"/>
    <w:rsid w:val="72256327"/>
    <w:rsid w:val="724265FE"/>
    <w:rsid w:val="724B2369"/>
    <w:rsid w:val="724C122A"/>
    <w:rsid w:val="726C71D7"/>
    <w:rsid w:val="726D6FD7"/>
    <w:rsid w:val="72712A3F"/>
    <w:rsid w:val="727D4077"/>
    <w:rsid w:val="727E121A"/>
    <w:rsid w:val="72863AA7"/>
    <w:rsid w:val="728F7ACD"/>
    <w:rsid w:val="72943159"/>
    <w:rsid w:val="72953AF1"/>
    <w:rsid w:val="729B6C0B"/>
    <w:rsid w:val="72A44BC2"/>
    <w:rsid w:val="72AC0607"/>
    <w:rsid w:val="72AD7075"/>
    <w:rsid w:val="72B20521"/>
    <w:rsid w:val="72B80B69"/>
    <w:rsid w:val="72C4162D"/>
    <w:rsid w:val="72CC5EC7"/>
    <w:rsid w:val="72CE7E91"/>
    <w:rsid w:val="72DC7380"/>
    <w:rsid w:val="72DE30C9"/>
    <w:rsid w:val="72DE3FCB"/>
    <w:rsid w:val="72E328D4"/>
    <w:rsid w:val="72E43F2E"/>
    <w:rsid w:val="73150018"/>
    <w:rsid w:val="731A4616"/>
    <w:rsid w:val="731F472C"/>
    <w:rsid w:val="73217FC1"/>
    <w:rsid w:val="73225980"/>
    <w:rsid w:val="733F2B3D"/>
    <w:rsid w:val="73493989"/>
    <w:rsid w:val="734B1B9C"/>
    <w:rsid w:val="734C1455"/>
    <w:rsid w:val="735E1215"/>
    <w:rsid w:val="73691C33"/>
    <w:rsid w:val="7373536B"/>
    <w:rsid w:val="737522CC"/>
    <w:rsid w:val="73770563"/>
    <w:rsid w:val="7379604F"/>
    <w:rsid w:val="737A1DC7"/>
    <w:rsid w:val="737C342A"/>
    <w:rsid w:val="737D37CC"/>
    <w:rsid w:val="738B6531"/>
    <w:rsid w:val="738C4998"/>
    <w:rsid w:val="73944C37"/>
    <w:rsid w:val="739E7864"/>
    <w:rsid w:val="73A24FAD"/>
    <w:rsid w:val="73AA47FB"/>
    <w:rsid w:val="73AD7669"/>
    <w:rsid w:val="73B04BCD"/>
    <w:rsid w:val="73B65D64"/>
    <w:rsid w:val="73BC476F"/>
    <w:rsid w:val="73D14BBF"/>
    <w:rsid w:val="73D36370"/>
    <w:rsid w:val="73E221DF"/>
    <w:rsid w:val="73E26FB6"/>
    <w:rsid w:val="73E444BF"/>
    <w:rsid w:val="73EC4687"/>
    <w:rsid w:val="73F932F6"/>
    <w:rsid w:val="73FC27DC"/>
    <w:rsid w:val="73FD0584"/>
    <w:rsid w:val="740A314B"/>
    <w:rsid w:val="74126BC0"/>
    <w:rsid w:val="74150779"/>
    <w:rsid w:val="7419513C"/>
    <w:rsid w:val="7420296E"/>
    <w:rsid w:val="7423039A"/>
    <w:rsid w:val="74237D69"/>
    <w:rsid w:val="74273790"/>
    <w:rsid w:val="742B50E7"/>
    <w:rsid w:val="7434641A"/>
    <w:rsid w:val="743B1556"/>
    <w:rsid w:val="744148F7"/>
    <w:rsid w:val="74432E49"/>
    <w:rsid w:val="744732F4"/>
    <w:rsid w:val="744A3547"/>
    <w:rsid w:val="744D309E"/>
    <w:rsid w:val="744D6CEA"/>
    <w:rsid w:val="744F6BF8"/>
    <w:rsid w:val="745A5E80"/>
    <w:rsid w:val="745C1017"/>
    <w:rsid w:val="745C2583"/>
    <w:rsid w:val="746022ED"/>
    <w:rsid w:val="747B47C1"/>
    <w:rsid w:val="747B6FB9"/>
    <w:rsid w:val="748969B2"/>
    <w:rsid w:val="748E5B2A"/>
    <w:rsid w:val="749D5FFC"/>
    <w:rsid w:val="74A76C06"/>
    <w:rsid w:val="74A776A7"/>
    <w:rsid w:val="74A8311A"/>
    <w:rsid w:val="74B55A7D"/>
    <w:rsid w:val="74C11875"/>
    <w:rsid w:val="74C177D1"/>
    <w:rsid w:val="74CC659F"/>
    <w:rsid w:val="74CD1DBC"/>
    <w:rsid w:val="74D329FB"/>
    <w:rsid w:val="74D57736"/>
    <w:rsid w:val="74D76582"/>
    <w:rsid w:val="74E03EAC"/>
    <w:rsid w:val="74E30911"/>
    <w:rsid w:val="74E41769"/>
    <w:rsid w:val="74FD6AF9"/>
    <w:rsid w:val="7505436A"/>
    <w:rsid w:val="750A2CD7"/>
    <w:rsid w:val="750C6A6D"/>
    <w:rsid w:val="7514582F"/>
    <w:rsid w:val="75207767"/>
    <w:rsid w:val="75383CE8"/>
    <w:rsid w:val="75404290"/>
    <w:rsid w:val="75497CA3"/>
    <w:rsid w:val="754B359F"/>
    <w:rsid w:val="75514745"/>
    <w:rsid w:val="755334CE"/>
    <w:rsid w:val="755976A1"/>
    <w:rsid w:val="755D72AA"/>
    <w:rsid w:val="756C77A6"/>
    <w:rsid w:val="75882579"/>
    <w:rsid w:val="758B7BC5"/>
    <w:rsid w:val="75971833"/>
    <w:rsid w:val="759B4D4E"/>
    <w:rsid w:val="759E36E7"/>
    <w:rsid w:val="75A601B0"/>
    <w:rsid w:val="75A90395"/>
    <w:rsid w:val="75B27CA5"/>
    <w:rsid w:val="75C24F30"/>
    <w:rsid w:val="75C42A34"/>
    <w:rsid w:val="75C97A4F"/>
    <w:rsid w:val="75CA29A8"/>
    <w:rsid w:val="75CA6FC2"/>
    <w:rsid w:val="75D0102D"/>
    <w:rsid w:val="75D72FE8"/>
    <w:rsid w:val="75D9071B"/>
    <w:rsid w:val="75DA0B91"/>
    <w:rsid w:val="75DA6B4D"/>
    <w:rsid w:val="75DD11C7"/>
    <w:rsid w:val="75E64749"/>
    <w:rsid w:val="75EB48B6"/>
    <w:rsid w:val="75F062A3"/>
    <w:rsid w:val="75F158D8"/>
    <w:rsid w:val="75F45E61"/>
    <w:rsid w:val="75F60993"/>
    <w:rsid w:val="75FE1C7F"/>
    <w:rsid w:val="760043B5"/>
    <w:rsid w:val="76041917"/>
    <w:rsid w:val="76044DBC"/>
    <w:rsid w:val="7608238C"/>
    <w:rsid w:val="76094850"/>
    <w:rsid w:val="76095B3C"/>
    <w:rsid w:val="76096254"/>
    <w:rsid w:val="760C6BF7"/>
    <w:rsid w:val="762142B8"/>
    <w:rsid w:val="762A6911"/>
    <w:rsid w:val="762A6F77"/>
    <w:rsid w:val="762B7BC5"/>
    <w:rsid w:val="762E7C4C"/>
    <w:rsid w:val="7634625D"/>
    <w:rsid w:val="764A13AC"/>
    <w:rsid w:val="76504B2A"/>
    <w:rsid w:val="76515480"/>
    <w:rsid w:val="76544B51"/>
    <w:rsid w:val="76601709"/>
    <w:rsid w:val="76742690"/>
    <w:rsid w:val="767D65DB"/>
    <w:rsid w:val="767D7DFF"/>
    <w:rsid w:val="76830CCE"/>
    <w:rsid w:val="768D6682"/>
    <w:rsid w:val="7698178A"/>
    <w:rsid w:val="76982C90"/>
    <w:rsid w:val="769F2DDA"/>
    <w:rsid w:val="76A03E90"/>
    <w:rsid w:val="76CB270C"/>
    <w:rsid w:val="76D16297"/>
    <w:rsid w:val="76DD67D3"/>
    <w:rsid w:val="76E00191"/>
    <w:rsid w:val="76E30E67"/>
    <w:rsid w:val="76E761E8"/>
    <w:rsid w:val="76EA2DC0"/>
    <w:rsid w:val="76F529B8"/>
    <w:rsid w:val="76FC03FE"/>
    <w:rsid w:val="77130569"/>
    <w:rsid w:val="771B4FFF"/>
    <w:rsid w:val="772E7A2D"/>
    <w:rsid w:val="773310E3"/>
    <w:rsid w:val="773B71ED"/>
    <w:rsid w:val="774424D0"/>
    <w:rsid w:val="77511B2F"/>
    <w:rsid w:val="776B358A"/>
    <w:rsid w:val="776B5480"/>
    <w:rsid w:val="77795FA5"/>
    <w:rsid w:val="77880CD0"/>
    <w:rsid w:val="77885880"/>
    <w:rsid w:val="779043E2"/>
    <w:rsid w:val="779150B9"/>
    <w:rsid w:val="779D7E32"/>
    <w:rsid w:val="779D7FD8"/>
    <w:rsid w:val="77A67511"/>
    <w:rsid w:val="77AA6F77"/>
    <w:rsid w:val="77B203F2"/>
    <w:rsid w:val="77B34168"/>
    <w:rsid w:val="77B853CE"/>
    <w:rsid w:val="77BE1E71"/>
    <w:rsid w:val="77C16217"/>
    <w:rsid w:val="77C36C3C"/>
    <w:rsid w:val="77C43301"/>
    <w:rsid w:val="77CB0788"/>
    <w:rsid w:val="77CB499F"/>
    <w:rsid w:val="77DA3B38"/>
    <w:rsid w:val="77DC26B1"/>
    <w:rsid w:val="77DF0EAD"/>
    <w:rsid w:val="77FB21B6"/>
    <w:rsid w:val="77FF444C"/>
    <w:rsid w:val="78054355"/>
    <w:rsid w:val="78102276"/>
    <w:rsid w:val="78164B46"/>
    <w:rsid w:val="78250553"/>
    <w:rsid w:val="782642CC"/>
    <w:rsid w:val="78280044"/>
    <w:rsid w:val="78395DAD"/>
    <w:rsid w:val="784A5EBD"/>
    <w:rsid w:val="784D3606"/>
    <w:rsid w:val="784D556E"/>
    <w:rsid w:val="784E76DC"/>
    <w:rsid w:val="78571967"/>
    <w:rsid w:val="786A010A"/>
    <w:rsid w:val="787C42DD"/>
    <w:rsid w:val="788A5451"/>
    <w:rsid w:val="789418F0"/>
    <w:rsid w:val="789D4FA3"/>
    <w:rsid w:val="78A504C8"/>
    <w:rsid w:val="78AC0041"/>
    <w:rsid w:val="78B11DE7"/>
    <w:rsid w:val="78B13B0E"/>
    <w:rsid w:val="78B8775D"/>
    <w:rsid w:val="78C05B25"/>
    <w:rsid w:val="78C84750"/>
    <w:rsid w:val="78D855C6"/>
    <w:rsid w:val="78DA2088"/>
    <w:rsid w:val="78DF77D5"/>
    <w:rsid w:val="78E656E7"/>
    <w:rsid w:val="78E75646"/>
    <w:rsid w:val="78E901C3"/>
    <w:rsid w:val="78EB5EFD"/>
    <w:rsid w:val="78F8672E"/>
    <w:rsid w:val="79062161"/>
    <w:rsid w:val="79162D4D"/>
    <w:rsid w:val="791E26B4"/>
    <w:rsid w:val="792D38DD"/>
    <w:rsid w:val="793C27D0"/>
    <w:rsid w:val="79456D2F"/>
    <w:rsid w:val="79481F08"/>
    <w:rsid w:val="79496D88"/>
    <w:rsid w:val="794C1DA6"/>
    <w:rsid w:val="795874B4"/>
    <w:rsid w:val="7961710C"/>
    <w:rsid w:val="7962039C"/>
    <w:rsid w:val="796226B7"/>
    <w:rsid w:val="7962731E"/>
    <w:rsid w:val="79780B57"/>
    <w:rsid w:val="798736BF"/>
    <w:rsid w:val="798813F5"/>
    <w:rsid w:val="79974114"/>
    <w:rsid w:val="799C5797"/>
    <w:rsid w:val="79A156EC"/>
    <w:rsid w:val="79A8041A"/>
    <w:rsid w:val="79B44348"/>
    <w:rsid w:val="79C32FEF"/>
    <w:rsid w:val="79D30053"/>
    <w:rsid w:val="79D42231"/>
    <w:rsid w:val="79DE7C8F"/>
    <w:rsid w:val="79E52441"/>
    <w:rsid w:val="7A2013FC"/>
    <w:rsid w:val="7A215327"/>
    <w:rsid w:val="7A24075A"/>
    <w:rsid w:val="7A293534"/>
    <w:rsid w:val="7A3643BA"/>
    <w:rsid w:val="7A380C3F"/>
    <w:rsid w:val="7A4C0DA0"/>
    <w:rsid w:val="7A574C10"/>
    <w:rsid w:val="7A576A80"/>
    <w:rsid w:val="7A5C7ABE"/>
    <w:rsid w:val="7A60302C"/>
    <w:rsid w:val="7A6840CE"/>
    <w:rsid w:val="7A7E219D"/>
    <w:rsid w:val="7A7F4BEA"/>
    <w:rsid w:val="7A865DC3"/>
    <w:rsid w:val="7A894151"/>
    <w:rsid w:val="7A8E51C8"/>
    <w:rsid w:val="7A904F95"/>
    <w:rsid w:val="7A97500D"/>
    <w:rsid w:val="7A975B0F"/>
    <w:rsid w:val="7A9C36A2"/>
    <w:rsid w:val="7AA615A6"/>
    <w:rsid w:val="7AA9318C"/>
    <w:rsid w:val="7AB76C4F"/>
    <w:rsid w:val="7ABD6E5B"/>
    <w:rsid w:val="7AC06311"/>
    <w:rsid w:val="7AC330B7"/>
    <w:rsid w:val="7AC91B64"/>
    <w:rsid w:val="7ACC2256"/>
    <w:rsid w:val="7ACE7B72"/>
    <w:rsid w:val="7AD54BB5"/>
    <w:rsid w:val="7ADB19DB"/>
    <w:rsid w:val="7ADC193F"/>
    <w:rsid w:val="7AE832A5"/>
    <w:rsid w:val="7AF67F85"/>
    <w:rsid w:val="7AFB1A3F"/>
    <w:rsid w:val="7B036EB4"/>
    <w:rsid w:val="7B095ECF"/>
    <w:rsid w:val="7B0D3C52"/>
    <w:rsid w:val="7B12491B"/>
    <w:rsid w:val="7B1810CF"/>
    <w:rsid w:val="7B2C61C2"/>
    <w:rsid w:val="7B315461"/>
    <w:rsid w:val="7B390BF2"/>
    <w:rsid w:val="7B4162C7"/>
    <w:rsid w:val="7B480D0D"/>
    <w:rsid w:val="7B4C7AD1"/>
    <w:rsid w:val="7B534E2D"/>
    <w:rsid w:val="7B591ED1"/>
    <w:rsid w:val="7B6302AC"/>
    <w:rsid w:val="7B683189"/>
    <w:rsid w:val="7B6E66F2"/>
    <w:rsid w:val="7B762213"/>
    <w:rsid w:val="7B785367"/>
    <w:rsid w:val="7B7A2964"/>
    <w:rsid w:val="7B8E4662"/>
    <w:rsid w:val="7B98535A"/>
    <w:rsid w:val="7BA83698"/>
    <w:rsid w:val="7BA93249"/>
    <w:rsid w:val="7BAE48FC"/>
    <w:rsid w:val="7BAF5F2E"/>
    <w:rsid w:val="7BB83DF8"/>
    <w:rsid w:val="7BBA2E35"/>
    <w:rsid w:val="7BC45C03"/>
    <w:rsid w:val="7BC45DE2"/>
    <w:rsid w:val="7BC76B4E"/>
    <w:rsid w:val="7BC9569A"/>
    <w:rsid w:val="7BCC163B"/>
    <w:rsid w:val="7BD81D81"/>
    <w:rsid w:val="7BD965EC"/>
    <w:rsid w:val="7BDF360D"/>
    <w:rsid w:val="7BE66796"/>
    <w:rsid w:val="7BFF4559"/>
    <w:rsid w:val="7C0827FE"/>
    <w:rsid w:val="7C1A756B"/>
    <w:rsid w:val="7C1B1028"/>
    <w:rsid w:val="7C226546"/>
    <w:rsid w:val="7C266245"/>
    <w:rsid w:val="7C27745C"/>
    <w:rsid w:val="7C2B2034"/>
    <w:rsid w:val="7C3043FE"/>
    <w:rsid w:val="7C36614C"/>
    <w:rsid w:val="7C366302"/>
    <w:rsid w:val="7C455132"/>
    <w:rsid w:val="7C4E1254"/>
    <w:rsid w:val="7C4F607B"/>
    <w:rsid w:val="7C54745D"/>
    <w:rsid w:val="7C556A53"/>
    <w:rsid w:val="7C583982"/>
    <w:rsid w:val="7C701FB9"/>
    <w:rsid w:val="7C7D0B32"/>
    <w:rsid w:val="7C804B0D"/>
    <w:rsid w:val="7C833A9B"/>
    <w:rsid w:val="7C885555"/>
    <w:rsid w:val="7C8C5EFB"/>
    <w:rsid w:val="7CA31AB6"/>
    <w:rsid w:val="7CA4518D"/>
    <w:rsid w:val="7CB41BA4"/>
    <w:rsid w:val="7CBE2D25"/>
    <w:rsid w:val="7CBE5D37"/>
    <w:rsid w:val="7CC0084B"/>
    <w:rsid w:val="7CC61BD9"/>
    <w:rsid w:val="7CC70B1A"/>
    <w:rsid w:val="7CCB376D"/>
    <w:rsid w:val="7CCC2D03"/>
    <w:rsid w:val="7CD17149"/>
    <w:rsid w:val="7CD730F8"/>
    <w:rsid w:val="7CEA32F9"/>
    <w:rsid w:val="7CEF7B71"/>
    <w:rsid w:val="7CF659DD"/>
    <w:rsid w:val="7CFB094E"/>
    <w:rsid w:val="7D027F2A"/>
    <w:rsid w:val="7D061726"/>
    <w:rsid w:val="7D0A1A32"/>
    <w:rsid w:val="7D0C1069"/>
    <w:rsid w:val="7D0E4B5B"/>
    <w:rsid w:val="7D1868D9"/>
    <w:rsid w:val="7D191B92"/>
    <w:rsid w:val="7D1B6EB8"/>
    <w:rsid w:val="7D33504E"/>
    <w:rsid w:val="7D362C54"/>
    <w:rsid w:val="7D363C81"/>
    <w:rsid w:val="7D3C08AA"/>
    <w:rsid w:val="7D3D410B"/>
    <w:rsid w:val="7D4928DE"/>
    <w:rsid w:val="7D494CE4"/>
    <w:rsid w:val="7D4C641E"/>
    <w:rsid w:val="7D5C493C"/>
    <w:rsid w:val="7D8605C7"/>
    <w:rsid w:val="7D8F6B8C"/>
    <w:rsid w:val="7DAE540F"/>
    <w:rsid w:val="7DB07FBB"/>
    <w:rsid w:val="7DB520AD"/>
    <w:rsid w:val="7DD535C7"/>
    <w:rsid w:val="7DD80B95"/>
    <w:rsid w:val="7DDC0344"/>
    <w:rsid w:val="7DDD367E"/>
    <w:rsid w:val="7DE7105B"/>
    <w:rsid w:val="7DE75F71"/>
    <w:rsid w:val="7DEA41A0"/>
    <w:rsid w:val="7DF1781A"/>
    <w:rsid w:val="7DF5241B"/>
    <w:rsid w:val="7DF7247F"/>
    <w:rsid w:val="7E066731"/>
    <w:rsid w:val="7E0C5874"/>
    <w:rsid w:val="7E0D5730"/>
    <w:rsid w:val="7E153475"/>
    <w:rsid w:val="7E1C1F79"/>
    <w:rsid w:val="7E1F2DD5"/>
    <w:rsid w:val="7E2A39F6"/>
    <w:rsid w:val="7E3C6DB1"/>
    <w:rsid w:val="7E4313B6"/>
    <w:rsid w:val="7E480690"/>
    <w:rsid w:val="7E503E50"/>
    <w:rsid w:val="7E513527"/>
    <w:rsid w:val="7E6071B0"/>
    <w:rsid w:val="7E804FCB"/>
    <w:rsid w:val="7E8E42BF"/>
    <w:rsid w:val="7E90670A"/>
    <w:rsid w:val="7E9212CE"/>
    <w:rsid w:val="7E9552F4"/>
    <w:rsid w:val="7E971EEC"/>
    <w:rsid w:val="7E9842E4"/>
    <w:rsid w:val="7EA63A70"/>
    <w:rsid w:val="7EA6705B"/>
    <w:rsid w:val="7EA67F14"/>
    <w:rsid w:val="7ED44F77"/>
    <w:rsid w:val="7ED544B5"/>
    <w:rsid w:val="7EDB49B6"/>
    <w:rsid w:val="7EE01021"/>
    <w:rsid w:val="7EEF0F32"/>
    <w:rsid w:val="7EF249D0"/>
    <w:rsid w:val="7F0C3E44"/>
    <w:rsid w:val="7F0D0F48"/>
    <w:rsid w:val="7F110E3B"/>
    <w:rsid w:val="7F1629A4"/>
    <w:rsid w:val="7F1B5E8E"/>
    <w:rsid w:val="7F280929"/>
    <w:rsid w:val="7F2E4552"/>
    <w:rsid w:val="7F3022EC"/>
    <w:rsid w:val="7F3360A4"/>
    <w:rsid w:val="7F3950C2"/>
    <w:rsid w:val="7F3A08BE"/>
    <w:rsid w:val="7F3A609B"/>
    <w:rsid w:val="7F484886"/>
    <w:rsid w:val="7F490B8E"/>
    <w:rsid w:val="7F4E3073"/>
    <w:rsid w:val="7F5117A9"/>
    <w:rsid w:val="7F5E259D"/>
    <w:rsid w:val="7F6B5FB7"/>
    <w:rsid w:val="7F7119F3"/>
    <w:rsid w:val="7F853AB6"/>
    <w:rsid w:val="7F8D4C51"/>
    <w:rsid w:val="7F9D305D"/>
    <w:rsid w:val="7FA23687"/>
    <w:rsid w:val="7FA2692E"/>
    <w:rsid w:val="7FA534FA"/>
    <w:rsid w:val="7FA71F3A"/>
    <w:rsid w:val="7FBA3C77"/>
    <w:rsid w:val="7FC379A1"/>
    <w:rsid w:val="7FC638A9"/>
    <w:rsid w:val="7FCB1D09"/>
    <w:rsid w:val="7FDD0932"/>
    <w:rsid w:val="7FE15B6A"/>
    <w:rsid w:val="7FE84467"/>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2">
    <w:name w:val="heading 2"/>
    <w:basedOn w:val="1"/>
    <w:next w:val="1"/>
    <w:link w:val="32"/>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outlineLvl w:val="2"/>
    </w:pPr>
    <w:rPr>
      <w:rFonts w:hint="eastAsia"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6">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7">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8">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annotation text"/>
    <w:basedOn w:val="1"/>
    <w:link w:val="71"/>
    <w:qFormat/>
    <w:uiPriority w:val="0"/>
  </w:style>
  <w:style w:type="paragraph" w:styleId="11">
    <w:name w:val="Body Text"/>
    <w:basedOn w:val="1"/>
    <w:next w:val="1"/>
    <w:qFormat/>
    <w:uiPriority w:val="0"/>
    <w:pPr>
      <w:spacing w:after="120"/>
    </w:pPr>
    <w:rPr>
      <w:rFonts w:ascii="Times New Roman"/>
    </w:rPr>
  </w:style>
  <w:style w:type="paragraph" w:styleId="12">
    <w:name w:val="Body Text Indent"/>
    <w:basedOn w:val="1"/>
    <w:qFormat/>
    <w:uiPriority w:val="0"/>
    <w:pPr>
      <w:ind w:firstLine="538" w:firstLineChars="168"/>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sz w:val="21"/>
    </w:rPr>
  </w:style>
  <w:style w:type="paragraph" w:styleId="14">
    <w:name w:val="Balloon Text"/>
    <w:basedOn w:val="1"/>
    <w:link w:val="73"/>
    <w:qFormat/>
    <w:uiPriority w:val="0"/>
    <w:pPr>
      <w:spacing w:line="240" w:lineRule="auto"/>
    </w:pPr>
    <w:rPr>
      <w:sz w:val="18"/>
      <w:szCs w:val="18"/>
    </w:rPr>
  </w:style>
  <w:style w:type="paragraph" w:styleId="15">
    <w:name w:val="footer"/>
    <w:basedOn w:val="1"/>
    <w:link w:val="31"/>
    <w:qFormat/>
    <w:uiPriority w:val="0"/>
    <w:pPr>
      <w:spacing w:line="240" w:lineRule="auto"/>
    </w:pPr>
    <w:rPr>
      <w:sz w:val="18"/>
      <w:szCs w:val="18"/>
    </w:rPr>
  </w:style>
  <w:style w:type="paragraph" w:styleId="16">
    <w:name w:val="header"/>
    <w:basedOn w:val="1"/>
    <w:link w:val="30"/>
    <w:qFormat/>
    <w:uiPriority w:val="0"/>
    <w:pPr>
      <w:pBdr>
        <w:bottom w:val="single" w:color="auto" w:sz="6" w:space="1"/>
      </w:pBdr>
      <w:wordWrap w:val="0"/>
      <w:topLinePunct/>
      <w:spacing w:line="240" w:lineRule="auto"/>
      <w:jc w:val="center"/>
    </w:pPr>
    <w:rPr>
      <w:sz w:val="18"/>
      <w:szCs w:val="18"/>
    </w:rPr>
  </w:style>
  <w:style w:type="paragraph" w:styleId="17">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8">
    <w:name w:val="toc 6"/>
    <w:basedOn w:val="1"/>
    <w:next w:val="1"/>
    <w:qFormat/>
    <w:uiPriority w:val="0"/>
    <w:pPr>
      <w:ind w:left="2100"/>
    </w:pPr>
  </w:style>
  <w:style w:type="paragraph" w:styleId="19">
    <w:name w:val="toc 2"/>
    <w:basedOn w:val="1"/>
    <w:next w:val="1"/>
    <w:qFormat/>
    <w:uiPriority w:val="0"/>
    <w:pPr>
      <w:wordWrap w:val="0"/>
      <w:topLinePunct/>
      <w:spacing w:line="400" w:lineRule="exact"/>
      <w:ind w:left="420" w:leftChars="200"/>
    </w:pPr>
    <w:rPr>
      <w:sz w:val="21"/>
    </w:rPr>
  </w:style>
  <w:style w:type="paragraph" w:styleId="20">
    <w:name w:val="Normal (Web)"/>
    <w:basedOn w:val="1"/>
    <w:qFormat/>
    <w:uiPriority w:val="0"/>
    <w:pPr>
      <w:spacing w:beforeAutospacing="1" w:afterAutospacing="1"/>
    </w:pPr>
    <w:rPr>
      <w:rFonts w:cs="Times New Roman"/>
      <w:kern w:val="0"/>
    </w:rPr>
  </w:style>
  <w:style w:type="paragraph" w:styleId="21">
    <w:name w:val="Title"/>
    <w:basedOn w:val="1"/>
    <w:next w:val="1"/>
    <w:qFormat/>
    <w:uiPriority w:val="10"/>
    <w:pPr>
      <w:spacing w:before="240" w:after="60"/>
      <w:jc w:val="center"/>
    </w:pPr>
    <w:rPr>
      <w:rFonts w:ascii="Cambria" w:hAnsi="Cambria" w:eastAsia="方正小标宋简体" w:cs="Times New Roman"/>
      <w:bCs/>
      <w:sz w:val="36"/>
      <w:szCs w:val="32"/>
    </w:rPr>
  </w:style>
  <w:style w:type="paragraph" w:styleId="22">
    <w:name w:val="annotation subject"/>
    <w:basedOn w:val="10"/>
    <w:next w:val="10"/>
    <w:link w:val="72"/>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标题 5（有编号）（绿盟科技）"/>
    <w:basedOn w:val="1"/>
    <w:next w:val="29"/>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页眉 Char"/>
    <w:basedOn w:val="25"/>
    <w:link w:val="16"/>
    <w:qFormat/>
    <w:uiPriority w:val="0"/>
    <w:rPr>
      <w:rFonts w:ascii="宋体" w:hAnsi="宋体" w:eastAsia="宋体" w:cstheme="minorBidi"/>
      <w:kern w:val="2"/>
      <w:sz w:val="18"/>
      <w:szCs w:val="18"/>
    </w:rPr>
  </w:style>
  <w:style w:type="character" w:customStyle="1" w:styleId="31">
    <w:name w:val="页脚 Char"/>
    <w:basedOn w:val="25"/>
    <w:link w:val="15"/>
    <w:qFormat/>
    <w:uiPriority w:val="0"/>
    <w:rPr>
      <w:rFonts w:ascii="宋体" w:hAnsi="宋体" w:eastAsia="宋体" w:cstheme="minorBidi"/>
      <w:kern w:val="2"/>
      <w:sz w:val="18"/>
      <w:szCs w:val="18"/>
    </w:rPr>
  </w:style>
  <w:style w:type="character" w:customStyle="1" w:styleId="32">
    <w:name w:val="标题 2 Char"/>
    <w:basedOn w:val="25"/>
    <w:link w:val="2"/>
    <w:qFormat/>
    <w:uiPriority w:val="0"/>
    <w:rPr>
      <w:rFonts w:ascii="Arial" w:hAnsi="Arial" w:eastAsia="黑体"/>
      <w:b/>
      <w:sz w:val="28"/>
    </w:rPr>
  </w:style>
  <w:style w:type="paragraph" w:customStyle="1" w:styleId="33">
    <w:name w:val="05、“(一)”正文三级标题"/>
    <w:basedOn w:val="1"/>
    <w:link w:val="58"/>
    <w:qFormat/>
    <w:uiPriority w:val="0"/>
    <w:pPr>
      <w:numPr>
        <w:ilvl w:val="1"/>
        <w:numId w:val="1"/>
      </w:numPr>
      <w:wordWrap w:val="0"/>
      <w:topLinePunct/>
      <w:ind w:firstLine="803" w:firstLineChars="200"/>
    </w:pPr>
  </w:style>
  <w:style w:type="paragraph" w:customStyle="1" w:styleId="34">
    <w:name w:val="00、封面正文(与其他内容无关的格式)"/>
    <w:basedOn w:val="1"/>
    <w:qFormat/>
    <w:uiPriority w:val="0"/>
  </w:style>
  <w:style w:type="paragraph" w:customStyle="1" w:styleId="35">
    <w:name w:val="15、“一、”二级标题"/>
    <w:basedOn w:val="1"/>
    <w:qFormat/>
    <w:uiPriority w:val="0"/>
    <w:pPr>
      <w:numPr>
        <w:ilvl w:val="1"/>
        <w:numId w:val="3"/>
      </w:numPr>
      <w:wordWrap w:val="0"/>
      <w:topLinePunct/>
      <w:ind w:firstLine="803" w:firstLineChars="200"/>
      <w:outlineLvl w:val="1"/>
    </w:pPr>
    <w:rPr>
      <w:b/>
    </w:rPr>
  </w:style>
  <w:style w:type="paragraph" w:customStyle="1" w:styleId="36">
    <w:name w:val="06、“1.”正文四级标题"/>
    <w:basedOn w:val="1"/>
    <w:link w:val="60"/>
    <w:qFormat/>
    <w:uiPriority w:val="0"/>
    <w:pPr>
      <w:numPr>
        <w:ilvl w:val="2"/>
        <w:numId w:val="1"/>
      </w:numPr>
      <w:wordWrap w:val="0"/>
      <w:topLinePunct/>
      <w:ind w:firstLine="803" w:firstLineChars="200"/>
    </w:pPr>
    <w:rPr>
      <w:snapToGrid w:val="0"/>
    </w:rPr>
  </w:style>
  <w:style w:type="paragraph" w:customStyle="1" w:styleId="37">
    <w:name w:val="07、“1.1”正文五级标题"/>
    <w:basedOn w:val="1"/>
    <w:link w:val="52"/>
    <w:qFormat/>
    <w:uiPriority w:val="0"/>
    <w:pPr>
      <w:numPr>
        <w:ilvl w:val="3"/>
        <w:numId w:val="1"/>
      </w:numPr>
      <w:ind w:firstLine="803" w:firstLineChars="200"/>
    </w:pPr>
  </w:style>
  <w:style w:type="paragraph" w:customStyle="1" w:styleId="38">
    <w:name w:val="08、“(1)”正文六级标题"/>
    <w:basedOn w:val="1"/>
    <w:link w:val="61"/>
    <w:qFormat/>
    <w:uiPriority w:val="0"/>
    <w:pPr>
      <w:numPr>
        <w:ilvl w:val="4"/>
        <w:numId w:val="1"/>
      </w:numPr>
      <w:ind w:firstLine="803" w:firstLineChars="200"/>
    </w:pPr>
    <w:rPr>
      <w:snapToGrid w:val="0"/>
    </w:rPr>
  </w:style>
  <w:style w:type="paragraph" w:customStyle="1" w:styleId="39">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40">
    <w:name w:val="10、“1.1”表格内二级标题"/>
    <w:basedOn w:val="1"/>
    <w:link w:val="51"/>
    <w:qFormat/>
    <w:uiPriority w:val="0"/>
    <w:pPr>
      <w:numPr>
        <w:ilvl w:val="1"/>
        <w:numId w:val="4"/>
      </w:numPr>
      <w:wordWrap w:val="0"/>
      <w:topLinePunct/>
      <w:spacing w:line="360" w:lineRule="exact"/>
      <w:ind w:left="48" w:leftChars="20"/>
    </w:pPr>
    <w:rPr>
      <w:snapToGrid w:val="0"/>
      <w:sz w:val="21"/>
    </w:rPr>
  </w:style>
  <w:style w:type="paragraph" w:customStyle="1" w:styleId="41">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42">
    <w:name w:val="12、表格内左对齐正文"/>
    <w:basedOn w:val="1"/>
    <w:link w:val="62"/>
    <w:qFormat/>
    <w:uiPriority w:val="0"/>
    <w:pPr>
      <w:wordWrap w:val="0"/>
      <w:topLinePunct/>
      <w:spacing w:line="360" w:lineRule="exact"/>
      <w:ind w:left="48" w:leftChars="20"/>
    </w:pPr>
    <w:rPr>
      <w:snapToGrid w:val="0"/>
      <w:sz w:val="21"/>
    </w:rPr>
  </w:style>
  <w:style w:type="paragraph" w:customStyle="1" w:styleId="43">
    <w:name w:val="01、普通正文"/>
    <w:basedOn w:val="1"/>
    <w:link w:val="56"/>
    <w:qFormat/>
    <w:uiPriority w:val="0"/>
    <w:pPr>
      <w:wordWrap w:val="0"/>
      <w:topLinePunct/>
    </w:pPr>
    <w:rPr>
      <w:snapToGrid w:val="0"/>
    </w:rPr>
  </w:style>
  <w:style w:type="paragraph" w:customStyle="1" w:styleId="44">
    <w:name w:val="20、第五章“(一)”三级标题"/>
    <w:basedOn w:val="43"/>
    <w:link w:val="53"/>
    <w:qFormat/>
    <w:uiPriority w:val="0"/>
    <w:pPr>
      <w:pageBreakBefore/>
      <w:spacing w:before="50" w:beforeLines="50" w:after="50" w:afterLines="50"/>
      <w:jc w:val="center"/>
      <w:outlineLvl w:val="2"/>
    </w:pPr>
    <w:rPr>
      <w:b/>
      <w:sz w:val="28"/>
    </w:rPr>
  </w:style>
  <w:style w:type="paragraph" w:customStyle="1" w:styleId="45">
    <w:name w:val="13、表格内居中正文"/>
    <w:basedOn w:val="1"/>
    <w:qFormat/>
    <w:uiPriority w:val="0"/>
    <w:pPr>
      <w:wordWrap w:val="0"/>
      <w:topLinePunct/>
      <w:spacing w:line="360" w:lineRule="exact"/>
      <w:jc w:val="center"/>
    </w:pPr>
    <w:rPr>
      <w:sz w:val="21"/>
    </w:rPr>
  </w:style>
  <w:style w:type="paragraph" w:customStyle="1" w:styleId="46">
    <w:name w:val="02、首行缩进2字符正文"/>
    <w:basedOn w:val="1"/>
    <w:link w:val="55"/>
    <w:qFormat/>
    <w:uiPriority w:val="0"/>
    <w:pPr>
      <w:wordWrap w:val="0"/>
      <w:topLinePunct/>
      <w:ind w:firstLine="480" w:firstLineChars="200"/>
    </w:pPr>
  </w:style>
  <w:style w:type="paragraph" w:customStyle="1" w:styleId="47">
    <w:name w:val="03、“注：”正文(加粗，首行缩进2字符)"/>
    <w:basedOn w:val="43"/>
    <w:link w:val="57"/>
    <w:qFormat/>
    <w:uiPriority w:val="0"/>
    <w:pPr>
      <w:ind w:firstLine="480" w:firstLineChars="200"/>
    </w:pPr>
    <w:rPr>
      <w:b/>
    </w:rPr>
  </w:style>
  <w:style w:type="paragraph" w:customStyle="1" w:styleId="48">
    <w:name w:val="14、“第一章”一级标题"/>
    <w:basedOn w:val="43"/>
    <w:qFormat/>
    <w:uiPriority w:val="0"/>
    <w:pPr>
      <w:numPr>
        <w:ilvl w:val="0"/>
        <w:numId w:val="3"/>
      </w:numPr>
      <w:spacing w:before="50" w:beforeLines="50" w:after="50" w:afterLines="50" w:line="240" w:lineRule="auto"/>
      <w:jc w:val="center"/>
      <w:outlineLvl w:val="0"/>
    </w:pPr>
    <w:rPr>
      <w:b/>
      <w:sz w:val="36"/>
    </w:rPr>
  </w:style>
  <w:style w:type="paragraph" w:customStyle="1" w:styleId="49">
    <w:name w:val="16、“(一)”三级标题"/>
    <w:basedOn w:val="43"/>
    <w:link w:val="54"/>
    <w:qFormat/>
    <w:uiPriority w:val="0"/>
    <w:pPr>
      <w:numPr>
        <w:ilvl w:val="2"/>
        <w:numId w:val="3"/>
      </w:numPr>
      <w:ind w:firstLine="803" w:firstLineChars="200"/>
      <w:outlineLvl w:val="2"/>
    </w:pPr>
    <w:rPr>
      <w:b/>
    </w:rPr>
  </w:style>
  <w:style w:type="paragraph" w:customStyle="1" w:styleId="50">
    <w:name w:val="04“一、”正文二级标题"/>
    <w:basedOn w:val="43"/>
    <w:link w:val="59"/>
    <w:qFormat/>
    <w:uiPriority w:val="0"/>
    <w:pPr>
      <w:ind w:firstLine="803" w:firstLineChars="200"/>
    </w:pPr>
  </w:style>
  <w:style w:type="character" w:customStyle="1" w:styleId="51">
    <w:name w:val="10、“1.1”表格内二级标题 Char"/>
    <w:link w:val="40"/>
    <w:qFormat/>
    <w:uiPriority w:val="0"/>
    <w:rPr>
      <w:rFonts w:ascii="宋体" w:hAnsi="宋体" w:eastAsia="宋体"/>
      <w:snapToGrid w:val="0"/>
      <w:sz w:val="21"/>
    </w:rPr>
  </w:style>
  <w:style w:type="character" w:customStyle="1" w:styleId="52">
    <w:name w:val="07、“1.1”正文五级标题 Char"/>
    <w:link w:val="37"/>
    <w:qFormat/>
    <w:uiPriority w:val="0"/>
    <w:rPr>
      <w:rFonts w:ascii="宋体" w:hAnsi="宋体" w:eastAsia="宋体"/>
    </w:rPr>
  </w:style>
  <w:style w:type="character" w:customStyle="1" w:styleId="53">
    <w:name w:val="18、第三章“(一)”三级标题 Char"/>
    <w:link w:val="44"/>
    <w:qFormat/>
    <w:uiPriority w:val="0"/>
    <w:rPr>
      <w:rFonts w:ascii="宋体" w:hAnsi="宋体" w:eastAsia="宋体"/>
      <w:b/>
      <w:snapToGrid w:val="0"/>
      <w:kern w:val="2"/>
      <w:sz w:val="28"/>
      <w:szCs w:val="24"/>
    </w:rPr>
  </w:style>
  <w:style w:type="character" w:customStyle="1" w:styleId="54">
    <w:name w:val="16、“(一)”三级标题 Char"/>
    <w:link w:val="49"/>
    <w:qFormat/>
    <w:uiPriority w:val="0"/>
    <w:rPr>
      <w:rFonts w:ascii="宋体" w:hAnsi="宋体" w:eastAsia="宋体"/>
      <w:b/>
    </w:rPr>
  </w:style>
  <w:style w:type="character" w:customStyle="1" w:styleId="55">
    <w:name w:val="02、首行缩进2字符正文 Char"/>
    <w:link w:val="46"/>
    <w:qFormat/>
    <w:uiPriority w:val="0"/>
    <w:rPr>
      <w:rFonts w:ascii="宋体" w:hAnsi="宋体" w:eastAsia="宋体"/>
    </w:rPr>
  </w:style>
  <w:style w:type="character" w:customStyle="1" w:styleId="56">
    <w:name w:val="01、普通正文 Char"/>
    <w:link w:val="43"/>
    <w:qFormat/>
    <w:uiPriority w:val="0"/>
    <w:rPr>
      <w:rFonts w:ascii="宋体" w:hAnsi="宋体" w:eastAsia="宋体"/>
      <w:snapToGrid w:val="0"/>
    </w:rPr>
  </w:style>
  <w:style w:type="character" w:customStyle="1" w:styleId="57">
    <w:name w:val="03、“注：”正文(加粗，首行缩进2字符) Char"/>
    <w:link w:val="47"/>
    <w:qFormat/>
    <w:uiPriority w:val="0"/>
    <w:rPr>
      <w:b/>
    </w:rPr>
  </w:style>
  <w:style w:type="character" w:customStyle="1" w:styleId="58">
    <w:name w:val="05、“(一)”正文三级标题 Char"/>
    <w:link w:val="33"/>
    <w:qFormat/>
    <w:uiPriority w:val="0"/>
    <w:rPr>
      <w:rFonts w:ascii="宋体" w:hAnsi="宋体" w:eastAsia="宋体"/>
    </w:rPr>
  </w:style>
  <w:style w:type="character" w:customStyle="1" w:styleId="59">
    <w:name w:val="04“一、”正文二级标题 Char"/>
    <w:link w:val="50"/>
    <w:qFormat/>
    <w:uiPriority w:val="0"/>
  </w:style>
  <w:style w:type="character" w:customStyle="1" w:styleId="60">
    <w:name w:val="06、“1.”正文四级标题 Char"/>
    <w:link w:val="36"/>
    <w:qFormat/>
    <w:uiPriority w:val="0"/>
    <w:rPr>
      <w:rFonts w:ascii="宋体" w:hAnsi="宋体" w:eastAsia="宋体"/>
      <w:snapToGrid w:val="0"/>
    </w:rPr>
  </w:style>
  <w:style w:type="character" w:customStyle="1" w:styleId="61">
    <w:name w:val="08、“(1)”正文六级标题 Char"/>
    <w:link w:val="38"/>
    <w:qFormat/>
    <w:uiPriority w:val="0"/>
    <w:rPr>
      <w:rFonts w:ascii="宋体" w:hAnsi="宋体" w:eastAsia="宋体"/>
      <w:snapToGrid w:val="0"/>
    </w:rPr>
  </w:style>
  <w:style w:type="character" w:customStyle="1" w:styleId="62">
    <w:name w:val="12、表格内左对齐正文 Char"/>
    <w:link w:val="42"/>
    <w:qFormat/>
    <w:uiPriority w:val="0"/>
    <w:rPr>
      <w:rFonts w:ascii="宋体" w:hAnsi="宋体" w:eastAsia="宋体"/>
      <w:snapToGrid w:val="0"/>
      <w:sz w:val="21"/>
    </w:rPr>
  </w:style>
  <w:style w:type="paragraph" w:customStyle="1" w:styleId="63">
    <w:name w:val="17“1.”四级标题"/>
    <w:basedOn w:val="46"/>
    <w:link w:val="67"/>
    <w:qFormat/>
    <w:uiPriority w:val="0"/>
    <w:pPr>
      <w:numPr>
        <w:ilvl w:val="3"/>
        <w:numId w:val="3"/>
      </w:numPr>
      <w:ind w:firstLine="803"/>
    </w:pPr>
  </w:style>
  <w:style w:type="paragraph" w:customStyle="1" w:styleId="64">
    <w:name w:val="18、“1.1”五级标题"/>
    <w:basedOn w:val="63"/>
    <w:qFormat/>
    <w:uiPriority w:val="0"/>
    <w:pPr>
      <w:numPr>
        <w:ilvl w:val="4"/>
      </w:numPr>
      <w:ind w:firstLine="803"/>
    </w:pPr>
  </w:style>
  <w:style w:type="paragraph" w:customStyle="1" w:styleId="65">
    <w:name w:val="19、“(1)”六级标题"/>
    <w:basedOn w:val="63"/>
    <w:qFormat/>
    <w:uiPriority w:val="0"/>
    <w:pPr>
      <w:numPr>
        <w:ilvl w:val="5"/>
      </w:numPr>
      <w:ind w:firstLine="803"/>
    </w:pPr>
  </w:style>
  <w:style w:type="paragraph" w:customStyle="1" w:styleId="66">
    <w:name w:val="21、合同二级标题序号"/>
    <w:basedOn w:val="43"/>
    <w:qFormat/>
    <w:uiPriority w:val="0"/>
    <w:pPr>
      <w:numPr>
        <w:ilvl w:val="0"/>
        <w:numId w:val="5"/>
      </w:numPr>
      <w:ind w:firstLine="803" w:firstLineChars="200"/>
      <w:outlineLvl w:val="1"/>
    </w:pPr>
    <w:rPr>
      <w:b/>
    </w:rPr>
  </w:style>
  <w:style w:type="character" w:customStyle="1" w:styleId="67">
    <w:name w:val="17“1.”四级标题 Char"/>
    <w:link w:val="63"/>
    <w:qFormat/>
    <w:uiPriority w:val="0"/>
    <w:rPr>
      <w:rFonts w:ascii="宋体" w:hAnsi="宋体" w:eastAsia="宋体"/>
    </w:rPr>
  </w:style>
  <w:style w:type="paragraph" w:customStyle="1" w:styleId="68">
    <w:name w:val="正文首行缩进两字符"/>
    <w:basedOn w:val="1"/>
    <w:qFormat/>
    <w:uiPriority w:val="0"/>
    <w:pPr>
      <w:spacing w:line="360" w:lineRule="auto"/>
      <w:ind w:firstLine="200" w:firstLineChars="200"/>
      <w:jc w:val="both"/>
    </w:pPr>
    <w:rPr>
      <w:sz w:val="21"/>
      <w:szCs w:val="20"/>
    </w:rPr>
  </w:style>
  <w:style w:type="paragraph" w:customStyle="1" w:styleId="69">
    <w:name w:val="样式 首行缩进:  2 字符"/>
    <w:basedOn w:val="1"/>
    <w:qFormat/>
    <w:uiPriority w:val="0"/>
    <w:pPr>
      <w:ind w:firstLine="420" w:firstLineChars="200"/>
      <w:jc w:val="both"/>
    </w:pPr>
    <w:rPr>
      <w:rFonts w:cs="宋体"/>
      <w:sz w:val="21"/>
      <w:szCs w:val="20"/>
    </w:rPr>
  </w:style>
  <w:style w:type="paragraph" w:customStyle="1" w:styleId="70">
    <w:name w:val="21、第三章“(一)”三级标题"/>
    <w:basedOn w:val="43"/>
    <w:qFormat/>
    <w:uiPriority w:val="0"/>
    <w:pPr>
      <w:pageBreakBefore/>
      <w:numPr>
        <w:ilvl w:val="0"/>
        <w:numId w:val="6"/>
      </w:numPr>
      <w:spacing w:before="50" w:beforeLines="50" w:after="50" w:afterLines="50"/>
      <w:jc w:val="center"/>
      <w:outlineLvl w:val="2"/>
    </w:pPr>
    <w:rPr>
      <w:b/>
      <w:sz w:val="28"/>
    </w:rPr>
  </w:style>
  <w:style w:type="character" w:customStyle="1" w:styleId="71">
    <w:name w:val="批注文字 Char"/>
    <w:basedOn w:val="25"/>
    <w:link w:val="10"/>
    <w:qFormat/>
    <w:uiPriority w:val="0"/>
    <w:rPr>
      <w:rFonts w:ascii="宋体" w:hAnsi="宋体" w:eastAsia="宋体"/>
      <w:kern w:val="2"/>
      <w:sz w:val="24"/>
      <w:szCs w:val="24"/>
    </w:rPr>
  </w:style>
  <w:style w:type="character" w:customStyle="1" w:styleId="72">
    <w:name w:val="批注主题 Char"/>
    <w:basedOn w:val="71"/>
    <w:link w:val="22"/>
    <w:qFormat/>
    <w:uiPriority w:val="0"/>
    <w:rPr>
      <w:rFonts w:ascii="宋体" w:hAnsi="宋体" w:eastAsia="宋体"/>
      <w:b/>
      <w:bCs/>
      <w:kern w:val="2"/>
      <w:sz w:val="24"/>
      <w:szCs w:val="24"/>
    </w:rPr>
  </w:style>
  <w:style w:type="character" w:customStyle="1" w:styleId="73">
    <w:name w:val="批注框文本 Char"/>
    <w:basedOn w:val="25"/>
    <w:link w:val="14"/>
    <w:qFormat/>
    <w:uiPriority w:val="0"/>
    <w:rPr>
      <w:rFonts w:ascii="宋体" w:hAnsi="宋体" w:eastAsia="宋体"/>
      <w:kern w:val="2"/>
      <w:sz w:val="18"/>
      <w:szCs w:val="18"/>
    </w:rPr>
  </w:style>
  <w:style w:type="paragraph" w:styleId="74">
    <w:name w:val="List Paragraph"/>
    <w:basedOn w:val="1"/>
    <w:qFormat/>
    <w:uiPriority w:val="34"/>
    <w:pPr>
      <w:widowControl/>
      <w:ind w:firstLine="420"/>
    </w:pPr>
    <w:rPr>
      <w:rFonts w:eastAsia="宋体"/>
      <w:kern w:val="0"/>
      <w:sz w:val="21"/>
      <w:szCs w:val="21"/>
    </w:rPr>
  </w:style>
  <w:style w:type="paragraph" w:customStyle="1" w:styleId="75">
    <w:name w:val="Default"/>
    <w:basedOn w:val="21"/>
    <w:next w:val="3"/>
    <w:qFormat/>
    <w:uiPriority w:val="0"/>
    <w:pPr>
      <w:autoSpaceDE w:val="0"/>
      <w:autoSpaceDN w:val="0"/>
    </w:pPr>
    <w:rPr>
      <w:rFonts w:ascii="宋体" w:cs="宋体"/>
      <w:color w:val="000000"/>
      <w:sz w:val="24"/>
      <w:szCs w:val="24"/>
    </w:rPr>
  </w:style>
  <w:style w:type="paragraph" w:customStyle="1" w:styleId="76">
    <w:name w:val="Body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2B78D-7FED-4909-824E-5094CC60E2DE}">
  <ds:schemaRefs/>
</ds:datastoreItem>
</file>

<file path=docProps/app.xml><?xml version="1.0" encoding="utf-8"?>
<Properties xmlns="http://schemas.openxmlformats.org/officeDocument/2006/extended-properties" xmlns:vt="http://schemas.openxmlformats.org/officeDocument/2006/docPropsVTypes">
  <Template>Normal</Template>
  <Pages>105</Pages>
  <Words>10518</Words>
  <Characters>59959</Characters>
  <Lines>499</Lines>
  <Paragraphs>140</Paragraphs>
  <TotalTime>11</TotalTime>
  <ScaleCrop>false</ScaleCrop>
  <LinksUpToDate>false</LinksUpToDate>
  <CharactersWithSpaces>70337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Lenovo</dc:creator>
  <cp:lastModifiedBy>494476397</cp:lastModifiedBy>
  <cp:lastPrinted>2023-11-28T06:53:00Z</cp:lastPrinted>
  <dcterms:modified xsi:type="dcterms:W3CDTF">2023-11-29T05:44:00Z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22C68CCFA0B34421ABC1E66A5AD855DC_13</vt:lpwstr>
  </property>
</Properties>
</file>