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3"/>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default"/>
          <w:b/>
          <w:bCs/>
          <w:color w:val="auto"/>
          <w:sz w:val="40"/>
          <w:szCs w:val="40"/>
          <w:highlight w:val="none"/>
          <w:lang w:val="en-US" w:eastAsia="zh-CN"/>
        </w:rPr>
      </w:pPr>
      <w:bookmarkStart w:id="0" w:name="_Toc5725"/>
      <w:bookmarkStart w:id="1" w:name="_Toc578"/>
      <w:bookmarkStart w:id="2" w:name="_Toc6478"/>
      <w:r>
        <w:rPr>
          <w:rFonts w:hint="eastAsia"/>
          <w:b/>
          <w:bCs/>
          <w:color w:val="auto"/>
          <w:sz w:val="40"/>
          <w:szCs w:val="40"/>
          <w:highlight w:val="none"/>
        </w:rPr>
        <w:t>项目编号：</w:t>
      </w:r>
      <w:r>
        <w:rPr>
          <w:rFonts w:hint="eastAsia"/>
          <w:b/>
          <w:bCs/>
          <w:color w:val="auto"/>
          <w:sz w:val="40"/>
          <w:szCs w:val="40"/>
          <w:highlight w:val="none"/>
          <w:lang w:val="en-US" w:eastAsia="zh-CN"/>
        </w:rPr>
        <w:t>QXZB-2023-1053B</w:t>
      </w:r>
    </w:p>
    <w:p>
      <w:pPr>
        <w:pStyle w:val="3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color w:val="auto"/>
          <w:sz w:val="40"/>
          <w:szCs w:val="40"/>
          <w:highlight w:val="none"/>
        </w:rPr>
      </w:pPr>
      <w:r>
        <w:rPr>
          <w:rFonts w:hint="eastAsia"/>
          <w:b/>
          <w:bCs/>
          <w:color w:val="auto"/>
          <w:sz w:val="40"/>
          <w:szCs w:val="40"/>
          <w:highlight w:val="none"/>
        </w:rPr>
        <w:t>项目名称：</w:t>
      </w:r>
      <w:r>
        <w:rPr>
          <w:rFonts w:hint="eastAsia"/>
          <w:b/>
          <w:bCs/>
          <w:color w:val="auto"/>
          <w:sz w:val="40"/>
          <w:szCs w:val="40"/>
          <w:highlight w:val="none"/>
          <w:lang w:val="en-US" w:eastAsia="zh-CN"/>
        </w:rPr>
        <w:t>成都市技师学院工业机器人数字化虚拟仿真实训基地设备采购项目</w:t>
      </w:r>
      <w:r>
        <w:rPr>
          <w:rFonts w:hint="eastAsia"/>
          <w:b/>
          <w:bCs/>
          <w:color w:val="auto"/>
          <w:sz w:val="40"/>
          <w:szCs w:val="40"/>
          <w:highlight w:val="none"/>
        </w:rPr>
        <w:t xml:space="preserve"> </w:t>
      </w:r>
    </w:p>
    <w:p>
      <w:pPr>
        <w:pStyle w:val="33"/>
        <w:keepNext w:val="0"/>
        <w:keepLines w:val="0"/>
        <w:pageBreakBefore w:val="0"/>
        <w:widowControl w:val="0"/>
        <w:kinsoku/>
        <w:wordWrap w:val="0"/>
        <w:overflowPunct/>
        <w:topLinePunct/>
        <w:autoSpaceDE/>
        <w:autoSpaceDN/>
        <w:bidi w:val="0"/>
        <w:adjustRightInd w:val="0"/>
        <w:snapToGrid w:val="0"/>
        <w:spacing w:before="4369" w:beforeLines="1400" w:after="4369" w:afterLines="1400" w:line="240" w:lineRule="auto"/>
        <w:jc w:val="center"/>
        <w:textAlignment w:val="auto"/>
        <w:rPr>
          <w:rFonts w:hint="eastAsia"/>
          <w:b/>
          <w:bCs/>
          <w:color w:val="auto"/>
          <w:sz w:val="96"/>
          <w:szCs w:val="96"/>
          <w:highlight w:val="none"/>
        </w:rPr>
      </w:pPr>
      <w:r>
        <w:rPr>
          <w:rFonts w:hint="eastAsia"/>
          <w:b/>
          <w:bCs/>
          <w:color w:val="auto"/>
          <w:sz w:val="96"/>
          <w:szCs w:val="96"/>
          <w:highlight w:val="none"/>
        </w:rPr>
        <w:t>招标文件</w:t>
      </w:r>
    </w:p>
    <w:p>
      <w:pPr>
        <w:pStyle w:val="3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z w:val="28"/>
          <w:szCs w:val="28"/>
          <w:highlight w:val="none"/>
        </w:rPr>
      </w:pPr>
      <w:r>
        <w:rPr>
          <w:rFonts w:hint="eastAsia"/>
          <w:b/>
          <w:bCs/>
          <w:color w:val="auto"/>
          <w:sz w:val="28"/>
          <w:szCs w:val="28"/>
          <w:highlight w:val="none"/>
        </w:rPr>
        <w:t>中国·四川</w:t>
      </w:r>
    </w:p>
    <w:p>
      <w:pPr>
        <w:pStyle w:val="33"/>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color w:val="auto"/>
          <w:sz w:val="28"/>
          <w:szCs w:val="28"/>
          <w:highlight w:val="none"/>
        </w:rPr>
      </w:pPr>
      <w:r>
        <w:rPr>
          <w:rFonts w:hint="eastAsia"/>
          <w:b/>
          <w:bCs/>
          <w:color w:val="auto"/>
          <w:sz w:val="28"/>
          <w:szCs w:val="28"/>
          <w:highlight w:val="none"/>
        </w:rPr>
        <w:t>采   购   人：</w:t>
      </w:r>
      <w:r>
        <w:rPr>
          <w:rFonts w:hint="eastAsia"/>
          <w:b/>
          <w:bCs/>
          <w:color w:val="auto"/>
          <w:sz w:val="28"/>
          <w:szCs w:val="28"/>
          <w:highlight w:val="none"/>
          <w:lang w:eastAsia="zh-CN"/>
        </w:rPr>
        <w:t>成都市技师学院</w:t>
      </w:r>
      <w:r>
        <w:rPr>
          <w:rFonts w:hint="eastAsia"/>
          <w:b/>
          <w:bCs/>
          <w:color w:val="auto"/>
          <w:sz w:val="28"/>
          <w:szCs w:val="28"/>
          <w:highlight w:val="none"/>
        </w:rPr>
        <w:t xml:space="preserve">         </w:t>
      </w:r>
    </w:p>
    <w:p>
      <w:pPr>
        <w:pStyle w:val="33"/>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color w:val="auto"/>
          <w:sz w:val="28"/>
          <w:szCs w:val="28"/>
          <w:highlight w:val="none"/>
        </w:rPr>
      </w:pPr>
      <w:r>
        <w:rPr>
          <w:rFonts w:hint="eastAsia"/>
          <w:b/>
          <w:bCs/>
          <w:color w:val="auto"/>
          <w:sz w:val="28"/>
          <w:szCs w:val="28"/>
          <w:highlight w:val="none"/>
        </w:rPr>
        <w:t>采购代理机构：四川乾新招投标代理有限公司</w:t>
      </w:r>
    </w:p>
    <w:p>
      <w:pPr>
        <w:pStyle w:val="33"/>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color w:val="auto"/>
          <w:sz w:val="28"/>
          <w:szCs w:val="28"/>
          <w:highlight w:val="none"/>
        </w:rPr>
      </w:pPr>
      <w:r>
        <w:rPr>
          <w:rFonts w:hint="eastAsia"/>
          <w:b/>
          <w:bCs/>
          <w:color w:val="auto"/>
          <w:sz w:val="28"/>
          <w:szCs w:val="28"/>
          <w:highlight w:val="none"/>
          <w:lang w:val="en-US" w:eastAsia="zh-CN"/>
        </w:rPr>
        <w:t>文  件 编 制：由采购人和</w:t>
      </w:r>
      <w:r>
        <w:rPr>
          <w:rFonts w:hint="eastAsia"/>
          <w:b/>
          <w:bCs/>
          <w:color w:val="auto"/>
          <w:sz w:val="28"/>
          <w:szCs w:val="28"/>
          <w:highlight w:val="none"/>
        </w:rPr>
        <w:t>采购代理机构</w:t>
      </w:r>
      <w:r>
        <w:rPr>
          <w:rFonts w:hint="eastAsia"/>
          <w:b/>
          <w:bCs/>
          <w:color w:val="auto"/>
          <w:sz w:val="28"/>
          <w:szCs w:val="28"/>
          <w:highlight w:val="none"/>
          <w:lang w:val="en-US" w:eastAsia="zh-CN"/>
        </w:rPr>
        <w:t>共同编制</w:t>
      </w:r>
    </w:p>
    <w:p>
      <w:pPr>
        <w:pStyle w:val="3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宋体"/>
          <w:b/>
          <w:bCs/>
          <w:color w:val="auto"/>
          <w:sz w:val="28"/>
          <w:szCs w:val="28"/>
          <w:highlight w:val="none"/>
          <w:lang w:eastAsia="zh-CN"/>
        </w:rPr>
        <w:sectPr>
          <w:headerReference r:id="rId7" w:type="first"/>
          <w:footerReference r:id="rId9" w:type="first"/>
          <w:headerReference r:id="rId5" w:type="default"/>
          <w:headerReference r:id="rId6" w:type="even"/>
          <w:footerReference r:id="rId8" w:type="even"/>
          <w:pgSz w:w="11906" w:h="16838"/>
          <w:pgMar w:top="1440" w:right="1083" w:bottom="1440" w:left="1083" w:header="851" w:footer="992" w:gutter="0"/>
          <w:pgBorders>
            <w:top w:val="none" w:sz="0" w:space="0"/>
            <w:left w:val="none" w:sz="0" w:space="0"/>
            <w:bottom w:val="none" w:sz="0" w:space="0"/>
            <w:right w:val="none" w:sz="0" w:space="0"/>
          </w:pgBorders>
          <w:pgNumType w:start="0"/>
          <w:cols w:space="720" w:num="1"/>
          <w:titlePg/>
          <w:docGrid w:linePitch="312" w:charSpace="0"/>
        </w:sectPr>
      </w:pPr>
      <w:r>
        <w:rPr>
          <w:rFonts w:hint="eastAsia"/>
          <w:b/>
          <w:bCs/>
          <w:color w:val="auto"/>
          <w:sz w:val="28"/>
          <w:szCs w:val="28"/>
          <w:highlight w:val="none"/>
          <w:lang w:val="en-US" w:eastAsia="zh-CN"/>
        </w:rPr>
        <w:t>2023年11月</w:t>
      </w:r>
    </w:p>
    <w:p>
      <w:pPr>
        <w:pStyle w:val="33"/>
        <w:bidi w:val="0"/>
        <w:jc w:val="center"/>
        <w:rPr>
          <w:rFonts w:hint="eastAsia"/>
          <w:color w:val="auto"/>
          <w:highlight w:val="none"/>
        </w:rPr>
      </w:pPr>
      <w:r>
        <w:rPr>
          <w:rFonts w:hint="eastAsia"/>
          <w:color w:val="auto"/>
          <w:highlight w:val="none"/>
        </w:rPr>
        <w:t>目  录</w:t>
      </w:r>
      <w:bookmarkEnd w:id="0"/>
      <w:bookmarkEnd w:id="1"/>
    </w:p>
    <w:p>
      <w:pPr>
        <w:pStyle w:val="16"/>
        <w:tabs>
          <w:tab w:val="clear" w:pos="0"/>
        </w:tabs>
        <w:rPr>
          <w:color w:val="auto"/>
          <w:highlight w:val="none"/>
        </w:rPr>
      </w:pPr>
      <w:bookmarkStart w:id="3" w:name="_Toc15794"/>
      <w:bookmarkStart w:id="4" w:name="_Toc26242"/>
      <w:bookmarkStart w:id="5" w:name="_Toc28748"/>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color w:val="auto"/>
          <w:highlight w:val="none"/>
        </w:rPr>
        <w:instrText xml:space="preserve"> HYPERLINK \l _Toc18124 </w:instrText>
      </w:r>
      <w:r>
        <w:rPr>
          <w:color w:val="auto"/>
          <w:highlight w:val="none"/>
        </w:rPr>
        <w:fldChar w:fldCharType="separate"/>
      </w:r>
      <w:r>
        <w:rPr>
          <w:rFonts w:hint="eastAsia" w:ascii="宋体" w:hAnsi="宋体" w:eastAsia="宋体" w:cs="宋体"/>
          <w:color w:val="auto"/>
          <w:highlight w:val="none"/>
        </w:rPr>
        <w:t xml:space="preserve">第一章 </w:t>
      </w:r>
      <w:r>
        <w:rPr>
          <w:rFonts w:hint="eastAsia"/>
          <w:color w:val="auto"/>
          <w:highlight w:val="none"/>
        </w:rPr>
        <w:t>投标邀请</w:t>
      </w:r>
      <w:r>
        <w:rPr>
          <w:color w:val="auto"/>
          <w:highlight w:val="none"/>
        </w:rPr>
        <w:tab/>
      </w:r>
      <w:r>
        <w:rPr>
          <w:color w:val="auto"/>
          <w:highlight w:val="none"/>
        </w:rPr>
        <w:fldChar w:fldCharType="begin"/>
      </w:r>
      <w:r>
        <w:rPr>
          <w:color w:val="auto"/>
          <w:highlight w:val="none"/>
        </w:rPr>
        <w:instrText xml:space="preserve"> PAGEREF _Toc18124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6"/>
        <w:tabs>
          <w:tab w:val="clear" w:pos="0"/>
        </w:tabs>
        <w:rPr>
          <w:color w:val="auto"/>
          <w:highlight w:val="none"/>
        </w:rPr>
      </w:pPr>
      <w:r>
        <w:rPr>
          <w:color w:val="auto"/>
          <w:highlight w:val="none"/>
        </w:rPr>
        <w:fldChar w:fldCharType="begin"/>
      </w:r>
      <w:r>
        <w:rPr>
          <w:color w:val="auto"/>
          <w:highlight w:val="none"/>
        </w:rPr>
        <w:instrText xml:space="preserve"> HYPERLINK \l _Toc983 </w:instrText>
      </w:r>
      <w:r>
        <w:rPr>
          <w:color w:val="auto"/>
          <w:highlight w:val="none"/>
        </w:rPr>
        <w:fldChar w:fldCharType="separate"/>
      </w:r>
      <w:r>
        <w:rPr>
          <w:rFonts w:hint="eastAsia" w:ascii="宋体" w:hAnsi="宋体" w:eastAsia="宋体" w:cs="宋体"/>
          <w:color w:val="auto"/>
          <w:highlight w:val="none"/>
          <w:lang w:val="en-US" w:eastAsia="zh-CN"/>
        </w:rPr>
        <w:t xml:space="preserve">第二章 </w:t>
      </w:r>
      <w:r>
        <w:rPr>
          <w:rFonts w:hint="eastAsia"/>
          <w:color w:val="auto"/>
          <w:highlight w:val="none"/>
          <w:lang w:val="en-US" w:eastAsia="zh-CN"/>
        </w:rPr>
        <w:t>投标人须知</w:t>
      </w:r>
      <w:r>
        <w:rPr>
          <w:color w:val="auto"/>
          <w:highlight w:val="none"/>
        </w:rPr>
        <w:tab/>
      </w:r>
      <w:r>
        <w:rPr>
          <w:color w:val="auto"/>
          <w:highlight w:val="none"/>
        </w:rPr>
        <w:fldChar w:fldCharType="begin"/>
      </w:r>
      <w:r>
        <w:rPr>
          <w:color w:val="auto"/>
          <w:highlight w:val="none"/>
        </w:rPr>
        <w:instrText xml:space="preserve"> PAGEREF _Toc983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_Toc17280 </w:instrText>
      </w:r>
      <w:r>
        <w:rPr>
          <w:color w:val="auto"/>
          <w:highlight w:val="none"/>
        </w:rPr>
        <w:fldChar w:fldCharType="separate"/>
      </w:r>
      <w:r>
        <w:rPr>
          <w:rFonts w:hint="eastAsia"/>
          <w:color w:val="auto"/>
          <w:highlight w:val="none"/>
        </w:rPr>
        <w:t>一、 投标人须知</w:t>
      </w:r>
      <w:r>
        <w:rPr>
          <w:rFonts w:hint="eastAsia"/>
          <w:color w:val="auto"/>
          <w:highlight w:val="none"/>
          <w:lang w:val="en-US" w:eastAsia="zh-CN"/>
        </w:rPr>
        <w:t>前</w:t>
      </w:r>
      <w:r>
        <w:rPr>
          <w:rFonts w:hint="eastAsia"/>
          <w:color w:val="auto"/>
          <w:highlight w:val="none"/>
        </w:rPr>
        <w:t>附表</w:t>
      </w:r>
      <w:r>
        <w:rPr>
          <w:color w:val="auto"/>
          <w:highlight w:val="none"/>
        </w:rPr>
        <w:tab/>
      </w:r>
      <w:r>
        <w:rPr>
          <w:color w:val="auto"/>
          <w:highlight w:val="none"/>
        </w:rPr>
        <w:fldChar w:fldCharType="begin"/>
      </w:r>
      <w:r>
        <w:rPr>
          <w:color w:val="auto"/>
          <w:highlight w:val="none"/>
        </w:rPr>
        <w:instrText xml:space="preserve"> PAGEREF _Toc17280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_Toc26518 </w:instrText>
      </w:r>
      <w:r>
        <w:rPr>
          <w:color w:val="auto"/>
          <w:highlight w:val="none"/>
        </w:rPr>
        <w:fldChar w:fldCharType="separate"/>
      </w:r>
      <w:r>
        <w:rPr>
          <w:rFonts w:hint="eastAsia"/>
          <w:color w:val="auto"/>
          <w:highlight w:val="none"/>
        </w:rPr>
        <w:t>二、 总 则</w:t>
      </w:r>
      <w:r>
        <w:rPr>
          <w:color w:val="auto"/>
          <w:highlight w:val="none"/>
        </w:rPr>
        <w:tab/>
      </w:r>
      <w:r>
        <w:rPr>
          <w:color w:val="auto"/>
          <w:highlight w:val="none"/>
        </w:rPr>
        <w:fldChar w:fldCharType="begin"/>
      </w:r>
      <w:r>
        <w:rPr>
          <w:color w:val="auto"/>
          <w:highlight w:val="none"/>
        </w:rPr>
        <w:instrText xml:space="preserve"> PAGEREF _Toc26518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_Toc15320 </w:instrText>
      </w:r>
      <w:r>
        <w:rPr>
          <w:color w:val="auto"/>
          <w:highlight w:val="none"/>
        </w:rPr>
        <w:fldChar w:fldCharType="separate"/>
      </w:r>
      <w:r>
        <w:rPr>
          <w:rFonts w:hint="eastAsia" w:ascii="宋体" w:hAnsi="宋体" w:eastAsia="宋体" w:cs="宋体"/>
          <w:color w:val="auto"/>
          <w:highlight w:val="none"/>
        </w:rPr>
        <w:t xml:space="preserve">(一) </w:t>
      </w:r>
      <w:r>
        <w:rPr>
          <w:rFonts w:hint="eastAsia"/>
          <w:color w:val="auto"/>
          <w:highlight w:val="none"/>
        </w:rPr>
        <w:t>适用范围</w:t>
      </w:r>
      <w:r>
        <w:rPr>
          <w:color w:val="auto"/>
          <w:highlight w:val="none"/>
        </w:rPr>
        <w:tab/>
      </w:r>
      <w:r>
        <w:rPr>
          <w:color w:val="auto"/>
          <w:highlight w:val="none"/>
        </w:rPr>
        <w:fldChar w:fldCharType="begin"/>
      </w:r>
      <w:r>
        <w:rPr>
          <w:color w:val="auto"/>
          <w:highlight w:val="none"/>
        </w:rPr>
        <w:instrText xml:space="preserve"> PAGEREF _Toc15320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_Toc118 </w:instrText>
      </w:r>
      <w:r>
        <w:rPr>
          <w:color w:val="auto"/>
          <w:highlight w:val="none"/>
        </w:rPr>
        <w:fldChar w:fldCharType="separate"/>
      </w:r>
      <w:r>
        <w:rPr>
          <w:rFonts w:hint="eastAsia" w:ascii="宋体" w:hAnsi="宋体" w:eastAsia="宋体" w:cs="宋体"/>
          <w:color w:val="auto"/>
          <w:highlight w:val="none"/>
        </w:rPr>
        <w:t xml:space="preserve">(二) </w:t>
      </w:r>
      <w:r>
        <w:rPr>
          <w:rFonts w:hint="eastAsia"/>
          <w:color w:val="auto"/>
          <w:highlight w:val="none"/>
        </w:rPr>
        <w:t>有关定义</w:t>
      </w:r>
      <w:r>
        <w:rPr>
          <w:color w:val="auto"/>
          <w:highlight w:val="none"/>
        </w:rPr>
        <w:tab/>
      </w:r>
      <w:r>
        <w:rPr>
          <w:color w:val="auto"/>
          <w:highlight w:val="none"/>
        </w:rPr>
        <w:fldChar w:fldCharType="begin"/>
      </w:r>
      <w:r>
        <w:rPr>
          <w:color w:val="auto"/>
          <w:highlight w:val="none"/>
        </w:rPr>
        <w:instrText xml:space="preserve"> PAGEREF _Toc118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_Toc9632 </w:instrText>
      </w:r>
      <w:r>
        <w:rPr>
          <w:color w:val="auto"/>
          <w:highlight w:val="none"/>
        </w:rPr>
        <w:fldChar w:fldCharType="separate"/>
      </w:r>
      <w:r>
        <w:rPr>
          <w:rFonts w:hint="eastAsia" w:ascii="宋体" w:hAnsi="宋体" w:eastAsia="宋体" w:cs="宋体"/>
          <w:color w:val="auto"/>
          <w:highlight w:val="none"/>
        </w:rPr>
        <w:t xml:space="preserve">(三) </w:t>
      </w:r>
      <w:r>
        <w:rPr>
          <w:rFonts w:hint="eastAsia"/>
          <w:color w:val="auto"/>
          <w:highlight w:val="none"/>
        </w:rPr>
        <w:t>合格的投标人</w:t>
      </w:r>
      <w:r>
        <w:rPr>
          <w:rFonts w:hint="eastAsia"/>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_Toc9632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_Toc30597 </w:instrText>
      </w:r>
      <w:r>
        <w:rPr>
          <w:color w:val="auto"/>
          <w:highlight w:val="none"/>
        </w:rPr>
        <w:fldChar w:fldCharType="separate"/>
      </w:r>
      <w:r>
        <w:rPr>
          <w:rFonts w:hint="eastAsia" w:ascii="宋体" w:hAnsi="宋体" w:eastAsia="宋体" w:cs="宋体"/>
          <w:color w:val="auto"/>
          <w:highlight w:val="none"/>
        </w:rPr>
        <w:t xml:space="preserve">(四) </w:t>
      </w:r>
      <w:r>
        <w:rPr>
          <w:rFonts w:hint="eastAsia"/>
          <w:color w:val="auto"/>
          <w:highlight w:val="none"/>
        </w:rPr>
        <w:t>投标费用</w:t>
      </w:r>
      <w:r>
        <w:rPr>
          <w:rFonts w:hint="eastAsia"/>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_Toc30597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_Toc11864 </w:instrText>
      </w:r>
      <w:r>
        <w:rPr>
          <w:color w:val="auto"/>
          <w:highlight w:val="none"/>
        </w:rPr>
        <w:fldChar w:fldCharType="separate"/>
      </w:r>
      <w:r>
        <w:rPr>
          <w:rFonts w:hint="eastAsia" w:ascii="宋体" w:hAnsi="宋体" w:eastAsia="宋体" w:cs="宋体"/>
          <w:color w:val="auto"/>
          <w:highlight w:val="none"/>
        </w:rPr>
        <w:t xml:space="preserve">(五) </w:t>
      </w:r>
      <w:r>
        <w:rPr>
          <w:rFonts w:hint="eastAsia"/>
          <w:color w:val="auto"/>
          <w:highlight w:val="none"/>
        </w:rPr>
        <w:t>充分、公平竞争保障措施</w:t>
      </w:r>
      <w:r>
        <w:rPr>
          <w:rFonts w:hint="eastAsia"/>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_Toc11864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_Toc29256 </w:instrText>
      </w:r>
      <w:r>
        <w:rPr>
          <w:color w:val="auto"/>
          <w:highlight w:val="none"/>
        </w:rPr>
        <w:fldChar w:fldCharType="separate"/>
      </w:r>
      <w:r>
        <w:rPr>
          <w:rFonts w:hint="eastAsia"/>
          <w:color w:val="auto"/>
          <w:highlight w:val="none"/>
        </w:rPr>
        <w:t>三、 招标文件</w:t>
      </w:r>
      <w:r>
        <w:rPr>
          <w:color w:val="auto"/>
          <w:highlight w:val="none"/>
        </w:rPr>
        <w:tab/>
      </w:r>
      <w:r>
        <w:rPr>
          <w:color w:val="auto"/>
          <w:highlight w:val="none"/>
        </w:rPr>
        <w:fldChar w:fldCharType="begin"/>
      </w:r>
      <w:r>
        <w:rPr>
          <w:color w:val="auto"/>
          <w:highlight w:val="none"/>
        </w:rPr>
        <w:instrText xml:space="preserve"> PAGEREF _Toc29256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_Toc25456 </w:instrText>
      </w:r>
      <w:r>
        <w:rPr>
          <w:color w:val="auto"/>
          <w:highlight w:val="none"/>
        </w:rPr>
        <w:fldChar w:fldCharType="separate"/>
      </w:r>
      <w:r>
        <w:rPr>
          <w:rFonts w:hint="eastAsia" w:ascii="宋体" w:hAnsi="宋体" w:eastAsia="宋体" w:cs="宋体"/>
          <w:color w:val="auto"/>
          <w:highlight w:val="none"/>
        </w:rPr>
        <w:t xml:space="preserve">(一) </w:t>
      </w:r>
      <w:r>
        <w:rPr>
          <w:rFonts w:hint="eastAsia"/>
          <w:color w:val="auto"/>
          <w:highlight w:val="none"/>
        </w:rPr>
        <w:t>招标文件的构成</w:t>
      </w:r>
      <w:r>
        <w:rPr>
          <w:color w:val="auto"/>
          <w:highlight w:val="none"/>
        </w:rPr>
        <w:tab/>
      </w:r>
      <w:r>
        <w:rPr>
          <w:color w:val="auto"/>
          <w:highlight w:val="none"/>
        </w:rPr>
        <w:fldChar w:fldCharType="begin"/>
      </w:r>
      <w:r>
        <w:rPr>
          <w:color w:val="auto"/>
          <w:highlight w:val="none"/>
        </w:rPr>
        <w:instrText xml:space="preserve"> PAGEREF _Toc25456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_Toc13951 </w:instrText>
      </w:r>
      <w:r>
        <w:rPr>
          <w:color w:val="auto"/>
          <w:highlight w:val="none"/>
        </w:rPr>
        <w:fldChar w:fldCharType="separate"/>
      </w:r>
      <w:r>
        <w:rPr>
          <w:rFonts w:hint="eastAsia" w:ascii="宋体" w:hAnsi="宋体" w:eastAsia="宋体" w:cs="宋体"/>
          <w:color w:val="auto"/>
          <w:highlight w:val="none"/>
        </w:rPr>
        <w:t xml:space="preserve">(二) </w:t>
      </w:r>
      <w:r>
        <w:rPr>
          <w:rFonts w:hint="eastAsia"/>
          <w:color w:val="auto"/>
          <w:highlight w:val="none"/>
        </w:rPr>
        <w:t>招标文件的澄清和修改</w:t>
      </w:r>
      <w:r>
        <w:rPr>
          <w:color w:val="auto"/>
          <w:highlight w:val="none"/>
        </w:rPr>
        <w:tab/>
      </w:r>
      <w:r>
        <w:rPr>
          <w:color w:val="auto"/>
          <w:highlight w:val="none"/>
        </w:rPr>
        <w:fldChar w:fldCharType="begin"/>
      </w:r>
      <w:r>
        <w:rPr>
          <w:color w:val="auto"/>
          <w:highlight w:val="none"/>
        </w:rPr>
        <w:instrText xml:space="preserve"> PAGEREF _Toc13951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_Toc29039 </w:instrText>
      </w:r>
      <w:r>
        <w:rPr>
          <w:color w:val="auto"/>
          <w:highlight w:val="none"/>
        </w:rPr>
        <w:fldChar w:fldCharType="separate"/>
      </w:r>
      <w:r>
        <w:rPr>
          <w:rFonts w:hint="eastAsia" w:ascii="宋体" w:hAnsi="宋体" w:eastAsia="宋体" w:cs="宋体"/>
          <w:color w:val="auto"/>
          <w:highlight w:val="none"/>
        </w:rPr>
        <w:t xml:space="preserve">(三) </w:t>
      </w:r>
      <w:r>
        <w:rPr>
          <w:rFonts w:hint="eastAsia"/>
          <w:color w:val="auto"/>
          <w:highlight w:val="none"/>
        </w:rPr>
        <w:t>答疑会和现场考察</w:t>
      </w:r>
      <w:r>
        <w:rPr>
          <w:color w:val="auto"/>
          <w:highlight w:val="none"/>
        </w:rPr>
        <w:tab/>
      </w:r>
      <w:r>
        <w:rPr>
          <w:color w:val="auto"/>
          <w:highlight w:val="none"/>
        </w:rPr>
        <w:fldChar w:fldCharType="begin"/>
      </w:r>
      <w:r>
        <w:rPr>
          <w:color w:val="auto"/>
          <w:highlight w:val="none"/>
        </w:rPr>
        <w:instrText xml:space="preserve"> PAGEREF _Toc29039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_Toc27958 </w:instrText>
      </w:r>
      <w:r>
        <w:rPr>
          <w:color w:val="auto"/>
          <w:highlight w:val="none"/>
        </w:rPr>
        <w:fldChar w:fldCharType="separate"/>
      </w:r>
      <w:r>
        <w:rPr>
          <w:rFonts w:hint="eastAsia"/>
          <w:color w:val="auto"/>
          <w:highlight w:val="none"/>
        </w:rPr>
        <w:t>四、 投标文件</w:t>
      </w:r>
      <w:r>
        <w:rPr>
          <w:color w:val="auto"/>
          <w:highlight w:val="none"/>
        </w:rPr>
        <w:tab/>
      </w:r>
      <w:r>
        <w:rPr>
          <w:color w:val="auto"/>
          <w:highlight w:val="none"/>
        </w:rPr>
        <w:fldChar w:fldCharType="begin"/>
      </w:r>
      <w:r>
        <w:rPr>
          <w:color w:val="auto"/>
          <w:highlight w:val="none"/>
        </w:rPr>
        <w:instrText xml:space="preserve"> PAGEREF _Toc27958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_Toc22859 </w:instrText>
      </w:r>
      <w:r>
        <w:rPr>
          <w:color w:val="auto"/>
          <w:highlight w:val="none"/>
        </w:rPr>
        <w:fldChar w:fldCharType="separate"/>
      </w:r>
      <w:r>
        <w:rPr>
          <w:rFonts w:hint="eastAsia" w:ascii="宋体" w:hAnsi="宋体" w:eastAsia="宋体" w:cs="宋体"/>
          <w:color w:val="auto"/>
          <w:highlight w:val="none"/>
        </w:rPr>
        <w:t xml:space="preserve">(一) </w:t>
      </w:r>
      <w:r>
        <w:rPr>
          <w:rFonts w:hint="eastAsia"/>
          <w:color w:val="auto"/>
          <w:highlight w:val="none"/>
        </w:rPr>
        <w:t>投标文件的语言</w:t>
      </w:r>
      <w:r>
        <w:rPr>
          <w:rFonts w:hint="eastAsia"/>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_Toc22859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_Toc1855 </w:instrText>
      </w:r>
      <w:r>
        <w:rPr>
          <w:color w:val="auto"/>
          <w:highlight w:val="none"/>
        </w:rPr>
        <w:fldChar w:fldCharType="separate"/>
      </w:r>
      <w:r>
        <w:rPr>
          <w:rFonts w:hint="eastAsia" w:ascii="宋体" w:hAnsi="宋体" w:eastAsia="宋体" w:cs="宋体"/>
          <w:color w:val="auto"/>
          <w:highlight w:val="none"/>
        </w:rPr>
        <w:t xml:space="preserve">(二) </w:t>
      </w:r>
      <w:r>
        <w:rPr>
          <w:rFonts w:hint="eastAsia"/>
          <w:color w:val="auto"/>
          <w:highlight w:val="none"/>
        </w:rPr>
        <w:t>计量单位</w:t>
      </w:r>
      <w:r>
        <w:rPr>
          <w:rFonts w:hint="eastAsia"/>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_Toc1855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_Toc13687 </w:instrText>
      </w:r>
      <w:r>
        <w:rPr>
          <w:color w:val="auto"/>
          <w:highlight w:val="none"/>
        </w:rPr>
        <w:fldChar w:fldCharType="separate"/>
      </w:r>
      <w:r>
        <w:rPr>
          <w:rFonts w:hint="eastAsia" w:ascii="宋体" w:hAnsi="宋体" w:eastAsia="宋体" w:cs="宋体"/>
          <w:color w:val="auto"/>
          <w:highlight w:val="none"/>
        </w:rPr>
        <w:t xml:space="preserve">(三) </w:t>
      </w:r>
      <w:r>
        <w:rPr>
          <w:rFonts w:hint="eastAsia"/>
          <w:color w:val="auto"/>
          <w:highlight w:val="none"/>
        </w:rPr>
        <w:t>投标货币</w:t>
      </w:r>
      <w:r>
        <w:rPr>
          <w:rFonts w:hint="eastAsia"/>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_Toc13687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_Toc5763 </w:instrText>
      </w:r>
      <w:r>
        <w:rPr>
          <w:color w:val="auto"/>
          <w:highlight w:val="none"/>
        </w:rPr>
        <w:fldChar w:fldCharType="separate"/>
      </w:r>
      <w:r>
        <w:rPr>
          <w:rFonts w:hint="eastAsia" w:ascii="宋体" w:hAnsi="宋体" w:eastAsia="宋体" w:cs="宋体"/>
          <w:color w:val="auto"/>
          <w:highlight w:val="none"/>
          <w:lang w:eastAsia="zh-CN"/>
        </w:rPr>
        <w:t xml:space="preserve">(四) </w:t>
      </w:r>
      <w:r>
        <w:rPr>
          <w:rFonts w:hint="eastAsia"/>
          <w:color w:val="auto"/>
          <w:highlight w:val="none"/>
        </w:rPr>
        <w:t>联合体投标</w:t>
      </w:r>
      <w:r>
        <w:rPr>
          <w:rFonts w:hint="eastAsia"/>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_Toc5763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_Toc13430 </w:instrText>
      </w:r>
      <w:r>
        <w:rPr>
          <w:color w:val="auto"/>
          <w:highlight w:val="none"/>
        </w:rPr>
        <w:fldChar w:fldCharType="separate"/>
      </w:r>
      <w:r>
        <w:rPr>
          <w:rFonts w:hint="eastAsia" w:ascii="宋体" w:hAnsi="宋体" w:eastAsia="宋体" w:cs="宋体"/>
          <w:color w:val="auto"/>
          <w:highlight w:val="none"/>
        </w:rPr>
        <w:t xml:space="preserve">(五) </w:t>
      </w:r>
      <w:r>
        <w:rPr>
          <w:rFonts w:hint="eastAsia"/>
          <w:color w:val="auto"/>
          <w:highlight w:val="none"/>
        </w:rPr>
        <w:t>知识产权</w:t>
      </w:r>
      <w:r>
        <w:rPr>
          <w:rFonts w:hint="eastAsia"/>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_Toc13430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_Toc19147 </w:instrText>
      </w:r>
      <w:r>
        <w:rPr>
          <w:color w:val="auto"/>
          <w:highlight w:val="none"/>
        </w:rPr>
        <w:fldChar w:fldCharType="separate"/>
      </w:r>
      <w:r>
        <w:rPr>
          <w:rFonts w:hint="eastAsia" w:ascii="宋体" w:hAnsi="宋体" w:eastAsia="宋体" w:cs="宋体"/>
          <w:color w:val="auto"/>
          <w:highlight w:val="none"/>
        </w:rPr>
        <w:t xml:space="preserve">(六) </w:t>
      </w:r>
      <w:r>
        <w:rPr>
          <w:rFonts w:hint="eastAsia"/>
          <w:color w:val="auto"/>
          <w:highlight w:val="none"/>
        </w:rPr>
        <w:t>投标文件的组成</w:t>
      </w:r>
      <w:r>
        <w:rPr>
          <w:color w:val="auto"/>
          <w:highlight w:val="none"/>
        </w:rPr>
        <w:tab/>
      </w:r>
      <w:r>
        <w:rPr>
          <w:color w:val="auto"/>
          <w:highlight w:val="none"/>
        </w:rPr>
        <w:fldChar w:fldCharType="begin"/>
      </w:r>
      <w:r>
        <w:rPr>
          <w:color w:val="auto"/>
          <w:highlight w:val="none"/>
        </w:rPr>
        <w:instrText xml:space="preserve"> PAGEREF _Toc19147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_Toc23795 </w:instrText>
      </w:r>
      <w:r>
        <w:rPr>
          <w:color w:val="auto"/>
          <w:highlight w:val="none"/>
        </w:rPr>
        <w:fldChar w:fldCharType="separate"/>
      </w:r>
      <w:r>
        <w:rPr>
          <w:rFonts w:hint="eastAsia" w:ascii="宋体" w:hAnsi="宋体" w:eastAsia="宋体" w:cs="宋体"/>
          <w:color w:val="auto"/>
          <w:highlight w:val="none"/>
        </w:rPr>
        <w:t xml:space="preserve">(七) </w:t>
      </w:r>
      <w:r>
        <w:rPr>
          <w:rFonts w:hint="eastAsia"/>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_Toc23795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_Toc30196 </w:instrText>
      </w:r>
      <w:r>
        <w:rPr>
          <w:color w:val="auto"/>
          <w:highlight w:val="none"/>
        </w:rPr>
        <w:fldChar w:fldCharType="separate"/>
      </w:r>
      <w:r>
        <w:rPr>
          <w:rFonts w:hint="eastAsia" w:ascii="宋体" w:hAnsi="宋体" w:eastAsia="宋体" w:cs="宋体"/>
          <w:color w:val="auto"/>
          <w:highlight w:val="none"/>
        </w:rPr>
        <w:t xml:space="preserve">(八) </w:t>
      </w:r>
      <w:r>
        <w:rPr>
          <w:rFonts w:hint="eastAsia"/>
          <w:color w:val="auto"/>
          <w:highlight w:val="none"/>
        </w:rPr>
        <w:t>投标保证金</w:t>
      </w:r>
      <w:r>
        <w:rPr>
          <w:rFonts w:hint="eastAsia" w:ascii="宋体" w:hAnsi="宋体" w:eastAsia="宋体" w:cs="宋体"/>
          <w:color w:val="auto"/>
          <w:highlight w:val="none"/>
        </w:rPr>
        <w:t>(实质性要求)</w:t>
      </w:r>
      <w:r>
        <w:rPr>
          <w:color w:val="auto"/>
          <w:highlight w:val="none"/>
        </w:rPr>
        <w:tab/>
      </w:r>
      <w:r>
        <w:rPr>
          <w:color w:val="auto"/>
          <w:highlight w:val="none"/>
        </w:rPr>
        <w:fldChar w:fldCharType="begin"/>
      </w:r>
      <w:r>
        <w:rPr>
          <w:color w:val="auto"/>
          <w:highlight w:val="none"/>
        </w:rPr>
        <w:instrText xml:space="preserve"> PAGEREF _Toc30196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_Toc4016 </w:instrText>
      </w:r>
      <w:r>
        <w:rPr>
          <w:color w:val="auto"/>
          <w:highlight w:val="none"/>
        </w:rPr>
        <w:fldChar w:fldCharType="separate"/>
      </w:r>
      <w:r>
        <w:rPr>
          <w:rFonts w:hint="eastAsia" w:ascii="宋体" w:hAnsi="宋体" w:eastAsia="宋体" w:cs="宋体"/>
          <w:color w:val="auto"/>
          <w:highlight w:val="none"/>
        </w:rPr>
        <w:t xml:space="preserve">(九) </w:t>
      </w:r>
      <w:r>
        <w:rPr>
          <w:rFonts w:hint="eastAsia"/>
          <w:color w:val="auto"/>
          <w:highlight w:val="none"/>
        </w:rPr>
        <w:t>投标有效期</w:t>
      </w:r>
      <w:r>
        <w:rPr>
          <w:rFonts w:hint="eastAsia"/>
          <w:color w:val="auto"/>
          <w:highlight w:val="none"/>
          <w:lang w:eastAsia="zh-CN"/>
        </w:rPr>
        <w:t>(</w:t>
      </w:r>
      <w:r>
        <w:rPr>
          <w:rFonts w:hint="eastAsia"/>
          <w:color w:val="auto"/>
          <w:highlight w:val="none"/>
        </w:rPr>
        <w:t>实质性要求</w:t>
      </w:r>
      <w:r>
        <w:rPr>
          <w:rFonts w:hint="eastAsia"/>
          <w:color w:val="auto"/>
          <w:highlight w:val="none"/>
          <w:lang w:eastAsia="zh-CN"/>
        </w:rPr>
        <w:t>)</w:t>
      </w:r>
      <w:r>
        <w:rPr>
          <w:color w:val="auto"/>
          <w:highlight w:val="none"/>
        </w:rPr>
        <w:tab/>
      </w:r>
      <w:r>
        <w:rPr>
          <w:color w:val="auto"/>
          <w:highlight w:val="none"/>
        </w:rPr>
        <w:fldChar w:fldCharType="begin"/>
      </w:r>
      <w:r>
        <w:rPr>
          <w:color w:val="auto"/>
          <w:highlight w:val="none"/>
        </w:rPr>
        <w:instrText xml:space="preserve"> PAGEREF _Toc4016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_Toc23216 </w:instrText>
      </w:r>
      <w:r>
        <w:rPr>
          <w:color w:val="auto"/>
          <w:highlight w:val="none"/>
        </w:rPr>
        <w:fldChar w:fldCharType="separate"/>
      </w:r>
      <w:r>
        <w:rPr>
          <w:rFonts w:hint="eastAsia" w:ascii="宋体" w:hAnsi="宋体" w:eastAsia="宋体" w:cs="宋体"/>
          <w:color w:val="auto"/>
          <w:highlight w:val="none"/>
        </w:rPr>
        <w:t xml:space="preserve">(十) </w:t>
      </w:r>
      <w:r>
        <w:rPr>
          <w:rFonts w:hint="eastAsia"/>
          <w:color w:val="auto"/>
          <w:highlight w:val="none"/>
        </w:rPr>
        <w:t>投标文件的印制和签署</w:t>
      </w:r>
      <w:r>
        <w:rPr>
          <w:color w:val="auto"/>
          <w:highlight w:val="none"/>
        </w:rPr>
        <w:tab/>
      </w:r>
      <w:r>
        <w:rPr>
          <w:color w:val="auto"/>
          <w:highlight w:val="none"/>
        </w:rPr>
        <w:fldChar w:fldCharType="begin"/>
      </w:r>
      <w:r>
        <w:rPr>
          <w:color w:val="auto"/>
          <w:highlight w:val="none"/>
        </w:rPr>
        <w:instrText xml:space="preserve"> PAGEREF _Toc23216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_Toc7621 </w:instrText>
      </w:r>
      <w:r>
        <w:rPr>
          <w:color w:val="auto"/>
          <w:highlight w:val="none"/>
        </w:rPr>
        <w:fldChar w:fldCharType="separate"/>
      </w:r>
      <w:r>
        <w:rPr>
          <w:rFonts w:hint="eastAsia" w:ascii="宋体" w:hAnsi="宋体" w:eastAsia="宋体" w:cs="宋体"/>
          <w:color w:val="auto"/>
          <w:highlight w:val="none"/>
        </w:rPr>
        <w:t xml:space="preserve">(十一) </w:t>
      </w:r>
      <w:r>
        <w:rPr>
          <w:rFonts w:hint="eastAsia"/>
          <w:color w:val="auto"/>
          <w:highlight w:val="none"/>
        </w:rPr>
        <w:t>投标文件的密封和标注</w:t>
      </w:r>
      <w:r>
        <w:rPr>
          <w:color w:val="auto"/>
          <w:highlight w:val="none"/>
        </w:rPr>
        <w:tab/>
      </w:r>
      <w:r>
        <w:rPr>
          <w:color w:val="auto"/>
          <w:highlight w:val="none"/>
        </w:rPr>
        <w:fldChar w:fldCharType="begin"/>
      </w:r>
      <w:r>
        <w:rPr>
          <w:color w:val="auto"/>
          <w:highlight w:val="none"/>
        </w:rPr>
        <w:instrText xml:space="preserve"> PAGEREF _Toc7621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_Toc25141 </w:instrText>
      </w:r>
      <w:r>
        <w:rPr>
          <w:color w:val="auto"/>
          <w:highlight w:val="none"/>
        </w:rPr>
        <w:fldChar w:fldCharType="separate"/>
      </w:r>
      <w:r>
        <w:rPr>
          <w:rFonts w:hint="eastAsia" w:ascii="宋体" w:hAnsi="宋体" w:eastAsia="宋体" w:cs="宋体"/>
          <w:color w:val="auto"/>
          <w:highlight w:val="none"/>
        </w:rPr>
        <w:t xml:space="preserve">(十二) </w:t>
      </w:r>
      <w:r>
        <w:rPr>
          <w:rFonts w:hint="eastAsia"/>
          <w:color w:val="auto"/>
          <w:highlight w:val="none"/>
        </w:rPr>
        <w:t>投标文件的递交</w:t>
      </w:r>
      <w:r>
        <w:rPr>
          <w:color w:val="auto"/>
          <w:highlight w:val="none"/>
        </w:rPr>
        <w:tab/>
      </w:r>
      <w:r>
        <w:rPr>
          <w:color w:val="auto"/>
          <w:highlight w:val="none"/>
        </w:rPr>
        <w:fldChar w:fldCharType="begin"/>
      </w:r>
      <w:r>
        <w:rPr>
          <w:color w:val="auto"/>
          <w:highlight w:val="none"/>
        </w:rPr>
        <w:instrText xml:space="preserve"> PAGEREF _Toc25141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_Toc15882 </w:instrText>
      </w:r>
      <w:r>
        <w:rPr>
          <w:color w:val="auto"/>
          <w:highlight w:val="none"/>
        </w:rPr>
        <w:fldChar w:fldCharType="separate"/>
      </w:r>
      <w:r>
        <w:rPr>
          <w:rFonts w:hint="eastAsia" w:ascii="宋体" w:hAnsi="宋体" w:eastAsia="宋体" w:cs="宋体"/>
          <w:color w:val="auto"/>
          <w:highlight w:val="none"/>
        </w:rPr>
        <w:t xml:space="preserve">(十三) </w:t>
      </w:r>
      <w:r>
        <w:rPr>
          <w:rFonts w:hint="eastAsia"/>
          <w:color w:val="auto"/>
          <w:highlight w:val="none"/>
        </w:rPr>
        <w:t>投标文件的修改和撤回</w:t>
      </w:r>
      <w:r>
        <w:rPr>
          <w:color w:val="auto"/>
          <w:highlight w:val="none"/>
        </w:rPr>
        <w:tab/>
      </w:r>
      <w:r>
        <w:rPr>
          <w:color w:val="auto"/>
          <w:highlight w:val="none"/>
        </w:rPr>
        <w:fldChar w:fldCharType="begin"/>
      </w:r>
      <w:r>
        <w:rPr>
          <w:color w:val="auto"/>
          <w:highlight w:val="none"/>
        </w:rPr>
        <w:instrText xml:space="preserve"> PAGEREF _Toc15882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_Toc30863 </w:instrText>
      </w:r>
      <w:r>
        <w:rPr>
          <w:color w:val="auto"/>
          <w:highlight w:val="none"/>
        </w:rPr>
        <w:fldChar w:fldCharType="separate"/>
      </w:r>
      <w:r>
        <w:rPr>
          <w:rFonts w:hint="eastAsia"/>
          <w:color w:val="auto"/>
          <w:highlight w:val="none"/>
        </w:rPr>
        <w:t>五、 开标和中标</w:t>
      </w:r>
      <w:r>
        <w:rPr>
          <w:color w:val="auto"/>
          <w:highlight w:val="none"/>
        </w:rPr>
        <w:tab/>
      </w:r>
      <w:r>
        <w:rPr>
          <w:color w:val="auto"/>
          <w:highlight w:val="none"/>
        </w:rPr>
        <w:fldChar w:fldCharType="begin"/>
      </w:r>
      <w:r>
        <w:rPr>
          <w:color w:val="auto"/>
          <w:highlight w:val="none"/>
        </w:rPr>
        <w:instrText xml:space="preserve"> PAGEREF _Toc30863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_Toc17058 </w:instrText>
      </w:r>
      <w:r>
        <w:rPr>
          <w:color w:val="auto"/>
          <w:highlight w:val="none"/>
        </w:rPr>
        <w:fldChar w:fldCharType="separate"/>
      </w:r>
      <w:r>
        <w:rPr>
          <w:rFonts w:hint="eastAsia" w:ascii="宋体" w:hAnsi="宋体" w:eastAsia="宋体" w:cs="宋体"/>
          <w:color w:val="auto"/>
          <w:highlight w:val="none"/>
        </w:rPr>
        <w:t xml:space="preserve">(一) </w:t>
      </w:r>
      <w:r>
        <w:rPr>
          <w:rFonts w:hint="eastAsia"/>
          <w:color w:val="auto"/>
          <w:highlight w:val="none"/>
        </w:rPr>
        <w:t>开标</w:t>
      </w:r>
      <w:r>
        <w:rPr>
          <w:color w:val="auto"/>
          <w:highlight w:val="none"/>
        </w:rPr>
        <w:tab/>
      </w:r>
      <w:r>
        <w:rPr>
          <w:color w:val="auto"/>
          <w:highlight w:val="none"/>
        </w:rPr>
        <w:fldChar w:fldCharType="begin"/>
      </w:r>
      <w:r>
        <w:rPr>
          <w:color w:val="auto"/>
          <w:highlight w:val="none"/>
        </w:rPr>
        <w:instrText xml:space="preserve"> PAGEREF _Toc17058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_Toc3192 </w:instrText>
      </w:r>
      <w:r>
        <w:rPr>
          <w:color w:val="auto"/>
          <w:highlight w:val="none"/>
        </w:rPr>
        <w:fldChar w:fldCharType="separate"/>
      </w:r>
      <w:r>
        <w:rPr>
          <w:rFonts w:hint="eastAsia" w:ascii="宋体" w:hAnsi="宋体" w:eastAsia="宋体" w:cs="宋体"/>
          <w:color w:val="auto"/>
          <w:highlight w:val="none"/>
        </w:rPr>
        <w:t xml:space="preserve">(二) </w:t>
      </w:r>
      <w:r>
        <w:rPr>
          <w:rFonts w:hint="eastAsia"/>
          <w:color w:val="auto"/>
          <w:highlight w:val="none"/>
        </w:rPr>
        <w:t>开标程序</w:t>
      </w:r>
      <w:r>
        <w:rPr>
          <w:color w:val="auto"/>
          <w:highlight w:val="none"/>
        </w:rPr>
        <w:tab/>
      </w:r>
      <w:r>
        <w:rPr>
          <w:color w:val="auto"/>
          <w:highlight w:val="none"/>
        </w:rPr>
        <w:fldChar w:fldCharType="begin"/>
      </w:r>
      <w:r>
        <w:rPr>
          <w:color w:val="auto"/>
          <w:highlight w:val="none"/>
        </w:rPr>
        <w:instrText xml:space="preserve"> PAGEREF _Toc3192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_Toc14329 </w:instrText>
      </w:r>
      <w:r>
        <w:rPr>
          <w:color w:val="auto"/>
          <w:highlight w:val="none"/>
        </w:rPr>
        <w:fldChar w:fldCharType="separate"/>
      </w:r>
      <w:r>
        <w:rPr>
          <w:rFonts w:hint="eastAsia" w:ascii="宋体" w:hAnsi="宋体" w:eastAsia="宋体" w:cs="宋体"/>
          <w:color w:val="auto"/>
          <w:highlight w:val="none"/>
          <w:lang w:val="en-US" w:eastAsia="zh-CN"/>
        </w:rPr>
        <w:t xml:space="preserve">(三) </w:t>
      </w:r>
      <w:r>
        <w:rPr>
          <w:rFonts w:hint="eastAsia"/>
          <w:color w:val="auto"/>
          <w:highlight w:val="none"/>
          <w:lang w:val="en-US" w:eastAsia="zh-CN"/>
        </w:rPr>
        <w:t>开评标过程存档</w:t>
      </w:r>
      <w:r>
        <w:rPr>
          <w:color w:val="auto"/>
          <w:highlight w:val="none"/>
        </w:rPr>
        <w:tab/>
      </w:r>
      <w:r>
        <w:rPr>
          <w:color w:val="auto"/>
          <w:highlight w:val="none"/>
        </w:rPr>
        <w:fldChar w:fldCharType="begin"/>
      </w:r>
      <w:r>
        <w:rPr>
          <w:color w:val="auto"/>
          <w:highlight w:val="none"/>
        </w:rPr>
        <w:instrText xml:space="preserve"> PAGEREF _Toc14329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_Toc22232 </w:instrText>
      </w:r>
      <w:r>
        <w:rPr>
          <w:color w:val="auto"/>
          <w:highlight w:val="none"/>
        </w:rPr>
        <w:fldChar w:fldCharType="separate"/>
      </w:r>
      <w:r>
        <w:rPr>
          <w:rFonts w:hint="eastAsia" w:ascii="宋体" w:hAnsi="宋体" w:eastAsia="宋体" w:cs="宋体"/>
          <w:color w:val="auto"/>
          <w:highlight w:val="none"/>
          <w:lang w:val="en-US" w:eastAsia="zh-CN"/>
        </w:rPr>
        <w:t xml:space="preserve">(四) </w:t>
      </w:r>
      <w:r>
        <w:rPr>
          <w:rFonts w:hint="eastAsia"/>
          <w:color w:val="auto"/>
          <w:highlight w:val="none"/>
          <w:lang w:val="en-US" w:eastAsia="zh-CN"/>
        </w:rPr>
        <w:t>中标结果</w:t>
      </w:r>
      <w:r>
        <w:rPr>
          <w:color w:val="auto"/>
          <w:highlight w:val="none"/>
        </w:rPr>
        <w:tab/>
      </w:r>
      <w:r>
        <w:rPr>
          <w:color w:val="auto"/>
          <w:highlight w:val="none"/>
        </w:rPr>
        <w:fldChar w:fldCharType="begin"/>
      </w:r>
      <w:r>
        <w:rPr>
          <w:color w:val="auto"/>
          <w:highlight w:val="none"/>
        </w:rPr>
        <w:instrText xml:space="preserve"> PAGEREF _Toc22232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_Toc8386 </w:instrText>
      </w:r>
      <w:r>
        <w:rPr>
          <w:color w:val="auto"/>
          <w:highlight w:val="none"/>
        </w:rPr>
        <w:fldChar w:fldCharType="separate"/>
      </w:r>
      <w:r>
        <w:rPr>
          <w:rFonts w:hint="eastAsia" w:ascii="宋体" w:hAnsi="宋体" w:eastAsia="宋体" w:cs="宋体"/>
          <w:color w:val="auto"/>
          <w:highlight w:val="none"/>
        </w:rPr>
        <w:t xml:space="preserve">(五) </w:t>
      </w:r>
      <w:r>
        <w:rPr>
          <w:rFonts w:hint="eastAsia"/>
          <w:color w:val="auto"/>
          <w:highlight w:val="none"/>
        </w:rPr>
        <w:t>中标通知书</w:t>
      </w:r>
      <w:r>
        <w:rPr>
          <w:color w:val="auto"/>
          <w:highlight w:val="none"/>
        </w:rPr>
        <w:tab/>
      </w:r>
      <w:r>
        <w:rPr>
          <w:color w:val="auto"/>
          <w:highlight w:val="none"/>
        </w:rPr>
        <w:fldChar w:fldCharType="begin"/>
      </w:r>
      <w:r>
        <w:rPr>
          <w:color w:val="auto"/>
          <w:highlight w:val="none"/>
        </w:rPr>
        <w:instrText xml:space="preserve"> PAGEREF _Toc8386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_Toc28511 </w:instrText>
      </w:r>
      <w:r>
        <w:rPr>
          <w:color w:val="auto"/>
          <w:highlight w:val="none"/>
        </w:rPr>
        <w:fldChar w:fldCharType="separate"/>
      </w:r>
      <w:r>
        <w:rPr>
          <w:rFonts w:hint="eastAsia"/>
          <w:color w:val="auto"/>
          <w:highlight w:val="none"/>
        </w:rPr>
        <w:t>六、 签订及履行合同和验收</w:t>
      </w:r>
      <w:r>
        <w:rPr>
          <w:color w:val="auto"/>
          <w:highlight w:val="none"/>
        </w:rPr>
        <w:tab/>
      </w:r>
      <w:r>
        <w:rPr>
          <w:color w:val="auto"/>
          <w:highlight w:val="none"/>
        </w:rPr>
        <w:fldChar w:fldCharType="begin"/>
      </w:r>
      <w:r>
        <w:rPr>
          <w:color w:val="auto"/>
          <w:highlight w:val="none"/>
        </w:rPr>
        <w:instrText xml:space="preserve"> PAGEREF _Toc28511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_Toc24234 </w:instrText>
      </w:r>
      <w:r>
        <w:rPr>
          <w:color w:val="auto"/>
          <w:highlight w:val="none"/>
        </w:rPr>
        <w:fldChar w:fldCharType="separate"/>
      </w:r>
      <w:r>
        <w:rPr>
          <w:rFonts w:hint="eastAsia" w:ascii="宋体" w:hAnsi="宋体" w:eastAsia="宋体" w:cs="宋体"/>
          <w:color w:val="auto"/>
          <w:highlight w:val="none"/>
        </w:rPr>
        <w:t xml:space="preserve">(一) </w:t>
      </w:r>
      <w:r>
        <w:rPr>
          <w:rFonts w:hint="eastAsia"/>
          <w:color w:val="auto"/>
          <w:highlight w:val="none"/>
        </w:rPr>
        <w:t>签订合同</w:t>
      </w:r>
      <w:r>
        <w:rPr>
          <w:color w:val="auto"/>
          <w:highlight w:val="none"/>
        </w:rPr>
        <w:tab/>
      </w:r>
      <w:r>
        <w:rPr>
          <w:color w:val="auto"/>
          <w:highlight w:val="none"/>
        </w:rPr>
        <w:fldChar w:fldCharType="begin"/>
      </w:r>
      <w:r>
        <w:rPr>
          <w:color w:val="auto"/>
          <w:highlight w:val="none"/>
        </w:rPr>
        <w:instrText xml:space="preserve"> PAGEREF _Toc24234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_Toc7894 </w:instrText>
      </w:r>
      <w:r>
        <w:rPr>
          <w:color w:val="auto"/>
          <w:highlight w:val="none"/>
        </w:rPr>
        <w:fldChar w:fldCharType="separate"/>
      </w:r>
      <w:r>
        <w:rPr>
          <w:rFonts w:hint="eastAsia" w:ascii="宋体" w:hAnsi="宋体" w:eastAsia="宋体" w:cs="宋体"/>
          <w:color w:val="auto"/>
          <w:highlight w:val="none"/>
          <w:lang w:val="en-US"/>
        </w:rPr>
        <w:t xml:space="preserve">(二) </w:t>
      </w:r>
      <w:r>
        <w:rPr>
          <w:rFonts w:hint="eastAsia"/>
          <w:color w:val="auto"/>
          <w:highlight w:val="none"/>
        </w:rPr>
        <w:t>合同分包</w:t>
      </w:r>
      <w:r>
        <w:rPr>
          <w:rFonts w:hint="eastAsia"/>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_Toc7894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_Toc5596 </w:instrText>
      </w:r>
      <w:r>
        <w:rPr>
          <w:color w:val="auto"/>
          <w:highlight w:val="none"/>
        </w:rPr>
        <w:fldChar w:fldCharType="separate"/>
      </w:r>
      <w:r>
        <w:rPr>
          <w:rFonts w:hint="eastAsia" w:ascii="宋体" w:hAnsi="宋体" w:eastAsia="宋体" w:cs="宋体"/>
          <w:color w:val="auto"/>
          <w:highlight w:val="none"/>
        </w:rPr>
        <w:t xml:space="preserve">(三) </w:t>
      </w:r>
      <w:r>
        <w:rPr>
          <w:rFonts w:hint="eastAsia"/>
          <w:color w:val="auto"/>
          <w:highlight w:val="none"/>
        </w:rPr>
        <w:t>合同转包</w:t>
      </w:r>
      <w:r>
        <w:rPr>
          <w:rFonts w:hint="eastAsia"/>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_Toc5596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_Toc9500 </w:instrText>
      </w:r>
      <w:r>
        <w:rPr>
          <w:color w:val="auto"/>
          <w:highlight w:val="none"/>
        </w:rPr>
        <w:fldChar w:fldCharType="separate"/>
      </w:r>
      <w:r>
        <w:rPr>
          <w:rFonts w:hint="eastAsia" w:ascii="宋体" w:hAnsi="宋体" w:eastAsia="宋体" w:cs="宋体"/>
          <w:color w:val="auto"/>
          <w:highlight w:val="none"/>
        </w:rPr>
        <w:t xml:space="preserve">(四) </w:t>
      </w:r>
      <w:r>
        <w:rPr>
          <w:rFonts w:hint="eastAsia"/>
          <w:color w:val="auto"/>
          <w:highlight w:val="none"/>
        </w:rPr>
        <w:t>补充合同</w:t>
      </w:r>
      <w:r>
        <w:rPr>
          <w:color w:val="auto"/>
          <w:highlight w:val="none"/>
        </w:rPr>
        <w:tab/>
      </w:r>
      <w:r>
        <w:rPr>
          <w:color w:val="auto"/>
          <w:highlight w:val="none"/>
        </w:rPr>
        <w:fldChar w:fldCharType="begin"/>
      </w:r>
      <w:r>
        <w:rPr>
          <w:color w:val="auto"/>
          <w:highlight w:val="none"/>
        </w:rPr>
        <w:instrText xml:space="preserve"> PAGEREF _Toc9500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_Toc6124 </w:instrText>
      </w:r>
      <w:r>
        <w:rPr>
          <w:color w:val="auto"/>
          <w:highlight w:val="none"/>
        </w:rPr>
        <w:fldChar w:fldCharType="separate"/>
      </w:r>
      <w:r>
        <w:rPr>
          <w:rFonts w:hint="eastAsia" w:ascii="宋体" w:hAnsi="宋体" w:eastAsia="宋体" w:cs="宋体"/>
          <w:color w:val="auto"/>
          <w:highlight w:val="none"/>
        </w:rPr>
        <w:t xml:space="preserve">(五) </w:t>
      </w:r>
      <w:r>
        <w:rPr>
          <w:rFonts w:hint="eastAsia"/>
          <w:color w:val="auto"/>
          <w:highlight w:val="none"/>
        </w:rPr>
        <w:t>履约保证金</w:t>
      </w:r>
      <w:r>
        <w:rPr>
          <w:rFonts w:hint="eastAsia"/>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_Toc6124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_Toc8785 </w:instrText>
      </w:r>
      <w:r>
        <w:rPr>
          <w:color w:val="auto"/>
          <w:highlight w:val="none"/>
        </w:rPr>
        <w:fldChar w:fldCharType="separate"/>
      </w:r>
      <w:r>
        <w:rPr>
          <w:rFonts w:hint="eastAsia" w:ascii="宋体" w:hAnsi="宋体" w:eastAsia="宋体" w:cs="宋体"/>
          <w:color w:val="auto"/>
          <w:highlight w:val="none"/>
        </w:rPr>
        <w:t xml:space="preserve">(六) </w:t>
      </w:r>
      <w:r>
        <w:rPr>
          <w:rFonts w:hint="eastAsia"/>
          <w:color w:val="auto"/>
          <w:highlight w:val="none"/>
        </w:rPr>
        <w:t>履行合同</w:t>
      </w:r>
      <w:r>
        <w:rPr>
          <w:color w:val="auto"/>
          <w:highlight w:val="none"/>
        </w:rPr>
        <w:tab/>
      </w:r>
      <w:r>
        <w:rPr>
          <w:color w:val="auto"/>
          <w:highlight w:val="none"/>
        </w:rPr>
        <w:fldChar w:fldCharType="begin"/>
      </w:r>
      <w:r>
        <w:rPr>
          <w:color w:val="auto"/>
          <w:highlight w:val="none"/>
        </w:rPr>
        <w:instrText xml:space="preserve"> PAGEREF _Toc8785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_Toc26839 </w:instrText>
      </w:r>
      <w:r>
        <w:rPr>
          <w:color w:val="auto"/>
          <w:highlight w:val="none"/>
        </w:rPr>
        <w:fldChar w:fldCharType="separate"/>
      </w:r>
      <w:r>
        <w:rPr>
          <w:rFonts w:hint="eastAsia" w:ascii="宋体" w:hAnsi="宋体" w:eastAsia="宋体" w:cs="宋体"/>
          <w:color w:val="auto"/>
          <w:highlight w:val="none"/>
        </w:rPr>
        <w:t xml:space="preserve">(七) </w:t>
      </w:r>
      <w:r>
        <w:rPr>
          <w:rFonts w:hint="eastAsia"/>
          <w:color w:val="auto"/>
          <w:highlight w:val="none"/>
        </w:rPr>
        <w:t>验收</w:t>
      </w:r>
      <w:r>
        <w:rPr>
          <w:color w:val="auto"/>
          <w:highlight w:val="none"/>
        </w:rPr>
        <w:tab/>
      </w:r>
      <w:r>
        <w:rPr>
          <w:color w:val="auto"/>
          <w:highlight w:val="none"/>
        </w:rPr>
        <w:fldChar w:fldCharType="begin"/>
      </w:r>
      <w:r>
        <w:rPr>
          <w:color w:val="auto"/>
          <w:highlight w:val="none"/>
        </w:rPr>
        <w:instrText xml:space="preserve"> PAGEREF _Toc26839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_Toc4693 </w:instrText>
      </w:r>
      <w:r>
        <w:rPr>
          <w:color w:val="auto"/>
          <w:highlight w:val="none"/>
        </w:rPr>
        <w:fldChar w:fldCharType="separate"/>
      </w:r>
      <w:r>
        <w:rPr>
          <w:rFonts w:hint="eastAsia" w:ascii="宋体" w:hAnsi="宋体" w:eastAsia="宋体" w:cs="宋体"/>
          <w:color w:val="auto"/>
          <w:highlight w:val="none"/>
        </w:rPr>
        <w:t xml:space="preserve">(八) </w:t>
      </w:r>
      <w:r>
        <w:rPr>
          <w:rFonts w:hint="eastAsia"/>
          <w:color w:val="auto"/>
          <w:highlight w:val="none"/>
        </w:rPr>
        <w:t>资金支付</w:t>
      </w:r>
      <w:r>
        <w:rPr>
          <w:rFonts w:hint="eastAsia"/>
          <w:color w:val="auto"/>
          <w:highlight w:val="none"/>
          <w:lang w:val="en-US" w:eastAsia="zh-CN"/>
        </w:rPr>
        <w:t>方式、时间、条件</w:t>
      </w:r>
      <w:r>
        <w:rPr>
          <w:color w:val="auto"/>
          <w:highlight w:val="none"/>
        </w:rPr>
        <w:tab/>
      </w:r>
      <w:r>
        <w:rPr>
          <w:color w:val="auto"/>
          <w:highlight w:val="none"/>
        </w:rPr>
        <w:fldChar w:fldCharType="begin"/>
      </w:r>
      <w:r>
        <w:rPr>
          <w:color w:val="auto"/>
          <w:highlight w:val="none"/>
        </w:rPr>
        <w:instrText xml:space="preserve"> PAGEREF _Toc4693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_Toc21534 </w:instrText>
      </w:r>
      <w:r>
        <w:rPr>
          <w:color w:val="auto"/>
          <w:highlight w:val="none"/>
        </w:rPr>
        <w:fldChar w:fldCharType="separate"/>
      </w:r>
      <w:r>
        <w:rPr>
          <w:rFonts w:hint="eastAsia"/>
          <w:color w:val="auto"/>
          <w:highlight w:val="none"/>
        </w:rPr>
        <w:t>七、 投标纪律要求</w:t>
      </w:r>
      <w:r>
        <w:rPr>
          <w:color w:val="auto"/>
          <w:highlight w:val="none"/>
        </w:rPr>
        <w:tab/>
      </w:r>
      <w:r>
        <w:rPr>
          <w:color w:val="auto"/>
          <w:highlight w:val="none"/>
        </w:rPr>
        <w:fldChar w:fldCharType="begin"/>
      </w:r>
      <w:r>
        <w:rPr>
          <w:color w:val="auto"/>
          <w:highlight w:val="none"/>
        </w:rPr>
        <w:instrText xml:space="preserve"> PAGEREF _Toc21534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_Toc29608 </w:instrText>
      </w:r>
      <w:r>
        <w:rPr>
          <w:color w:val="auto"/>
          <w:highlight w:val="none"/>
        </w:rPr>
        <w:fldChar w:fldCharType="separate"/>
      </w:r>
      <w:r>
        <w:rPr>
          <w:rFonts w:hint="eastAsia"/>
          <w:color w:val="auto"/>
          <w:highlight w:val="none"/>
        </w:rPr>
        <w:t xml:space="preserve">八、 </w:t>
      </w:r>
      <w:r>
        <w:rPr>
          <w:rFonts w:hint="eastAsia"/>
          <w:color w:val="auto"/>
          <w:highlight w:val="none"/>
          <w:lang w:val="en-US" w:eastAsia="zh-CN"/>
        </w:rPr>
        <w:t>其他</w:t>
      </w:r>
      <w:r>
        <w:rPr>
          <w:color w:val="auto"/>
          <w:highlight w:val="none"/>
        </w:rPr>
        <w:tab/>
      </w:r>
      <w:r>
        <w:rPr>
          <w:color w:val="auto"/>
          <w:highlight w:val="none"/>
        </w:rPr>
        <w:fldChar w:fldCharType="begin"/>
      </w:r>
      <w:r>
        <w:rPr>
          <w:color w:val="auto"/>
          <w:highlight w:val="none"/>
        </w:rPr>
        <w:instrText xml:space="preserve"> PAGEREF _Toc29608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_Toc18255 </w:instrText>
      </w:r>
      <w:r>
        <w:rPr>
          <w:color w:val="auto"/>
          <w:highlight w:val="none"/>
        </w:rPr>
        <w:fldChar w:fldCharType="separate"/>
      </w:r>
      <w:r>
        <w:rPr>
          <w:rFonts w:hint="eastAsia" w:ascii="宋体" w:hAnsi="宋体" w:eastAsia="宋体" w:cs="宋体"/>
          <w:color w:val="auto"/>
          <w:highlight w:val="none"/>
        </w:rPr>
        <w:t xml:space="preserve">(一) </w:t>
      </w:r>
      <w:r>
        <w:rPr>
          <w:rFonts w:hint="eastAsia"/>
          <w:color w:val="auto"/>
          <w:highlight w:val="none"/>
        </w:rPr>
        <w:t>询问</w:t>
      </w:r>
      <w:r>
        <w:rPr>
          <w:rFonts w:hint="eastAsia"/>
          <w:color w:val="auto"/>
          <w:highlight w:val="none"/>
          <w:lang w:eastAsia="zh-CN"/>
        </w:rPr>
        <w:t>、</w:t>
      </w:r>
      <w:r>
        <w:rPr>
          <w:rFonts w:hint="eastAsia"/>
          <w:color w:val="auto"/>
          <w:highlight w:val="none"/>
          <w:lang w:val="en-US" w:eastAsia="zh-CN"/>
        </w:rPr>
        <w:t>质疑和投诉</w:t>
      </w:r>
      <w:r>
        <w:rPr>
          <w:color w:val="auto"/>
          <w:highlight w:val="none"/>
        </w:rPr>
        <w:tab/>
      </w:r>
      <w:r>
        <w:rPr>
          <w:color w:val="auto"/>
          <w:highlight w:val="none"/>
        </w:rPr>
        <w:fldChar w:fldCharType="begin"/>
      </w:r>
      <w:r>
        <w:rPr>
          <w:color w:val="auto"/>
          <w:highlight w:val="none"/>
        </w:rPr>
        <w:instrText xml:space="preserve"> PAGEREF _Toc18255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_Toc21175 </w:instrText>
      </w:r>
      <w:r>
        <w:rPr>
          <w:color w:val="auto"/>
          <w:highlight w:val="none"/>
        </w:rPr>
        <w:fldChar w:fldCharType="separate"/>
      </w:r>
      <w:r>
        <w:rPr>
          <w:rFonts w:hint="eastAsia" w:ascii="宋体" w:hAnsi="宋体" w:eastAsia="宋体" w:cs="宋体"/>
          <w:color w:val="auto"/>
          <w:highlight w:val="none"/>
        </w:rPr>
        <w:t xml:space="preserve">(二) </w:t>
      </w:r>
      <w:r>
        <w:rPr>
          <w:rFonts w:hint="eastAsia"/>
          <w:color w:val="auto"/>
          <w:highlight w:val="none"/>
        </w:rPr>
        <w:t>关于行贿犯罪档案查询工作的规定</w:t>
      </w:r>
      <w:r>
        <w:rPr>
          <w:color w:val="auto"/>
          <w:highlight w:val="none"/>
        </w:rPr>
        <w:tab/>
      </w:r>
      <w:r>
        <w:rPr>
          <w:color w:val="auto"/>
          <w:highlight w:val="none"/>
        </w:rPr>
        <w:fldChar w:fldCharType="begin"/>
      </w:r>
      <w:r>
        <w:rPr>
          <w:color w:val="auto"/>
          <w:highlight w:val="none"/>
        </w:rPr>
        <w:instrText xml:space="preserve"> PAGEREF _Toc21175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_Toc1490 </w:instrText>
      </w:r>
      <w:r>
        <w:rPr>
          <w:color w:val="auto"/>
          <w:highlight w:val="none"/>
        </w:rPr>
        <w:fldChar w:fldCharType="separate"/>
      </w:r>
      <w:r>
        <w:rPr>
          <w:rFonts w:hint="eastAsia" w:ascii="宋体" w:hAnsi="宋体" w:eastAsia="宋体" w:cs="宋体"/>
          <w:color w:val="auto"/>
          <w:highlight w:val="none"/>
          <w:lang w:val="en-US" w:eastAsia="zh-CN"/>
        </w:rPr>
        <w:t xml:space="preserve">(三) </w:t>
      </w:r>
      <w:r>
        <w:rPr>
          <w:rFonts w:hint="eastAsia"/>
          <w:color w:val="auto"/>
          <w:highlight w:val="none"/>
          <w:lang w:val="en-US" w:eastAsia="zh-CN"/>
        </w:rPr>
        <w:t>串通投标的情形</w:t>
      </w:r>
      <w:r>
        <w:rPr>
          <w:color w:val="auto"/>
          <w:highlight w:val="none"/>
        </w:rPr>
        <w:tab/>
      </w:r>
      <w:r>
        <w:rPr>
          <w:color w:val="auto"/>
          <w:highlight w:val="none"/>
        </w:rPr>
        <w:fldChar w:fldCharType="begin"/>
      </w:r>
      <w:r>
        <w:rPr>
          <w:color w:val="auto"/>
          <w:highlight w:val="none"/>
        </w:rPr>
        <w:instrText xml:space="preserve"> PAGEREF _Toc1490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_Toc29498 </w:instrText>
      </w:r>
      <w:r>
        <w:rPr>
          <w:color w:val="auto"/>
          <w:highlight w:val="none"/>
        </w:rPr>
        <w:fldChar w:fldCharType="separate"/>
      </w:r>
      <w:r>
        <w:rPr>
          <w:rFonts w:hint="eastAsia" w:ascii="宋体" w:hAnsi="宋体" w:eastAsia="宋体" w:cs="宋体"/>
          <w:color w:val="auto"/>
          <w:highlight w:val="none"/>
          <w:lang w:val="en-US" w:eastAsia="zh-CN"/>
        </w:rPr>
        <w:t xml:space="preserve">(四) </w:t>
      </w:r>
      <w:r>
        <w:rPr>
          <w:rFonts w:hint="eastAsia"/>
          <w:color w:val="auto"/>
          <w:highlight w:val="none"/>
          <w:lang w:val="en-US" w:eastAsia="zh-CN"/>
        </w:rPr>
        <w:t>投标人信用信息查询</w:t>
      </w:r>
      <w:r>
        <w:rPr>
          <w:color w:val="auto"/>
          <w:highlight w:val="none"/>
        </w:rPr>
        <w:tab/>
      </w:r>
      <w:r>
        <w:rPr>
          <w:color w:val="auto"/>
          <w:highlight w:val="none"/>
        </w:rPr>
        <w:fldChar w:fldCharType="begin"/>
      </w:r>
      <w:r>
        <w:rPr>
          <w:color w:val="auto"/>
          <w:highlight w:val="none"/>
        </w:rPr>
        <w:instrText xml:space="preserve"> PAGEREF _Toc29498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_Toc17093 </w:instrText>
      </w:r>
      <w:r>
        <w:rPr>
          <w:color w:val="auto"/>
          <w:highlight w:val="none"/>
        </w:rPr>
        <w:fldChar w:fldCharType="separate"/>
      </w:r>
      <w:r>
        <w:rPr>
          <w:rFonts w:hint="eastAsia" w:ascii="宋体" w:hAnsi="宋体" w:eastAsia="宋体" w:cs="宋体"/>
          <w:color w:val="auto"/>
          <w:highlight w:val="none"/>
          <w:lang w:val="en-US" w:eastAsia="zh-CN"/>
        </w:rPr>
        <w:t xml:space="preserve">(五) </w:t>
      </w:r>
      <w:r>
        <w:rPr>
          <w:rFonts w:hint="eastAsia"/>
          <w:color w:val="auto"/>
          <w:highlight w:val="none"/>
          <w:lang w:val="en-US" w:eastAsia="zh-CN"/>
        </w:rPr>
        <w:t>保密</w:t>
      </w:r>
      <w:r>
        <w:rPr>
          <w:color w:val="auto"/>
          <w:highlight w:val="none"/>
        </w:rPr>
        <w:tab/>
      </w:r>
      <w:r>
        <w:rPr>
          <w:color w:val="auto"/>
          <w:highlight w:val="none"/>
        </w:rPr>
        <w:fldChar w:fldCharType="begin"/>
      </w:r>
      <w:r>
        <w:rPr>
          <w:color w:val="auto"/>
          <w:highlight w:val="none"/>
        </w:rPr>
        <w:instrText xml:space="preserve"> PAGEREF _Toc17093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_Toc18705 </w:instrText>
      </w:r>
      <w:r>
        <w:rPr>
          <w:color w:val="auto"/>
          <w:highlight w:val="none"/>
        </w:rPr>
        <w:fldChar w:fldCharType="separate"/>
      </w:r>
      <w:r>
        <w:rPr>
          <w:rFonts w:hint="eastAsia" w:ascii="宋体" w:hAnsi="宋体" w:eastAsia="宋体" w:cs="宋体"/>
          <w:color w:val="auto"/>
          <w:highlight w:val="none"/>
          <w:lang w:val="en-US" w:eastAsia="zh-CN"/>
        </w:rPr>
        <w:t xml:space="preserve">(六) </w:t>
      </w:r>
      <w:r>
        <w:rPr>
          <w:rFonts w:hint="eastAsia"/>
          <w:color w:val="auto"/>
          <w:highlight w:val="none"/>
          <w:lang w:val="en-US" w:eastAsia="zh-CN"/>
        </w:rPr>
        <w:t>回避</w:t>
      </w:r>
      <w:r>
        <w:rPr>
          <w:color w:val="auto"/>
          <w:highlight w:val="none"/>
        </w:rPr>
        <w:tab/>
      </w:r>
      <w:r>
        <w:rPr>
          <w:color w:val="auto"/>
          <w:highlight w:val="none"/>
        </w:rPr>
        <w:fldChar w:fldCharType="begin"/>
      </w:r>
      <w:r>
        <w:rPr>
          <w:color w:val="auto"/>
          <w:highlight w:val="none"/>
        </w:rPr>
        <w:instrText xml:space="preserve"> PAGEREF _Toc18705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_Toc25304 </w:instrText>
      </w:r>
      <w:r>
        <w:rPr>
          <w:color w:val="auto"/>
          <w:highlight w:val="none"/>
        </w:rPr>
        <w:fldChar w:fldCharType="separate"/>
      </w:r>
      <w:r>
        <w:rPr>
          <w:rFonts w:hint="eastAsia" w:ascii="宋体" w:hAnsi="宋体" w:eastAsia="宋体" w:cs="宋体"/>
          <w:color w:val="auto"/>
          <w:highlight w:val="none"/>
          <w:lang w:val="en-US" w:eastAsia="zh-CN"/>
        </w:rPr>
        <w:t xml:space="preserve">(七) </w:t>
      </w:r>
      <w:r>
        <w:rPr>
          <w:rFonts w:hint="eastAsia"/>
          <w:color w:val="auto"/>
          <w:highlight w:val="none"/>
          <w:lang w:val="en-US" w:eastAsia="zh-CN"/>
        </w:rPr>
        <w:t>解释说明</w:t>
      </w:r>
      <w:r>
        <w:rPr>
          <w:color w:val="auto"/>
          <w:highlight w:val="none"/>
        </w:rPr>
        <w:tab/>
      </w:r>
      <w:r>
        <w:rPr>
          <w:color w:val="auto"/>
          <w:highlight w:val="none"/>
        </w:rPr>
        <w:fldChar w:fldCharType="begin"/>
      </w:r>
      <w:r>
        <w:rPr>
          <w:color w:val="auto"/>
          <w:highlight w:val="none"/>
        </w:rPr>
        <w:instrText xml:space="preserve"> PAGEREF _Toc25304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16"/>
        <w:tabs>
          <w:tab w:val="clear" w:pos="0"/>
        </w:tabs>
        <w:rPr>
          <w:color w:val="auto"/>
          <w:highlight w:val="none"/>
        </w:rPr>
      </w:pPr>
      <w:r>
        <w:rPr>
          <w:color w:val="auto"/>
          <w:highlight w:val="none"/>
        </w:rPr>
        <w:fldChar w:fldCharType="begin"/>
      </w:r>
      <w:r>
        <w:rPr>
          <w:color w:val="auto"/>
          <w:highlight w:val="none"/>
        </w:rPr>
        <w:instrText xml:space="preserve"> HYPERLINK \l _Toc11566 </w:instrText>
      </w:r>
      <w:r>
        <w:rPr>
          <w:color w:val="auto"/>
          <w:highlight w:val="none"/>
        </w:rPr>
        <w:fldChar w:fldCharType="separate"/>
      </w:r>
      <w:r>
        <w:rPr>
          <w:rFonts w:hint="eastAsia" w:ascii="宋体" w:hAnsi="宋体" w:eastAsia="宋体" w:cs="宋体"/>
          <w:color w:val="auto"/>
          <w:highlight w:val="none"/>
        </w:rPr>
        <w:t xml:space="preserve">第三章 </w:t>
      </w:r>
      <w:r>
        <w:rPr>
          <w:rFonts w:hint="eastAsia"/>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_Toc11566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_Toc28182 </w:instrText>
      </w:r>
      <w:r>
        <w:rPr>
          <w:color w:val="auto"/>
          <w:highlight w:val="none"/>
        </w:rPr>
        <w:fldChar w:fldCharType="separate"/>
      </w:r>
      <w:r>
        <w:rPr>
          <w:rFonts w:hint="eastAsia"/>
          <w:color w:val="auto"/>
          <w:szCs w:val="32"/>
          <w:highlight w:val="none"/>
          <w:lang w:val="en-US" w:eastAsia="zh-CN"/>
        </w:rPr>
        <w:t>第一部</w:t>
      </w:r>
      <w:r>
        <w:rPr>
          <w:rFonts w:hint="eastAsia"/>
          <w:color w:val="auto"/>
          <w:szCs w:val="32"/>
          <w:highlight w:val="none"/>
        </w:rPr>
        <w:t>分 资格、资质性及其他类似效力</w:t>
      </w:r>
      <w:r>
        <w:rPr>
          <w:rFonts w:hint="eastAsia"/>
          <w:color w:val="auto"/>
          <w:szCs w:val="32"/>
          <w:highlight w:val="none"/>
          <w:lang w:val="en-US" w:eastAsia="zh-CN"/>
        </w:rPr>
        <w:t>投标</w:t>
      </w:r>
      <w:r>
        <w:rPr>
          <w:rFonts w:hint="eastAsia"/>
          <w:color w:val="auto"/>
          <w:szCs w:val="32"/>
          <w:highlight w:val="none"/>
        </w:rPr>
        <w:t>文件(格式)</w:t>
      </w:r>
      <w:r>
        <w:rPr>
          <w:color w:val="auto"/>
          <w:highlight w:val="none"/>
        </w:rPr>
        <w:tab/>
      </w:r>
      <w:r>
        <w:rPr>
          <w:color w:val="auto"/>
          <w:highlight w:val="none"/>
        </w:rPr>
        <w:fldChar w:fldCharType="begin"/>
      </w:r>
      <w:r>
        <w:rPr>
          <w:color w:val="auto"/>
          <w:highlight w:val="none"/>
        </w:rPr>
        <w:instrText xml:space="preserve"> PAGEREF _Toc28182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_Toc22229 </w:instrText>
      </w:r>
      <w:r>
        <w:rPr>
          <w:color w:val="auto"/>
          <w:highlight w:val="none"/>
        </w:rPr>
        <w:fldChar w:fldCharType="separate"/>
      </w:r>
      <w:r>
        <w:rPr>
          <w:rFonts w:hint="eastAsia"/>
          <w:color w:val="auto"/>
          <w:highlight w:val="none"/>
        </w:rPr>
        <w:t>一、 法定代表人</w:t>
      </w:r>
      <w:r>
        <w:rPr>
          <w:rFonts w:hint="eastAsia"/>
          <w:color w:val="auto"/>
          <w:highlight w:val="none"/>
          <w:lang w:val="en-US" w:eastAsia="zh-CN"/>
        </w:rPr>
        <w:t>/单位负责人</w:t>
      </w:r>
      <w:r>
        <w:rPr>
          <w:rFonts w:hint="eastAsia"/>
          <w:color w:val="auto"/>
          <w:highlight w:val="none"/>
        </w:rPr>
        <w:t>授权书</w:t>
      </w:r>
      <w:r>
        <w:rPr>
          <w:color w:val="auto"/>
          <w:highlight w:val="none"/>
        </w:rPr>
        <w:tab/>
      </w:r>
      <w:r>
        <w:rPr>
          <w:color w:val="auto"/>
          <w:highlight w:val="none"/>
        </w:rPr>
        <w:fldChar w:fldCharType="begin"/>
      </w:r>
      <w:r>
        <w:rPr>
          <w:color w:val="auto"/>
          <w:highlight w:val="none"/>
        </w:rPr>
        <w:instrText xml:space="preserve"> PAGEREF _Toc22229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_Toc14505 </w:instrText>
      </w:r>
      <w:r>
        <w:rPr>
          <w:color w:val="auto"/>
          <w:highlight w:val="none"/>
        </w:rPr>
        <w:fldChar w:fldCharType="separate"/>
      </w:r>
      <w:r>
        <w:rPr>
          <w:rFonts w:hint="eastAsia"/>
          <w:color w:val="auto"/>
          <w:highlight w:val="none"/>
          <w:lang w:val="en-US" w:eastAsia="zh-CN"/>
        </w:rPr>
        <w:t>一、 法定代表人/单位负责人证明书</w:t>
      </w:r>
      <w:r>
        <w:rPr>
          <w:color w:val="auto"/>
          <w:highlight w:val="none"/>
        </w:rPr>
        <w:tab/>
      </w:r>
      <w:r>
        <w:rPr>
          <w:color w:val="auto"/>
          <w:highlight w:val="none"/>
        </w:rPr>
        <w:fldChar w:fldCharType="begin"/>
      </w:r>
      <w:r>
        <w:rPr>
          <w:color w:val="auto"/>
          <w:highlight w:val="none"/>
        </w:rPr>
        <w:instrText xml:space="preserve"> PAGEREF _Toc14505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_Toc9128 </w:instrText>
      </w:r>
      <w:r>
        <w:rPr>
          <w:color w:val="auto"/>
          <w:highlight w:val="none"/>
        </w:rPr>
        <w:fldChar w:fldCharType="separate"/>
      </w:r>
      <w:r>
        <w:rPr>
          <w:rFonts w:hint="eastAsia"/>
          <w:color w:val="auto"/>
          <w:highlight w:val="none"/>
          <w:lang w:val="en-US" w:eastAsia="zh-CN"/>
        </w:rPr>
        <w:t>二、 具有独立承担民事责任的能力的证明材料</w:t>
      </w:r>
      <w:r>
        <w:rPr>
          <w:color w:val="auto"/>
          <w:highlight w:val="none"/>
        </w:rPr>
        <w:tab/>
      </w:r>
      <w:r>
        <w:rPr>
          <w:color w:val="auto"/>
          <w:highlight w:val="none"/>
        </w:rPr>
        <w:fldChar w:fldCharType="begin"/>
      </w:r>
      <w:r>
        <w:rPr>
          <w:color w:val="auto"/>
          <w:highlight w:val="none"/>
        </w:rPr>
        <w:instrText xml:space="preserve"> PAGEREF _Toc9128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_Toc17191 </w:instrText>
      </w:r>
      <w:r>
        <w:rPr>
          <w:color w:val="auto"/>
          <w:highlight w:val="none"/>
        </w:rPr>
        <w:fldChar w:fldCharType="separate"/>
      </w:r>
      <w:r>
        <w:rPr>
          <w:rFonts w:hint="eastAsia" w:ascii="宋体" w:hAnsi="宋体" w:eastAsia="宋体"/>
          <w:color w:val="auto"/>
          <w:highlight w:val="none"/>
          <w:lang w:val="en-US" w:eastAsia="zh-CN"/>
        </w:rPr>
        <w:t>三、 投标人具有良好的商业信誉和健全的财务会计制度的证明材料</w:t>
      </w:r>
      <w:r>
        <w:rPr>
          <w:color w:val="auto"/>
          <w:highlight w:val="none"/>
        </w:rPr>
        <w:tab/>
      </w:r>
      <w:r>
        <w:rPr>
          <w:color w:val="auto"/>
          <w:highlight w:val="none"/>
        </w:rPr>
        <w:fldChar w:fldCharType="begin"/>
      </w:r>
      <w:r>
        <w:rPr>
          <w:color w:val="auto"/>
          <w:highlight w:val="none"/>
        </w:rPr>
        <w:instrText xml:space="preserve"> PAGEREF _Toc17191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_Toc19813 </w:instrText>
      </w:r>
      <w:r>
        <w:rPr>
          <w:color w:val="auto"/>
          <w:highlight w:val="none"/>
        </w:rPr>
        <w:fldChar w:fldCharType="separate"/>
      </w:r>
      <w:r>
        <w:rPr>
          <w:rFonts w:hint="eastAsia" w:ascii="宋体" w:hAnsi="宋体" w:eastAsia="宋体"/>
          <w:color w:val="auto"/>
          <w:highlight w:val="none"/>
          <w:lang w:val="en-US" w:eastAsia="zh-CN"/>
        </w:rPr>
        <w:t>四、 投标人有依法缴纳税收和社会保障资金的良好记录的证明材料</w:t>
      </w:r>
      <w:r>
        <w:rPr>
          <w:color w:val="auto"/>
          <w:highlight w:val="none"/>
        </w:rPr>
        <w:tab/>
      </w:r>
      <w:r>
        <w:rPr>
          <w:color w:val="auto"/>
          <w:highlight w:val="none"/>
        </w:rPr>
        <w:fldChar w:fldCharType="begin"/>
      </w:r>
      <w:r>
        <w:rPr>
          <w:color w:val="auto"/>
          <w:highlight w:val="none"/>
        </w:rPr>
        <w:instrText xml:space="preserve"> PAGEREF _Toc19813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_Toc5612 </w:instrText>
      </w:r>
      <w:r>
        <w:rPr>
          <w:color w:val="auto"/>
          <w:highlight w:val="none"/>
        </w:rPr>
        <w:fldChar w:fldCharType="separate"/>
      </w:r>
      <w:r>
        <w:rPr>
          <w:rFonts w:hint="eastAsia" w:ascii="宋体" w:hAnsi="宋体" w:eastAsia="宋体"/>
          <w:color w:val="auto"/>
          <w:highlight w:val="none"/>
          <w:lang w:val="en-US" w:eastAsia="zh-CN"/>
        </w:rPr>
        <w:t>五、 投标人具有履行合同所必需的设备和专业技术能力证明材料</w:t>
      </w:r>
      <w:r>
        <w:rPr>
          <w:color w:val="auto"/>
          <w:highlight w:val="none"/>
        </w:rPr>
        <w:tab/>
      </w:r>
      <w:r>
        <w:rPr>
          <w:color w:val="auto"/>
          <w:highlight w:val="none"/>
        </w:rPr>
        <w:fldChar w:fldCharType="begin"/>
      </w:r>
      <w:r>
        <w:rPr>
          <w:color w:val="auto"/>
          <w:highlight w:val="none"/>
        </w:rPr>
        <w:instrText xml:space="preserve"> PAGEREF _Toc5612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_Toc25150 </w:instrText>
      </w:r>
      <w:r>
        <w:rPr>
          <w:color w:val="auto"/>
          <w:highlight w:val="none"/>
        </w:rPr>
        <w:fldChar w:fldCharType="separate"/>
      </w:r>
      <w:r>
        <w:rPr>
          <w:rFonts w:hint="eastAsia" w:ascii="宋体" w:hAnsi="宋体" w:eastAsia="宋体"/>
          <w:color w:val="auto"/>
          <w:highlight w:val="none"/>
          <w:lang w:val="en-US" w:eastAsia="zh-CN"/>
        </w:rPr>
        <w:t>六、 投标人参加采购活动前三年内，在经营活动中没有重大违法记录的证明材料</w:t>
      </w:r>
      <w:r>
        <w:rPr>
          <w:color w:val="auto"/>
          <w:highlight w:val="none"/>
        </w:rPr>
        <w:tab/>
      </w:r>
      <w:r>
        <w:rPr>
          <w:color w:val="auto"/>
          <w:highlight w:val="none"/>
        </w:rPr>
        <w:fldChar w:fldCharType="begin"/>
      </w:r>
      <w:r>
        <w:rPr>
          <w:color w:val="auto"/>
          <w:highlight w:val="none"/>
        </w:rPr>
        <w:instrText xml:space="preserve"> PAGEREF _Toc25150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_Toc14469 </w:instrText>
      </w:r>
      <w:r>
        <w:rPr>
          <w:color w:val="auto"/>
          <w:highlight w:val="none"/>
        </w:rPr>
        <w:fldChar w:fldCharType="separate"/>
      </w:r>
      <w:r>
        <w:rPr>
          <w:rFonts w:hint="eastAsia" w:ascii="宋体" w:hAnsi="宋体" w:eastAsia="宋体"/>
          <w:color w:val="auto"/>
          <w:highlight w:val="none"/>
          <w:lang w:val="zh-CN" w:eastAsia="zh-CN"/>
        </w:rPr>
        <w:t xml:space="preserve">七、 </w:t>
      </w:r>
      <w:r>
        <w:rPr>
          <w:rFonts w:hint="eastAsia" w:ascii="宋体" w:hAnsi="宋体" w:eastAsia="宋体"/>
          <w:color w:val="auto"/>
          <w:highlight w:val="none"/>
          <w:lang w:val="en-US" w:eastAsia="zh-CN"/>
        </w:rPr>
        <w:t>投标人</w:t>
      </w:r>
      <w:r>
        <w:rPr>
          <w:rFonts w:hint="eastAsia" w:ascii="宋体" w:hAnsi="宋体" w:eastAsia="宋体"/>
          <w:color w:val="auto"/>
          <w:highlight w:val="none"/>
          <w:lang w:val="zh-CN" w:eastAsia="zh-CN"/>
        </w:rPr>
        <w:t>及其现任法定代表人、主要负责人不得具有行贿犯罪记录</w:t>
      </w:r>
      <w:r>
        <w:rPr>
          <w:rFonts w:hint="eastAsia" w:ascii="宋体" w:hAnsi="宋体" w:eastAsia="宋体"/>
          <w:color w:val="auto"/>
          <w:highlight w:val="none"/>
          <w:lang w:val="en-US" w:eastAsia="zh-CN"/>
        </w:rPr>
        <w:t>的承诺函</w:t>
      </w:r>
      <w:r>
        <w:rPr>
          <w:color w:val="auto"/>
          <w:highlight w:val="none"/>
        </w:rPr>
        <w:tab/>
      </w:r>
      <w:r>
        <w:rPr>
          <w:color w:val="auto"/>
          <w:highlight w:val="none"/>
        </w:rPr>
        <w:fldChar w:fldCharType="begin"/>
      </w:r>
      <w:r>
        <w:rPr>
          <w:color w:val="auto"/>
          <w:highlight w:val="none"/>
        </w:rPr>
        <w:instrText xml:space="preserve"> PAGEREF _Toc14469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_Toc15657 </w:instrText>
      </w:r>
      <w:r>
        <w:rPr>
          <w:color w:val="auto"/>
          <w:highlight w:val="none"/>
        </w:rPr>
        <w:fldChar w:fldCharType="separate"/>
      </w:r>
      <w:r>
        <w:rPr>
          <w:rFonts w:hint="eastAsia"/>
          <w:color w:val="auto"/>
          <w:highlight w:val="none"/>
          <w:lang w:val="en-US" w:eastAsia="zh-CN"/>
        </w:rPr>
        <w:t>八、 根据采购项目的特殊要求，供应商提供具有特定条件的证明材料</w:t>
      </w:r>
      <w:r>
        <w:rPr>
          <w:color w:val="auto"/>
          <w:highlight w:val="none"/>
        </w:rPr>
        <w:tab/>
      </w:r>
      <w:r>
        <w:rPr>
          <w:color w:val="auto"/>
          <w:highlight w:val="none"/>
        </w:rPr>
        <w:fldChar w:fldCharType="begin"/>
      </w:r>
      <w:r>
        <w:rPr>
          <w:color w:val="auto"/>
          <w:highlight w:val="none"/>
        </w:rPr>
        <w:instrText xml:space="preserve"> PAGEREF _Toc15657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_Toc26028 </w:instrText>
      </w:r>
      <w:r>
        <w:rPr>
          <w:color w:val="auto"/>
          <w:highlight w:val="none"/>
        </w:rPr>
        <w:fldChar w:fldCharType="separate"/>
      </w:r>
      <w:r>
        <w:rPr>
          <w:rFonts w:hint="eastAsia" w:ascii="宋体" w:hAnsi="宋体" w:eastAsia="宋体"/>
          <w:color w:val="auto"/>
          <w:highlight w:val="none"/>
        </w:rPr>
        <w:t>九、 提供有效的投标保证金提交凭证</w:t>
      </w:r>
      <w:r>
        <w:rPr>
          <w:color w:val="auto"/>
          <w:highlight w:val="none"/>
        </w:rPr>
        <w:tab/>
      </w:r>
      <w:r>
        <w:rPr>
          <w:color w:val="auto"/>
          <w:highlight w:val="none"/>
        </w:rPr>
        <w:fldChar w:fldCharType="begin"/>
      </w:r>
      <w:r>
        <w:rPr>
          <w:color w:val="auto"/>
          <w:highlight w:val="none"/>
        </w:rPr>
        <w:instrText xml:space="preserve"> PAGEREF _Toc26028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_Toc23117 </w:instrText>
      </w:r>
      <w:r>
        <w:rPr>
          <w:color w:val="auto"/>
          <w:highlight w:val="none"/>
        </w:rPr>
        <w:fldChar w:fldCharType="separate"/>
      </w:r>
      <w:r>
        <w:rPr>
          <w:rFonts w:hint="eastAsia" w:ascii="宋体" w:hAnsi="宋体" w:eastAsia="宋体"/>
          <w:color w:val="auto"/>
          <w:highlight w:val="none"/>
          <w:lang w:val="en-US" w:eastAsia="zh-CN"/>
        </w:rPr>
        <w:t>十、 承诺及声明函</w:t>
      </w:r>
      <w:r>
        <w:rPr>
          <w:color w:val="auto"/>
          <w:highlight w:val="none"/>
        </w:rPr>
        <w:tab/>
      </w:r>
      <w:r>
        <w:rPr>
          <w:color w:val="auto"/>
          <w:highlight w:val="none"/>
        </w:rPr>
        <w:fldChar w:fldCharType="begin"/>
      </w:r>
      <w:r>
        <w:rPr>
          <w:color w:val="auto"/>
          <w:highlight w:val="none"/>
        </w:rPr>
        <w:instrText xml:space="preserve"> PAGEREF _Toc23117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_Toc15072 </w:instrText>
      </w:r>
      <w:r>
        <w:rPr>
          <w:color w:val="auto"/>
          <w:highlight w:val="none"/>
        </w:rPr>
        <w:fldChar w:fldCharType="separate"/>
      </w:r>
      <w:r>
        <w:rPr>
          <w:rFonts w:hint="eastAsia"/>
          <w:color w:val="auto"/>
          <w:szCs w:val="32"/>
          <w:highlight w:val="none"/>
        </w:rPr>
        <w:t>第</w:t>
      </w:r>
      <w:r>
        <w:rPr>
          <w:rFonts w:hint="eastAsia"/>
          <w:color w:val="auto"/>
          <w:szCs w:val="32"/>
          <w:highlight w:val="none"/>
          <w:lang w:val="en-US" w:eastAsia="zh-CN"/>
        </w:rPr>
        <w:t>二</w:t>
      </w:r>
      <w:r>
        <w:rPr>
          <w:rFonts w:hint="eastAsia"/>
          <w:color w:val="auto"/>
          <w:szCs w:val="32"/>
          <w:highlight w:val="none"/>
        </w:rPr>
        <w:t>部分 其他</w:t>
      </w:r>
      <w:r>
        <w:rPr>
          <w:rFonts w:hint="eastAsia"/>
          <w:color w:val="auto"/>
          <w:szCs w:val="32"/>
          <w:highlight w:val="none"/>
          <w:lang w:val="en-US" w:eastAsia="zh-CN"/>
        </w:rPr>
        <w:t>投标</w:t>
      </w:r>
      <w:r>
        <w:rPr>
          <w:rFonts w:hint="eastAsia"/>
          <w:color w:val="auto"/>
          <w:szCs w:val="32"/>
          <w:highlight w:val="none"/>
        </w:rPr>
        <w:t>文件(格式)</w:t>
      </w:r>
      <w:r>
        <w:rPr>
          <w:color w:val="auto"/>
          <w:highlight w:val="none"/>
        </w:rPr>
        <w:tab/>
      </w:r>
      <w:r>
        <w:rPr>
          <w:color w:val="auto"/>
          <w:highlight w:val="none"/>
        </w:rPr>
        <w:fldChar w:fldCharType="begin"/>
      </w:r>
      <w:r>
        <w:rPr>
          <w:color w:val="auto"/>
          <w:highlight w:val="none"/>
        </w:rPr>
        <w:instrText xml:space="preserve"> PAGEREF _Toc15072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_Toc21811 </w:instrText>
      </w:r>
      <w:r>
        <w:rPr>
          <w:color w:val="auto"/>
          <w:highlight w:val="none"/>
        </w:rPr>
        <w:fldChar w:fldCharType="separate"/>
      </w:r>
      <w:r>
        <w:rPr>
          <w:rFonts w:hint="eastAsia"/>
          <w:color w:val="auto"/>
          <w:highlight w:val="none"/>
          <w:lang w:val="en-US" w:eastAsia="zh-CN"/>
        </w:rPr>
        <w:t>一、 投标函</w:t>
      </w:r>
      <w:r>
        <w:rPr>
          <w:color w:val="auto"/>
          <w:highlight w:val="none"/>
        </w:rPr>
        <w:tab/>
      </w:r>
      <w:r>
        <w:rPr>
          <w:color w:val="auto"/>
          <w:highlight w:val="none"/>
        </w:rPr>
        <w:fldChar w:fldCharType="begin"/>
      </w:r>
      <w:r>
        <w:rPr>
          <w:color w:val="auto"/>
          <w:highlight w:val="none"/>
        </w:rPr>
        <w:instrText xml:space="preserve"> PAGEREF _Toc21811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_Toc11208 </w:instrText>
      </w:r>
      <w:r>
        <w:rPr>
          <w:color w:val="auto"/>
          <w:highlight w:val="none"/>
        </w:rPr>
        <w:fldChar w:fldCharType="separate"/>
      </w:r>
      <w:r>
        <w:rPr>
          <w:rFonts w:hint="eastAsia"/>
          <w:color w:val="auto"/>
          <w:highlight w:val="none"/>
          <w:lang w:val="en-US" w:eastAsia="zh-CN"/>
        </w:rPr>
        <w:t>二、 实质性要求承诺</w:t>
      </w:r>
      <w:r>
        <w:rPr>
          <w:color w:val="auto"/>
          <w:highlight w:val="none"/>
        </w:rPr>
        <w:tab/>
      </w:r>
      <w:r>
        <w:rPr>
          <w:color w:val="auto"/>
          <w:highlight w:val="none"/>
        </w:rPr>
        <w:fldChar w:fldCharType="begin"/>
      </w:r>
      <w:r>
        <w:rPr>
          <w:color w:val="auto"/>
          <w:highlight w:val="none"/>
        </w:rPr>
        <w:instrText xml:space="preserve"> PAGEREF _Toc11208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_Toc27210 </w:instrText>
      </w:r>
      <w:r>
        <w:rPr>
          <w:color w:val="auto"/>
          <w:highlight w:val="none"/>
        </w:rPr>
        <w:fldChar w:fldCharType="separate"/>
      </w:r>
      <w:r>
        <w:rPr>
          <w:rFonts w:hint="eastAsia"/>
          <w:color w:val="auto"/>
          <w:highlight w:val="none"/>
          <w:lang w:val="en-US" w:eastAsia="zh-CN"/>
        </w:rPr>
        <w:t>三、 投标人基本情况表</w:t>
      </w:r>
      <w:r>
        <w:rPr>
          <w:color w:val="auto"/>
          <w:highlight w:val="none"/>
        </w:rPr>
        <w:tab/>
      </w:r>
      <w:r>
        <w:rPr>
          <w:color w:val="auto"/>
          <w:highlight w:val="none"/>
        </w:rPr>
        <w:fldChar w:fldCharType="begin"/>
      </w:r>
      <w:r>
        <w:rPr>
          <w:color w:val="auto"/>
          <w:highlight w:val="none"/>
        </w:rPr>
        <w:instrText xml:space="preserve"> PAGEREF _Toc27210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_Toc3891 </w:instrText>
      </w:r>
      <w:r>
        <w:rPr>
          <w:color w:val="auto"/>
          <w:highlight w:val="none"/>
        </w:rPr>
        <w:fldChar w:fldCharType="separate"/>
      </w:r>
      <w:r>
        <w:rPr>
          <w:rFonts w:hint="eastAsia"/>
          <w:color w:val="auto"/>
          <w:highlight w:val="none"/>
          <w:lang w:val="en-US" w:eastAsia="zh-CN"/>
        </w:rPr>
        <w:t>四、 开标一览表</w:t>
      </w:r>
      <w:r>
        <w:rPr>
          <w:color w:val="auto"/>
          <w:highlight w:val="none"/>
        </w:rPr>
        <w:tab/>
      </w:r>
      <w:r>
        <w:rPr>
          <w:color w:val="auto"/>
          <w:highlight w:val="none"/>
        </w:rPr>
        <w:fldChar w:fldCharType="begin"/>
      </w:r>
      <w:r>
        <w:rPr>
          <w:color w:val="auto"/>
          <w:highlight w:val="none"/>
        </w:rPr>
        <w:instrText xml:space="preserve"> PAGEREF _Toc3891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_Toc18840 </w:instrText>
      </w:r>
      <w:r>
        <w:rPr>
          <w:color w:val="auto"/>
          <w:highlight w:val="none"/>
        </w:rPr>
        <w:fldChar w:fldCharType="separate"/>
      </w:r>
      <w:r>
        <w:rPr>
          <w:rFonts w:hint="eastAsia"/>
          <w:color w:val="auto"/>
          <w:highlight w:val="none"/>
          <w:lang w:val="en-US" w:eastAsia="zh-CN"/>
        </w:rPr>
        <w:t>五、 分项报价明细表</w:t>
      </w:r>
      <w:r>
        <w:rPr>
          <w:color w:val="auto"/>
          <w:highlight w:val="none"/>
        </w:rPr>
        <w:tab/>
      </w:r>
      <w:r>
        <w:rPr>
          <w:color w:val="auto"/>
          <w:highlight w:val="none"/>
        </w:rPr>
        <w:fldChar w:fldCharType="begin"/>
      </w:r>
      <w:r>
        <w:rPr>
          <w:color w:val="auto"/>
          <w:highlight w:val="none"/>
        </w:rPr>
        <w:instrText xml:space="preserve"> PAGEREF _Toc18840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_Toc32696 </w:instrText>
      </w:r>
      <w:r>
        <w:rPr>
          <w:color w:val="auto"/>
          <w:highlight w:val="none"/>
        </w:rPr>
        <w:fldChar w:fldCharType="separate"/>
      </w:r>
      <w:r>
        <w:rPr>
          <w:rFonts w:hint="eastAsia"/>
          <w:color w:val="auto"/>
          <w:highlight w:val="none"/>
          <w:lang w:val="en-US" w:eastAsia="zh-CN"/>
        </w:rPr>
        <w:t>六、 商务应答表</w:t>
      </w:r>
      <w:r>
        <w:rPr>
          <w:color w:val="auto"/>
          <w:highlight w:val="none"/>
        </w:rPr>
        <w:tab/>
      </w:r>
      <w:r>
        <w:rPr>
          <w:color w:val="auto"/>
          <w:highlight w:val="none"/>
        </w:rPr>
        <w:fldChar w:fldCharType="begin"/>
      </w:r>
      <w:r>
        <w:rPr>
          <w:color w:val="auto"/>
          <w:highlight w:val="none"/>
        </w:rPr>
        <w:instrText xml:space="preserve"> PAGEREF _Toc32696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_Toc19294 </w:instrText>
      </w:r>
      <w:r>
        <w:rPr>
          <w:color w:val="auto"/>
          <w:highlight w:val="none"/>
        </w:rPr>
        <w:fldChar w:fldCharType="separate"/>
      </w:r>
      <w:r>
        <w:rPr>
          <w:rFonts w:hint="eastAsia"/>
          <w:color w:val="auto"/>
          <w:highlight w:val="none"/>
          <w:lang w:val="en-US" w:eastAsia="zh-CN"/>
        </w:rPr>
        <w:t>七、 投标产品技术参数响应表</w:t>
      </w:r>
      <w:r>
        <w:rPr>
          <w:color w:val="auto"/>
          <w:highlight w:val="none"/>
        </w:rPr>
        <w:tab/>
      </w:r>
      <w:r>
        <w:rPr>
          <w:color w:val="auto"/>
          <w:highlight w:val="none"/>
        </w:rPr>
        <w:fldChar w:fldCharType="begin"/>
      </w:r>
      <w:r>
        <w:rPr>
          <w:color w:val="auto"/>
          <w:highlight w:val="none"/>
        </w:rPr>
        <w:instrText xml:space="preserve"> PAGEREF _Toc19294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_Toc1168 </w:instrText>
      </w:r>
      <w:r>
        <w:rPr>
          <w:color w:val="auto"/>
          <w:highlight w:val="none"/>
        </w:rPr>
        <w:fldChar w:fldCharType="separate"/>
      </w:r>
      <w:r>
        <w:rPr>
          <w:rFonts w:hint="eastAsia"/>
          <w:color w:val="auto"/>
          <w:highlight w:val="none"/>
          <w:lang w:val="en-US" w:eastAsia="zh-CN"/>
        </w:rPr>
        <w:t>八、 履约能力及相关证明</w:t>
      </w:r>
      <w:r>
        <w:rPr>
          <w:color w:val="auto"/>
          <w:highlight w:val="none"/>
        </w:rPr>
        <w:tab/>
      </w:r>
      <w:r>
        <w:rPr>
          <w:color w:val="auto"/>
          <w:highlight w:val="none"/>
        </w:rPr>
        <w:fldChar w:fldCharType="begin"/>
      </w:r>
      <w:r>
        <w:rPr>
          <w:color w:val="auto"/>
          <w:highlight w:val="none"/>
        </w:rPr>
        <w:instrText xml:space="preserve"> PAGEREF _Toc1168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_Toc4604 </w:instrText>
      </w:r>
      <w:r>
        <w:rPr>
          <w:color w:val="auto"/>
          <w:highlight w:val="none"/>
        </w:rPr>
        <w:fldChar w:fldCharType="separate"/>
      </w:r>
      <w:r>
        <w:rPr>
          <w:rFonts w:hint="eastAsia"/>
          <w:color w:val="auto"/>
          <w:highlight w:val="none"/>
          <w:lang w:val="en-US" w:eastAsia="zh-CN"/>
        </w:rPr>
        <w:t>九、 投标人针对本项目人员配置情况表</w:t>
      </w:r>
      <w:r>
        <w:rPr>
          <w:color w:val="auto"/>
          <w:highlight w:val="none"/>
        </w:rPr>
        <w:tab/>
      </w:r>
      <w:r>
        <w:rPr>
          <w:color w:val="auto"/>
          <w:highlight w:val="none"/>
        </w:rPr>
        <w:fldChar w:fldCharType="begin"/>
      </w:r>
      <w:r>
        <w:rPr>
          <w:color w:val="auto"/>
          <w:highlight w:val="none"/>
        </w:rPr>
        <w:instrText xml:space="preserve"> PAGEREF _Toc4604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_Toc22114 </w:instrText>
      </w:r>
      <w:r>
        <w:rPr>
          <w:color w:val="auto"/>
          <w:highlight w:val="none"/>
        </w:rPr>
        <w:fldChar w:fldCharType="separate"/>
      </w:r>
      <w:r>
        <w:rPr>
          <w:rFonts w:hint="eastAsia"/>
          <w:color w:val="auto"/>
          <w:highlight w:val="none"/>
          <w:lang w:val="en-US" w:eastAsia="zh-CN"/>
        </w:rPr>
        <w:t xml:space="preserve">十、 </w:t>
      </w:r>
      <w:r>
        <w:rPr>
          <w:rFonts w:hint="eastAsia"/>
          <w:color w:val="auto"/>
          <w:highlight w:val="none"/>
        </w:rPr>
        <w:t>小微企业、监狱企业</w:t>
      </w:r>
      <w:r>
        <w:rPr>
          <w:rFonts w:hint="eastAsia"/>
          <w:color w:val="auto"/>
          <w:highlight w:val="none"/>
          <w:lang w:eastAsia="zh-CN"/>
        </w:rPr>
        <w:t>、</w:t>
      </w:r>
      <w:r>
        <w:rPr>
          <w:rFonts w:hint="eastAsia"/>
          <w:color w:val="auto"/>
          <w:highlight w:val="none"/>
          <w:lang w:val="en-US" w:eastAsia="zh-CN"/>
        </w:rPr>
        <w:t>残疾人福利性单位</w:t>
      </w:r>
      <w:r>
        <w:rPr>
          <w:rFonts w:hint="eastAsia"/>
          <w:color w:val="auto"/>
          <w:highlight w:val="none"/>
        </w:rPr>
        <w:t>价格扣除</w:t>
      </w:r>
      <w:r>
        <w:rPr>
          <w:color w:val="auto"/>
          <w:highlight w:val="none"/>
        </w:rPr>
        <w:tab/>
      </w:r>
      <w:r>
        <w:rPr>
          <w:color w:val="auto"/>
          <w:highlight w:val="none"/>
        </w:rPr>
        <w:fldChar w:fldCharType="begin"/>
      </w:r>
      <w:r>
        <w:rPr>
          <w:color w:val="auto"/>
          <w:highlight w:val="none"/>
        </w:rPr>
        <w:instrText xml:space="preserve"> PAGEREF _Toc22114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_Toc15395 </w:instrText>
      </w:r>
      <w:r>
        <w:rPr>
          <w:color w:val="auto"/>
          <w:highlight w:val="none"/>
        </w:rPr>
        <w:fldChar w:fldCharType="separate"/>
      </w:r>
      <w:r>
        <w:rPr>
          <w:rFonts w:hint="eastAsia"/>
          <w:color w:val="auto"/>
          <w:highlight w:val="none"/>
          <w:lang w:val="en-US" w:eastAsia="zh-CN"/>
        </w:rPr>
        <w:t>(一)中小企业声明函(货物)</w:t>
      </w:r>
      <w:r>
        <w:rPr>
          <w:color w:val="auto"/>
          <w:highlight w:val="none"/>
        </w:rPr>
        <w:tab/>
      </w:r>
      <w:r>
        <w:rPr>
          <w:color w:val="auto"/>
          <w:highlight w:val="none"/>
        </w:rPr>
        <w:fldChar w:fldCharType="begin"/>
      </w:r>
      <w:r>
        <w:rPr>
          <w:color w:val="auto"/>
          <w:highlight w:val="none"/>
        </w:rPr>
        <w:instrText xml:space="preserve"> PAGEREF _Toc15395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_Toc18229 </w:instrText>
      </w:r>
      <w:r>
        <w:rPr>
          <w:color w:val="auto"/>
          <w:highlight w:val="none"/>
        </w:rPr>
        <w:fldChar w:fldCharType="separate"/>
      </w:r>
      <w:r>
        <w:rPr>
          <w:rFonts w:hint="eastAsia"/>
          <w:color w:val="auto"/>
          <w:highlight w:val="none"/>
          <w:lang w:val="en-US" w:eastAsia="zh-CN"/>
        </w:rPr>
        <w:t>(二)监狱企业相关证明材料(如涉及)非专门面向中小企业时适用</w:t>
      </w:r>
      <w:r>
        <w:rPr>
          <w:color w:val="auto"/>
          <w:highlight w:val="none"/>
        </w:rPr>
        <w:tab/>
      </w:r>
      <w:r>
        <w:rPr>
          <w:color w:val="auto"/>
          <w:highlight w:val="none"/>
        </w:rPr>
        <w:fldChar w:fldCharType="begin"/>
      </w:r>
      <w:r>
        <w:rPr>
          <w:color w:val="auto"/>
          <w:highlight w:val="none"/>
        </w:rPr>
        <w:instrText xml:space="preserve"> PAGEREF _Toc18229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_Toc12654 </w:instrText>
      </w:r>
      <w:r>
        <w:rPr>
          <w:color w:val="auto"/>
          <w:highlight w:val="none"/>
        </w:rPr>
        <w:fldChar w:fldCharType="separate"/>
      </w:r>
      <w:r>
        <w:rPr>
          <w:rFonts w:hint="eastAsia"/>
          <w:color w:val="auto"/>
          <w:highlight w:val="none"/>
          <w:lang w:val="en-US" w:eastAsia="zh-CN"/>
        </w:rPr>
        <w:t>(三)残疾人福利性单位声明函(如涉及)非专门面向中小企业时适用</w:t>
      </w:r>
      <w:r>
        <w:rPr>
          <w:color w:val="auto"/>
          <w:highlight w:val="none"/>
        </w:rPr>
        <w:tab/>
      </w:r>
      <w:r>
        <w:rPr>
          <w:color w:val="auto"/>
          <w:highlight w:val="none"/>
        </w:rPr>
        <w:fldChar w:fldCharType="begin"/>
      </w:r>
      <w:r>
        <w:rPr>
          <w:color w:val="auto"/>
          <w:highlight w:val="none"/>
        </w:rPr>
        <w:instrText xml:space="preserve"> PAGEREF _Toc12654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_Toc20260 </w:instrText>
      </w:r>
      <w:r>
        <w:rPr>
          <w:color w:val="auto"/>
          <w:highlight w:val="none"/>
        </w:rPr>
        <w:fldChar w:fldCharType="separate"/>
      </w:r>
      <w:r>
        <w:rPr>
          <w:rFonts w:hint="eastAsia"/>
          <w:color w:val="auto"/>
          <w:highlight w:val="none"/>
          <w:lang w:val="en-US" w:eastAsia="zh-CN"/>
        </w:rPr>
        <w:t>十一、 项目实施方案、售后服务方案</w:t>
      </w:r>
      <w:r>
        <w:rPr>
          <w:color w:val="auto"/>
          <w:highlight w:val="none"/>
        </w:rPr>
        <w:tab/>
      </w:r>
      <w:r>
        <w:rPr>
          <w:color w:val="auto"/>
          <w:highlight w:val="none"/>
        </w:rPr>
        <w:fldChar w:fldCharType="begin"/>
      </w:r>
      <w:r>
        <w:rPr>
          <w:color w:val="auto"/>
          <w:highlight w:val="none"/>
        </w:rPr>
        <w:instrText xml:space="preserve"> PAGEREF _Toc20260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_Toc9425 </w:instrText>
      </w:r>
      <w:r>
        <w:rPr>
          <w:color w:val="auto"/>
          <w:highlight w:val="none"/>
        </w:rPr>
        <w:fldChar w:fldCharType="separate"/>
      </w:r>
      <w:r>
        <w:rPr>
          <w:rFonts w:hint="eastAsia" w:ascii="宋体" w:hAnsi="宋体" w:eastAsia="宋体" w:cstheme="minorBidi"/>
          <w:snapToGrid w:val="0"/>
          <w:color w:val="auto"/>
          <w:kern w:val="2"/>
          <w:szCs w:val="24"/>
          <w:highlight w:val="none"/>
          <w:lang w:val="en-US" w:eastAsia="zh-CN" w:bidi="ar-SA"/>
        </w:rPr>
        <w:t xml:space="preserve">十二、 </w:t>
      </w:r>
      <w:r>
        <w:rPr>
          <w:rFonts w:hint="eastAsia"/>
          <w:color w:val="auto"/>
          <w:highlight w:val="none"/>
          <w:lang w:val="en-US" w:eastAsia="zh-CN"/>
        </w:rPr>
        <w:t>商品</w:t>
      </w:r>
      <w:r>
        <w:rPr>
          <w:rFonts w:hint="eastAsia" w:ascii="宋体" w:hAnsi="宋体" w:eastAsia="宋体" w:cstheme="minorBidi"/>
          <w:snapToGrid w:val="0"/>
          <w:color w:val="auto"/>
          <w:kern w:val="2"/>
          <w:szCs w:val="24"/>
          <w:highlight w:val="none"/>
          <w:lang w:val="en-US" w:eastAsia="zh-CN" w:bidi="ar-SA"/>
        </w:rPr>
        <w:t>包装、快递包装承诺函</w:t>
      </w:r>
      <w:r>
        <w:rPr>
          <w:rFonts w:hint="eastAsia" w:cstheme="minorBidi"/>
          <w:snapToGrid w:val="0"/>
          <w:color w:val="auto"/>
          <w:kern w:val="2"/>
          <w:szCs w:val="24"/>
          <w:highlight w:val="none"/>
          <w:lang w:val="en-US" w:eastAsia="zh-CN" w:bidi="ar-SA"/>
        </w:rPr>
        <w:t>(如涉及)</w:t>
      </w:r>
      <w:r>
        <w:rPr>
          <w:color w:val="auto"/>
          <w:highlight w:val="none"/>
        </w:rPr>
        <w:tab/>
      </w:r>
      <w:r>
        <w:rPr>
          <w:color w:val="auto"/>
          <w:highlight w:val="none"/>
        </w:rPr>
        <w:fldChar w:fldCharType="begin"/>
      </w:r>
      <w:r>
        <w:rPr>
          <w:color w:val="auto"/>
          <w:highlight w:val="none"/>
        </w:rPr>
        <w:instrText xml:space="preserve"> PAGEREF _Toc9425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_Toc2955 </w:instrText>
      </w:r>
      <w:r>
        <w:rPr>
          <w:color w:val="auto"/>
          <w:highlight w:val="none"/>
        </w:rPr>
        <w:fldChar w:fldCharType="separate"/>
      </w:r>
      <w:r>
        <w:rPr>
          <w:rFonts w:hint="eastAsia"/>
          <w:color w:val="auto"/>
          <w:highlight w:val="none"/>
          <w:lang w:val="en-US" w:eastAsia="zh-CN"/>
        </w:rPr>
        <w:t>十三、 招标代理服务费承诺函</w:t>
      </w:r>
      <w:r>
        <w:rPr>
          <w:color w:val="auto"/>
          <w:highlight w:val="none"/>
        </w:rPr>
        <w:tab/>
      </w:r>
      <w:r>
        <w:rPr>
          <w:color w:val="auto"/>
          <w:highlight w:val="none"/>
        </w:rPr>
        <w:fldChar w:fldCharType="begin"/>
      </w:r>
      <w:r>
        <w:rPr>
          <w:color w:val="auto"/>
          <w:highlight w:val="none"/>
        </w:rPr>
        <w:instrText xml:space="preserve"> PAGEREF _Toc2955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pPr>
        <w:pStyle w:val="16"/>
        <w:tabs>
          <w:tab w:val="clear" w:pos="0"/>
        </w:tabs>
        <w:rPr>
          <w:color w:val="auto"/>
          <w:highlight w:val="none"/>
        </w:rPr>
      </w:pPr>
      <w:r>
        <w:rPr>
          <w:color w:val="auto"/>
          <w:highlight w:val="none"/>
        </w:rPr>
        <w:fldChar w:fldCharType="begin"/>
      </w:r>
      <w:r>
        <w:rPr>
          <w:color w:val="auto"/>
          <w:highlight w:val="none"/>
        </w:rPr>
        <w:instrText xml:space="preserve"> HYPERLINK \l _Toc904 </w:instrText>
      </w:r>
      <w:r>
        <w:rPr>
          <w:color w:val="auto"/>
          <w:highlight w:val="none"/>
        </w:rPr>
        <w:fldChar w:fldCharType="separate"/>
      </w:r>
      <w:r>
        <w:rPr>
          <w:rFonts w:hint="eastAsia" w:ascii="宋体" w:hAnsi="宋体" w:eastAsia="宋体" w:cs="宋体"/>
          <w:color w:val="auto"/>
          <w:w w:val="95"/>
          <w:highlight w:val="none"/>
          <w:lang w:val="en-US" w:eastAsia="zh-CN"/>
        </w:rPr>
        <w:t xml:space="preserve">第四章 </w:t>
      </w:r>
      <w:r>
        <w:rPr>
          <w:rFonts w:hint="eastAsia"/>
          <w:color w:val="auto"/>
          <w:w w:val="95"/>
          <w:highlight w:val="none"/>
          <w:lang w:val="en-US" w:eastAsia="zh-CN"/>
        </w:rPr>
        <w:t>投标人和投标产品的资格、资质性及其他类似效力要求</w:t>
      </w:r>
      <w:r>
        <w:rPr>
          <w:color w:val="auto"/>
          <w:highlight w:val="none"/>
        </w:rPr>
        <w:tab/>
      </w:r>
      <w:r>
        <w:rPr>
          <w:color w:val="auto"/>
          <w:highlight w:val="none"/>
        </w:rPr>
        <w:fldChar w:fldCharType="begin"/>
      </w:r>
      <w:r>
        <w:rPr>
          <w:color w:val="auto"/>
          <w:highlight w:val="none"/>
        </w:rPr>
        <w:instrText xml:space="preserve"> PAGEREF _Toc904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_Toc31843 </w:instrText>
      </w:r>
      <w:r>
        <w:rPr>
          <w:color w:val="auto"/>
          <w:highlight w:val="none"/>
        </w:rPr>
        <w:fldChar w:fldCharType="separate"/>
      </w:r>
      <w:r>
        <w:rPr>
          <w:rFonts w:hint="eastAsia" w:ascii="宋体" w:hAnsi="宋体" w:eastAsia="宋体" w:cs="宋体"/>
          <w:color w:val="auto"/>
          <w:highlight w:val="none"/>
          <w:lang w:val="zh-CN"/>
        </w:rPr>
        <w:t xml:space="preserve">一、 </w:t>
      </w:r>
      <w:r>
        <w:rPr>
          <w:rFonts w:hint="eastAsia"/>
          <w:color w:val="auto"/>
          <w:highlight w:val="none"/>
        </w:rPr>
        <w:t>投标人资格、资质性及其他类似效力要求</w:t>
      </w:r>
      <w:r>
        <w:rPr>
          <w:color w:val="auto"/>
          <w:highlight w:val="none"/>
        </w:rPr>
        <w:tab/>
      </w:r>
      <w:r>
        <w:rPr>
          <w:color w:val="auto"/>
          <w:highlight w:val="none"/>
        </w:rPr>
        <w:fldChar w:fldCharType="begin"/>
      </w:r>
      <w:r>
        <w:rPr>
          <w:color w:val="auto"/>
          <w:highlight w:val="none"/>
        </w:rPr>
        <w:instrText xml:space="preserve"> PAGEREF _Toc31843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_Toc28342 </w:instrText>
      </w:r>
      <w:r>
        <w:rPr>
          <w:color w:val="auto"/>
          <w:highlight w:val="none"/>
        </w:rPr>
        <w:fldChar w:fldCharType="separate"/>
      </w:r>
      <w:r>
        <w:rPr>
          <w:rFonts w:hint="eastAsia" w:ascii="宋体" w:hAnsi="宋体" w:eastAsia="宋体" w:cs="宋体"/>
          <w:color w:val="auto"/>
          <w:highlight w:val="none"/>
        </w:rPr>
        <w:t xml:space="preserve">二、 </w:t>
      </w:r>
      <w:r>
        <w:rPr>
          <w:rFonts w:hint="eastAsia"/>
          <w:color w:val="auto"/>
          <w:highlight w:val="none"/>
        </w:rPr>
        <w:t>投标产品的资格、资质性及其他类似效力要求</w:t>
      </w:r>
      <w:r>
        <w:rPr>
          <w:color w:val="auto"/>
          <w:highlight w:val="none"/>
        </w:rPr>
        <w:tab/>
      </w:r>
      <w:r>
        <w:rPr>
          <w:color w:val="auto"/>
          <w:highlight w:val="none"/>
        </w:rPr>
        <w:fldChar w:fldCharType="begin"/>
      </w:r>
      <w:r>
        <w:rPr>
          <w:color w:val="auto"/>
          <w:highlight w:val="none"/>
        </w:rPr>
        <w:instrText xml:space="preserve"> PAGEREF _Toc28342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_Toc27308 </w:instrText>
      </w:r>
      <w:r>
        <w:rPr>
          <w:color w:val="auto"/>
          <w:highlight w:val="none"/>
        </w:rPr>
        <w:fldChar w:fldCharType="separate"/>
      </w:r>
      <w:r>
        <w:rPr>
          <w:rFonts w:hint="eastAsia" w:ascii="宋体" w:hAnsi="宋体" w:eastAsia="宋体" w:cs="宋体"/>
          <w:color w:val="auto"/>
          <w:highlight w:val="none"/>
          <w:lang w:val="en-US" w:eastAsia="zh-CN"/>
        </w:rPr>
        <w:t xml:space="preserve">三、 </w:t>
      </w:r>
      <w:r>
        <w:rPr>
          <w:rFonts w:hint="eastAsia"/>
          <w:color w:val="auto"/>
          <w:highlight w:val="none"/>
          <w:lang w:val="en-US" w:eastAsia="zh-CN"/>
        </w:rPr>
        <w:t>其他类似效力要求</w:t>
      </w:r>
      <w:r>
        <w:rPr>
          <w:color w:val="auto"/>
          <w:highlight w:val="none"/>
        </w:rPr>
        <w:tab/>
      </w:r>
      <w:r>
        <w:rPr>
          <w:color w:val="auto"/>
          <w:highlight w:val="none"/>
        </w:rPr>
        <w:fldChar w:fldCharType="begin"/>
      </w:r>
      <w:r>
        <w:rPr>
          <w:color w:val="auto"/>
          <w:highlight w:val="none"/>
        </w:rPr>
        <w:instrText xml:space="preserve"> PAGEREF _Toc27308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pPr>
        <w:pStyle w:val="16"/>
        <w:tabs>
          <w:tab w:val="clear" w:pos="0"/>
        </w:tabs>
        <w:rPr>
          <w:color w:val="auto"/>
          <w:highlight w:val="none"/>
        </w:rPr>
      </w:pPr>
      <w:r>
        <w:rPr>
          <w:color w:val="auto"/>
          <w:highlight w:val="none"/>
        </w:rPr>
        <w:fldChar w:fldCharType="begin"/>
      </w:r>
      <w:r>
        <w:rPr>
          <w:color w:val="auto"/>
          <w:highlight w:val="none"/>
        </w:rPr>
        <w:instrText xml:space="preserve"> HYPERLINK \l _Toc23212 </w:instrText>
      </w:r>
      <w:r>
        <w:rPr>
          <w:color w:val="auto"/>
          <w:highlight w:val="none"/>
        </w:rPr>
        <w:fldChar w:fldCharType="separate"/>
      </w:r>
      <w:r>
        <w:rPr>
          <w:rFonts w:hint="eastAsia" w:ascii="宋体" w:hAnsi="宋体" w:eastAsia="宋体" w:cs="宋体"/>
          <w:color w:val="auto"/>
          <w:highlight w:val="none"/>
          <w:lang w:val="en-US" w:eastAsia="zh-CN"/>
        </w:rPr>
        <w:t xml:space="preserve">第五章 </w:t>
      </w:r>
      <w:r>
        <w:rPr>
          <w:rFonts w:hint="eastAsia"/>
          <w:color w:val="auto"/>
          <w:highlight w:val="none"/>
          <w:lang w:val="en-US" w:eastAsia="zh-CN"/>
        </w:rPr>
        <w:t>资格性审查内容</w:t>
      </w:r>
      <w:r>
        <w:rPr>
          <w:color w:val="auto"/>
          <w:highlight w:val="none"/>
        </w:rPr>
        <w:tab/>
      </w:r>
      <w:r>
        <w:rPr>
          <w:color w:val="auto"/>
          <w:highlight w:val="none"/>
        </w:rPr>
        <w:fldChar w:fldCharType="begin"/>
      </w:r>
      <w:r>
        <w:rPr>
          <w:color w:val="auto"/>
          <w:highlight w:val="none"/>
        </w:rPr>
        <w:instrText xml:space="preserve"> PAGEREF _Toc23212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_Toc2293 </w:instrText>
      </w:r>
      <w:r>
        <w:rPr>
          <w:color w:val="auto"/>
          <w:highlight w:val="none"/>
        </w:rPr>
        <w:fldChar w:fldCharType="separate"/>
      </w:r>
      <w:r>
        <w:rPr>
          <w:rFonts w:hint="eastAsia" w:ascii="宋体" w:hAnsi="宋体" w:eastAsia="宋体" w:cs="宋体"/>
          <w:color w:val="auto"/>
          <w:highlight w:val="none"/>
        </w:rPr>
        <w:t xml:space="preserve">一、 </w:t>
      </w:r>
      <w:r>
        <w:rPr>
          <w:rFonts w:hint="eastAsia"/>
          <w:color w:val="auto"/>
          <w:highlight w:val="none"/>
        </w:rPr>
        <w:t>应当提供的投标人</w:t>
      </w:r>
      <w:r>
        <w:rPr>
          <w:rFonts w:hint="eastAsia"/>
          <w:color w:val="auto"/>
          <w:highlight w:val="none"/>
          <w:lang w:eastAsia="zh-CN"/>
        </w:rPr>
        <w:t>及投标产品</w:t>
      </w:r>
      <w:r>
        <w:rPr>
          <w:rFonts w:hint="eastAsia"/>
          <w:color w:val="auto"/>
          <w:highlight w:val="none"/>
        </w:rPr>
        <w:t>资格、资质性及其他类似效力要求的相关证明材料</w:t>
      </w:r>
      <w:r>
        <w:rPr>
          <w:color w:val="auto"/>
          <w:highlight w:val="none"/>
        </w:rPr>
        <w:tab/>
      </w:r>
      <w:r>
        <w:rPr>
          <w:color w:val="auto"/>
          <w:highlight w:val="none"/>
        </w:rPr>
        <w:fldChar w:fldCharType="begin"/>
      </w:r>
      <w:r>
        <w:rPr>
          <w:color w:val="auto"/>
          <w:highlight w:val="none"/>
        </w:rPr>
        <w:instrText xml:space="preserve"> PAGEREF _Toc2293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_Toc17770 </w:instrText>
      </w:r>
      <w:r>
        <w:rPr>
          <w:color w:val="auto"/>
          <w:highlight w:val="none"/>
        </w:rPr>
        <w:fldChar w:fldCharType="separate"/>
      </w:r>
      <w:r>
        <w:rPr>
          <w:rFonts w:hint="eastAsia" w:ascii="宋体" w:hAnsi="宋体" w:eastAsia="宋体" w:cs="宋体"/>
          <w:color w:val="auto"/>
          <w:highlight w:val="none"/>
          <w:lang w:eastAsia="zh-CN"/>
        </w:rPr>
        <w:t xml:space="preserve">二、 </w:t>
      </w:r>
      <w:r>
        <w:rPr>
          <w:rFonts w:hint="eastAsia"/>
          <w:color w:val="auto"/>
          <w:highlight w:val="none"/>
          <w:lang w:eastAsia="zh-CN"/>
        </w:rPr>
        <w:t>审查程序</w:t>
      </w:r>
      <w:r>
        <w:rPr>
          <w:color w:val="auto"/>
          <w:highlight w:val="none"/>
        </w:rPr>
        <w:tab/>
      </w:r>
      <w:r>
        <w:rPr>
          <w:color w:val="auto"/>
          <w:highlight w:val="none"/>
        </w:rPr>
        <w:fldChar w:fldCharType="begin"/>
      </w:r>
      <w:r>
        <w:rPr>
          <w:color w:val="auto"/>
          <w:highlight w:val="none"/>
        </w:rPr>
        <w:instrText xml:space="preserve"> PAGEREF _Toc17770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pPr>
        <w:pStyle w:val="16"/>
        <w:tabs>
          <w:tab w:val="clear" w:pos="0"/>
        </w:tabs>
        <w:rPr>
          <w:color w:val="auto"/>
          <w:highlight w:val="none"/>
        </w:rPr>
      </w:pPr>
      <w:r>
        <w:rPr>
          <w:color w:val="auto"/>
          <w:highlight w:val="none"/>
        </w:rPr>
        <w:fldChar w:fldCharType="begin"/>
      </w:r>
      <w:r>
        <w:rPr>
          <w:color w:val="auto"/>
          <w:highlight w:val="none"/>
        </w:rPr>
        <w:instrText xml:space="preserve"> HYPERLINK \l _Toc13197 </w:instrText>
      </w:r>
      <w:r>
        <w:rPr>
          <w:color w:val="auto"/>
          <w:highlight w:val="none"/>
        </w:rPr>
        <w:fldChar w:fldCharType="separate"/>
      </w:r>
      <w:r>
        <w:rPr>
          <w:rFonts w:hint="eastAsia" w:ascii="宋体" w:hAnsi="宋体" w:eastAsia="宋体" w:cs="宋体"/>
          <w:color w:val="auto"/>
          <w:highlight w:val="none"/>
        </w:rPr>
        <w:t xml:space="preserve">第六章 </w:t>
      </w:r>
      <w:r>
        <w:rPr>
          <w:rFonts w:hint="eastAsia"/>
          <w:color w:val="auto"/>
          <w:highlight w:val="none"/>
        </w:rPr>
        <w:t>招标项目技术、服务、</w:t>
      </w:r>
      <w:r>
        <w:rPr>
          <w:rFonts w:hint="eastAsia"/>
          <w:color w:val="auto"/>
          <w:highlight w:val="none"/>
          <w:lang w:eastAsia="zh-CN"/>
        </w:rPr>
        <w:t>采购合同</w:t>
      </w:r>
      <w:r>
        <w:rPr>
          <w:rFonts w:hint="eastAsia"/>
          <w:color w:val="auto"/>
          <w:highlight w:val="none"/>
        </w:rPr>
        <w:t>内容条款及其他商务要求</w:t>
      </w:r>
      <w:r>
        <w:rPr>
          <w:color w:val="auto"/>
          <w:highlight w:val="none"/>
        </w:rPr>
        <w:tab/>
      </w:r>
      <w:r>
        <w:rPr>
          <w:color w:val="auto"/>
          <w:highlight w:val="none"/>
        </w:rPr>
        <w:fldChar w:fldCharType="begin"/>
      </w:r>
      <w:r>
        <w:rPr>
          <w:color w:val="auto"/>
          <w:highlight w:val="none"/>
        </w:rPr>
        <w:instrText xml:space="preserve"> PAGEREF _Toc13197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_Toc21072 </w:instrText>
      </w:r>
      <w:r>
        <w:rPr>
          <w:color w:val="auto"/>
          <w:highlight w:val="none"/>
        </w:rPr>
        <w:fldChar w:fldCharType="separate"/>
      </w:r>
      <w:r>
        <w:rPr>
          <w:rFonts w:hint="eastAsia" w:ascii="宋体" w:hAnsi="宋体" w:eastAsia="宋体" w:cs="宋体"/>
          <w:color w:val="auto"/>
          <w:highlight w:val="none"/>
        </w:rPr>
        <w:t xml:space="preserve">一、 </w:t>
      </w:r>
      <w:r>
        <w:rPr>
          <w:rFonts w:hint="eastAsia"/>
          <w:color w:val="auto"/>
          <w:highlight w:val="none"/>
        </w:rPr>
        <w:t>项目概况</w:t>
      </w:r>
      <w:r>
        <w:rPr>
          <w:color w:val="auto"/>
          <w:highlight w:val="none"/>
        </w:rPr>
        <w:tab/>
      </w:r>
      <w:r>
        <w:rPr>
          <w:color w:val="auto"/>
          <w:highlight w:val="none"/>
        </w:rPr>
        <w:fldChar w:fldCharType="begin"/>
      </w:r>
      <w:r>
        <w:rPr>
          <w:color w:val="auto"/>
          <w:highlight w:val="none"/>
        </w:rPr>
        <w:instrText xml:space="preserve"> PAGEREF _Toc21072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_Toc32625 </w:instrText>
      </w:r>
      <w:r>
        <w:rPr>
          <w:color w:val="auto"/>
          <w:highlight w:val="none"/>
        </w:rPr>
        <w:fldChar w:fldCharType="separate"/>
      </w:r>
      <w:r>
        <w:rPr>
          <w:rFonts w:hint="eastAsia" w:ascii="宋体" w:hAnsi="宋体" w:eastAsia="宋体" w:cs="宋体"/>
          <w:color w:val="auto"/>
          <w:highlight w:val="none"/>
        </w:rPr>
        <w:t xml:space="preserve">二、 </w:t>
      </w:r>
      <w:r>
        <w:rPr>
          <w:rFonts w:hint="eastAsia"/>
          <w:color w:val="auto"/>
          <w:highlight w:val="none"/>
        </w:rPr>
        <w:t>★采购标的</w:t>
      </w:r>
      <w:r>
        <w:rPr>
          <w:color w:val="auto"/>
          <w:highlight w:val="none"/>
        </w:rPr>
        <w:tab/>
      </w:r>
      <w:r>
        <w:rPr>
          <w:color w:val="auto"/>
          <w:highlight w:val="none"/>
        </w:rPr>
        <w:fldChar w:fldCharType="begin"/>
      </w:r>
      <w:r>
        <w:rPr>
          <w:color w:val="auto"/>
          <w:highlight w:val="none"/>
        </w:rPr>
        <w:instrText xml:space="preserve"> PAGEREF _Toc32625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_Toc19712 </w:instrText>
      </w:r>
      <w:r>
        <w:rPr>
          <w:color w:val="auto"/>
          <w:highlight w:val="none"/>
        </w:rPr>
        <w:fldChar w:fldCharType="separate"/>
      </w:r>
      <w:r>
        <w:rPr>
          <w:rFonts w:hint="eastAsia" w:ascii="宋体" w:hAnsi="宋体" w:eastAsia="宋体" w:cs="宋体"/>
          <w:color w:val="auto"/>
          <w:highlight w:val="none"/>
        </w:rPr>
        <w:t xml:space="preserve">三、 </w:t>
      </w:r>
      <w:r>
        <w:rPr>
          <w:rFonts w:hint="eastAsia"/>
          <w:color w:val="auto"/>
          <w:highlight w:val="none"/>
        </w:rPr>
        <w:t>技术要求</w:t>
      </w:r>
      <w:r>
        <w:rPr>
          <w:color w:val="auto"/>
          <w:highlight w:val="none"/>
        </w:rPr>
        <w:tab/>
      </w:r>
      <w:r>
        <w:rPr>
          <w:color w:val="auto"/>
          <w:highlight w:val="none"/>
        </w:rPr>
        <w:fldChar w:fldCharType="begin"/>
      </w:r>
      <w:r>
        <w:rPr>
          <w:color w:val="auto"/>
          <w:highlight w:val="none"/>
        </w:rPr>
        <w:instrText xml:space="preserve"> PAGEREF _Toc19712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_Toc20977 </w:instrText>
      </w:r>
      <w:r>
        <w:rPr>
          <w:color w:val="auto"/>
          <w:highlight w:val="none"/>
        </w:rPr>
        <w:fldChar w:fldCharType="separate"/>
      </w:r>
      <w:r>
        <w:rPr>
          <w:rFonts w:hint="eastAsia" w:ascii="宋体" w:hAnsi="宋体" w:eastAsia="宋体" w:cs="宋体"/>
          <w:color w:val="auto"/>
          <w:highlight w:val="none"/>
        </w:rPr>
        <w:t xml:space="preserve">(一) </w:t>
      </w:r>
      <w:r>
        <w:rPr>
          <w:rFonts w:hint="eastAsia"/>
          <w:color w:val="auto"/>
          <w:highlight w:val="none"/>
        </w:rPr>
        <w:t>★总体质量要求</w:t>
      </w:r>
      <w:r>
        <w:rPr>
          <w:color w:val="auto"/>
          <w:highlight w:val="none"/>
        </w:rPr>
        <w:tab/>
      </w:r>
      <w:r>
        <w:rPr>
          <w:color w:val="auto"/>
          <w:highlight w:val="none"/>
        </w:rPr>
        <w:fldChar w:fldCharType="begin"/>
      </w:r>
      <w:r>
        <w:rPr>
          <w:color w:val="auto"/>
          <w:highlight w:val="none"/>
        </w:rPr>
        <w:instrText xml:space="preserve"> PAGEREF _Toc20977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_Toc29936 </w:instrText>
      </w:r>
      <w:r>
        <w:rPr>
          <w:color w:val="auto"/>
          <w:highlight w:val="none"/>
        </w:rPr>
        <w:fldChar w:fldCharType="separate"/>
      </w:r>
      <w:r>
        <w:rPr>
          <w:rFonts w:hint="eastAsia" w:ascii="宋体" w:hAnsi="宋体" w:eastAsia="宋体" w:cs="宋体"/>
          <w:bCs/>
          <w:color w:val="auto"/>
          <w:highlight w:val="none"/>
        </w:rPr>
        <w:t xml:space="preserve">(二) </w:t>
      </w:r>
      <w:r>
        <w:rPr>
          <w:rFonts w:hint="eastAsia" w:asciiTheme="minorEastAsia" w:hAnsiTheme="minorEastAsia" w:eastAsiaTheme="minorEastAsia" w:cstheme="minorEastAsia"/>
          <w:bCs/>
          <w:color w:val="auto"/>
          <w:highlight w:val="none"/>
        </w:rPr>
        <w:t>具体要求</w:t>
      </w:r>
      <w:r>
        <w:rPr>
          <w:color w:val="auto"/>
          <w:highlight w:val="none"/>
        </w:rPr>
        <w:tab/>
      </w:r>
      <w:r>
        <w:rPr>
          <w:color w:val="auto"/>
          <w:highlight w:val="none"/>
        </w:rPr>
        <w:fldChar w:fldCharType="begin"/>
      </w:r>
      <w:r>
        <w:rPr>
          <w:color w:val="auto"/>
          <w:highlight w:val="none"/>
        </w:rPr>
        <w:instrText xml:space="preserve"> PAGEREF _Toc29936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_Toc18026 </w:instrText>
      </w:r>
      <w:r>
        <w:rPr>
          <w:color w:val="auto"/>
          <w:highlight w:val="none"/>
        </w:rPr>
        <w:fldChar w:fldCharType="separate"/>
      </w:r>
      <w:r>
        <w:rPr>
          <w:rFonts w:hint="eastAsia" w:ascii="宋体" w:hAnsi="宋体" w:eastAsia="宋体" w:cs="宋体"/>
          <w:color w:val="auto"/>
          <w:highlight w:val="none"/>
        </w:rPr>
        <w:t xml:space="preserve">四、 </w:t>
      </w:r>
      <w:r>
        <w:rPr>
          <w:rFonts w:hint="eastAsia"/>
          <w:color w:val="auto"/>
          <w:highlight w:val="none"/>
          <w:lang w:val="en-US" w:eastAsia="zh-CN"/>
        </w:rPr>
        <w:t>技术服务水平</w:t>
      </w:r>
      <w:r>
        <w:rPr>
          <w:color w:val="auto"/>
          <w:highlight w:val="none"/>
        </w:rPr>
        <w:tab/>
      </w:r>
      <w:r>
        <w:rPr>
          <w:color w:val="auto"/>
          <w:highlight w:val="none"/>
        </w:rPr>
        <w:fldChar w:fldCharType="begin"/>
      </w:r>
      <w:r>
        <w:rPr>
          <w:color w:val="auto"/>
          <w:highlight w:val="none"/>
        </w:rPr>
        <w:instrText xml:space="preserve"> PAGEREF _Toc18026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_Toc29385 </w:instrText>
      </w:r>
      <w:r>
        <w:rPr>
          <w:color w:val="auto"/>
          <w:highlight w:val="none"/>
        </w:rPr>
        <w:fldChar w:fldCharType="separate"/>
      </w:r>
      <w:r>
        <w:rPr>
          <w:rFonts w:hint="eastAsia" w:ascii="宋体" w:hAnsi="宋体" w:eastAsia="宋体" w:cs="宋体"/>
          <w:color w:val="auto"/>
          <w:highlight w:val="none"/>
        </w:rPr>
        <w:t xml:space="preserve">(一) </w:t>
      </w:r>
      <w:r>
        <w:rPr>
          <w:rFonts w:hint="eastAsia" w:asciiTheme="minorEastAsia" w:hAnsiTheme="minorEastAsia" w:eastAsiaTheme="minorEastAsia" w:cstheme="minorEastAsia"/>
          <w:color w:val="auto"/>
          <w:highlight w:val="none"/>
          <w:lang w:val="en-US" w:eastAsia="zh-CN"/>
        </w:rPr>
        <w:t>服务水平</w:t>
      </w:r>
      <w:r>
        <w:rPr>
          <w:color w:val="auto"/>
          <w:highlight w:val="none"/>
        </w:rPr>
        <w:tab/>
      </w:r>
      <w:r>
        <w:rPr>
          <w:color w:val="auto"/>
          <w:highlight w:val="none"/>
        </w:rPr>
        <w:fldChar w:fldCharType="begin"/>
      </w:r>
      <w:r>
        <w:rPr>
          <w:color w:val="auto"/>
          <w:highlight w:val="none"/>
        </w:rPr>
        <w:instrText xml:space="preserve"> PAGEREF _Toc29385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_Toc23222 </w:instrText>
      </w:r>
      <w:r>
        <w:rPr>
          <w:color w:val="auto"/>
          <w:highlight w:val="none"/>
        </w:rPr>
        <w:fldChar w:fldCharType="separate"/>
      </w:r>
      <w:r>
        <w:rPr>
          <w:rFonts w:hint="eastAsia" w:ascii="宋体" w:hAnsi="宋体" w:eastAsia="宋体" w:cs="宋体"/>
          <w:color w:val="auto"/>
          <w:highlight w:val="none"/>
        </w:rPr>
        <w:t xml:space="preserve">(二) </w:t>
      </w:r>
      <w:r>
        <w:rPr>
          <w:rFonts w:hint="eastAsia" w:asciiTheme="minorEastAsia" w:hAnsiTheme="minorEastAsia" w:eastAsiaTheme="minorEastAsia" w:cstheme="minorEastAsia"/>
          <w:color w:val="auto"/>
          <w:highlight w:val="none"/>
        </w:rPr>
        <w:t>履约</w:t>
      </w:r>
      <w:r>
        <w:rPr>
          <w:rFonts w:hint="eastAsia" w:asciiTheme="minorEastAsia" w:hAnsiTheme="minorEastAsia" w:eastAsiaTheme="minorEastAsia" w:cstheme="minorEastAsia"/>
          <w:color w:val="auto"/>
          <w:highlight w:val="none"/>
          <w:lang w:val="en-US" w:eastAsia="zh-CN"/>
        </w:rPr>
        <w:t>能力</w:t>
      </w:r>
      <w:r>
        <w:rPr>
          <w:color w:val="auto"/>
          <w:highlight w:val="none"/>
        </w:rPr>
        <w:tab/>
      </w:r>
      <w:r>
        <w:rPr>
          <w:color w:val="auto"/>
          <w:highlight w:val="none"/>
        </w:rPr>
        <w:fldChar w:fldCharType="begin"/>
      </w:r>
      <w:r>
        <w:rPr>
          <w:color w:val="auto"/>
          <w:highlight w:val="none"/>
        </w:rPr>
        <w:instrText xml:space="preserve"> PAGEREF _Toc23222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_Toc11652 </w:instrText>
      </w:r>
      <w:r>
        <w:rPr>
          <w:color w:val="auto"/>
          <w:highlight w:val="none"/>
        </w:rPr>
        <w:fldChar w:fldCharType="separate"/>
      </w:r>
      <w:r>
        <w:rPr>
          <w:rFonts w:hint="eastAsia" w:ascii="宋体" w:hAnsi="宋体" w:eastAsia="宋体" w:cs="宋体"/>
          <w:color w:val="auto"/>
          <w:highlight w:val="none"/>
        </w:rPr>
        <w:t xml:space="preserve">五、 </w:t>
      </w:r>
      <w:r>
        <w:rPr>
          <w:rFonts w:hint="eastAsia"/>
          <w:color w:val="auto"/>
          <w:highlight w:val="none"/>
        </w:rPr>
        <w:t>★商务要求</w:t>
      </w:r>
      <w:r>
        <w:rPr>
          <w:color w:val="auto"/>
          <w:highlight w:val="none"/>
        </w:rPr>
        <w:tab/>
      </w:r>
      <w:r>
        <w:rPr>
          <w:color w:val="auto"/>
          <w:highlight w:val="none"/>
        </w:rPr>
        <w:fldChar w:fldCharType="begin"/>
      </w:r>
      <w:r>
        <w:rPr>
          <w:color w:val="auto"/>
          <w:highlight w:val="none"/>
        </w:rPr>
        <w:instrText xml:space="preserve"> PAGEREF _Toc11652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_Toc24648 </w:instrText>
      </w:r>
      <w:r>
        <w:rPr>
          <w:color w:val="auto"/>
          <w:highlight w:val="none"/>
        </w:rPr>
        <w:fldChar w:fldCharType="separate"/>
      </w:r>
      <w:r>
        <w:rPr>
          <w:rFonts w:hint="eastAsia" w:ascii="宋体" w:hAnsi="宋体" w:eastAsia="宋体" w:cs="宋体"/>
          <w:color w:val="auto"/>
          <w:highlight w:val="none"/>
        </w:rPr>
        <w:t xml:space="preserve">(一) </w:t>
      </w:r>
      <w:r>
        <w:rPr>
          <w:rFonts w:hint="eastAsia" w:asciiTheme="minorEastAsia" w:hAnsiTheme="minorEastAsia" w:eastAsiaTheme="minorEastAsia" w:cstheme="minorEastAsia"/>
          <w:color w:val="auto"/>
          <w:highlight w:val="none"/>
        </w:rPr>
        <w:t>履约时间和地点</w:t>
      </w:r>
      <w:r>
        <w:rPr>
          <w:color w:val="auto"/>
          <w:highlight w:val="none"/>
        </w:rPr>
        <w:tab/>
      </w:r>
      <w:r>
        <w:rPr>
          <w:color w:val="auto"/>
          <w:highlight w:val="none"/>
        </w:rPr>
        <w:fldChar w:fldCharType="begin"/>
      </w:r>
      <w:r>
        <w:rPr>
          <w:color w:val="auto"/>
          <w:highlight w:val="none"/>
        </w:rPr>
        <w:instrText xml:space="preserve"> PAGEREF _Toc24648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_Toc9634 </w:instrText>
      </w:r>
      <w:r>
        <w:rPr>
          <w:color w:val="auto"/>
          <w:highlight w:val="none"/>
        </w:rPr>
        <w:fldChar w:fldCharType="separate"/>
      </w:r>
      <w:r>
        <w:rPr>
          <w:rFonts w:hint="eastAsia" w:ascii="宋体" w:hAnsi="宋体" w:eastAsia="宋体" w:cs="宋体"/>
          <w:bCs/>
          <w:color w:val="auto"/>
          <w:highlight w:val="none"/>
        </w:rPr>
        <w:t xml:space="preserve">(二) </w:t>
      </w:r>
      <w:r>
        <w:rPr>
          <w:rFonts w:hint="eastAsia" w:asciiTheme="minorEastAsia" w:hAnsiTheme="minorEastAsia" w:eastAsiaTheme="minorEastAsia" w:cstheme="minorEastAsia"/>
          <w:bCs/>
          <w:color w:val="auto"/>
          <w:highlight w:val="none"/>
        </w:rPr>
        <w:t>合同价款及支付方式</w:t>
      </w:r>
      <w:r>
        <w:rPr>
          <w:color w:val="auto"/>
          <w:highlight w:val="none"/>
        </w:rPr>
        <w:tab/>
      </w:r>
      <w:r>
        <w:rPr>
          <w:color w:val="auto"/>
          <w:highlight w:val="none"/>
        </w:rPr>
        <w:fldChar w:fldCharType="begin"/>
      </w:r>
      <w:r>
        <w:rPr>
          <w:color w:val="auto"/>
          <w:highlight w:val="none"/>
        </w:rPr>
        <w:instrText xml:space="preserve"> PAGEREF _Toc9634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_Toc24339 </w:instrText>
      </w:r>
      <w:r>
        <w:rPr>
          <w:color w:val="auto"/>
          <w:highlight w:val="none"/>
        </w:rPr>
        <w:fldChar w:fldCharType="separate"/>
      </w:r>
      <w:r>
        <w:rPr>
          <w:rFonts w:hint="eastAsia" w:ascii="宋体" w:hAnsi="宋体" w:eastAsia="宋体" w:cs="宋体"/>
          <w:bCs/>
          <w:color w:val="auto"/>
          <w:highlight w:val="none"/>
        </w:rPr>
        <w:t xml:space="preserve">(三) </w:t>
      </w:r>
      <w:r>
        <w:rPr>
          <w:rFonts w:hint="eastAsia" w:asciiTheme="minorEastAsia" w:hAnsiTheme="minorEastAsia" w:eastAsiaTheme="minorEastAsia" w:cstheme="minorEastAsia"/>
          <w:bCs/>
          <w:color w:val="auto"/>
          <w:highlight w:val="none"/>
        </w:rPr>
        <w:t>质量及供货渠道要求</w:t>
      </w:r>
      <w:r>
        <w:rPr>
          <w:color w:val="auto"/>
          <w:highlight w:val="none"/>
        </w:rPr>
        <w:tab/>
      </w:r>
      <w:r>
        <w:rPr>
          <w:color w:val="auto"/>
          <w:highlight w:val="none"/>
        </w:rPr>
        <w:fldChar w:fldCharType="begin"/>
      </w:r>
      <w:r>
        <w:rPr>
          <w:color w:val="auto"/>
          <w:highlight w:val="none"/>
        </w:rPr>
        <w:instrText xml:space="preserve"> PAGEREF _Toc24339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_Toc28403 </w:instrText>
      </w:r>
      <w:r>
        <w:rPr>
          <w:color w:val="auto"/>
          <w:highlight w:val="none"/>
        </w:rPr>
        <w:fldChar w:fldCharType="separate"/>
      </w:r>
      <w:r>
        <w:rPr>
          <w:rFonts w:hint="eastAsia" w:ascii="宋体" w:hAnsi="宋体" w:eastAsia="宋体" w:cs="宋体"/>
          <w:bCs/>
          <w:color w:val="auto"/>
          <w:highlight w:val="none"/>
        </w:rPr>
        <w:t xml:space="preserve">(四) </w:t>
      </w:r>
      <w:r>
        <w:rPr>
          <w:rFonts w:hint="eastAsia" w:asciiTheme="minorEastAsia" w:hAnsiTheme="minorEastAsia" w:eastAsiaTheme="minorEastAsia" w:cstheme="minorEastAsia"/>
          <w:bCs/>
          <w:color w:val="auto"/>
          <w:highlight w:val="none"/>
        </w:rPr>
        <w:t>包装和运输</w:t>
      </w:r>
      <w:r>
        <w:rPr>
          <w:rFonts w:hint="eastAsia" w:cs="宋体"/>
          <w:bCs/>
          <w:color w:val="auto"/>
          <w:highlight w:val="none"/>
        </w:rPr>
        <w:t>要求</w:t>
      </w:r>
      <w:r>
        <w:rPr>
          <w:color w:val="auto"/>
          <w:highlight w:val="none"/>
        </w:rPr>
        <w:tab/>
      </w:r>
      <w:r>
        <w:rPr>
          <w:color w:val="auto"/>
          <w:highlight w:val="none"/>
        </w:rPr>
        <w:fldChar w:fldCharType="begin"/>
      </w:r>
      <w:r>
        <w:rPr>
          <w:color w:val="auto"/>
          <w:highlight w:val="none"/>
        </w:rPr>
        <w:instrText xml:space="preserve"> PAGEREF _Toc28403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_Toc16550 </w:instrText>
      </w:r>
      <w:r>
        <w:rPr>
          <w:color w:val="auto"/>
          <w:highlight w:val="none"/>
        </w:rPr>
        <w:fldChar w:fldCharType="separate"/>
      </w:r>
      <w:r>
        <w:rPr>
          <w:rFonts w:hint="eastAsia" w:ascii="宋体" w:hAnsi="宋体" w:eastAsia="宋体" w:cs="宋体"/>
          <w:bCs/>
          <w:color w:val="auto"/>
          <w:highlight w:val="none"/>
        </w:rPr>
        <w:t xml:space="preserve">(五) </w:t>
      </w:r>
      <w:r>
        <w:rPr>
          <w:rFonts w:hint="eastAsia" w:asciiTheme="minorEastAsia" w:hAnsiTheme="minorEastAsia" w:eastAsiaTheme="minorEastAsia" w:cstheme="minorEastAsia"/>
          <w:bCs/>
          <w:color w:val="auto"/>
          <w:highlight w:val="none"/>
          <w:lang w:val="en-US" w:eastAsia="zh-CN"/>
        </w:rPr>
        <w:t>安装调试要求</w:t>
      </w:r>
      <w:r>
        <w:rPr>
          <w:color w:val="auto"/>
          <w:highlight w:val="none"/>
        </w:rPr>
        <w:tab/>
      </w:r>
      <w:r>
        <w:rPr>
          <w:color w:val="auto"/>
          <w:highlight w:val="none"/>
        </w:rPr>
        <w:fldChar w:fldCharType="begin"/>
      </w:r>
      <w:r>
        <w:rPr>
          <w:color w:val="auto"/>
          <w:highlight w:val="none"/>
        </w:rPr>
        <w:instrText xml:space="preserve"> PAGEREF _Toc16550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_Toc4344 </w:instrText>
      </w:r>
      <w:r>
        <w:rPr>
          <w:color w:val="auto"/>
          <w:highlight w:val="none"/>
        </w:rPr>
        <w:fldChar w:fldCharType="separate"/>
      </w:r>
      <w:r>
        <w:rPr>
          <w:rFonts w:hint="eastAsia" w:ascii="宋体" w:hAnsi="宋体" w:eastAsia="宋体" w:cs="宋体"/>
          <w:bCs/>
          <w:color w:val="auto"/>
          <w:highlight w:val="none"/>
        </w:rPr>
        <w:t xml:space="preserve">(六) </w:t>
      </w:r>
      <w:r>
        <w:rPr>
          <w:rFonts w:hint="eastAsia" w:asciiTheme="minorEastAsia" w:hAnsiTheme="minorEastAsia" w:eastAsiaTheme="minorEastAsia" w:cstheme="minorEastAsia"/>
          <w:bCs/>
          <w:color w:val="auto"/>
          <w:highlight w:val="none"/>
        </w:rPr>
        <w:t>售后服务要求</w:t>
      </w:r>
      <w:r>
        <w:rPr>
          <w:color w:val="auto"/>
          <w:highlight w:val="none"/>
        </w:rPr>
        <w:tab/>
      </w:r>
      <w:r>
        <w:rPr>
          <w:color w:val="auto"/>
          <w:highlight w:val="none"/>
        </w:rPr>
        <w:fldChar w:fldCharType="begin"/>
      </w:r>
      <w:r>
        <w:rPr>
          <w:color w:val="auto"/>
          <w:highlight w:val="none"/>
        </w:rPr>
        <w:instrText xml:space="preserve"> PAGEREF _Toc4344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_Toc22669 </w:instrText>
      </w:r>
      <w:r>
        <w:rPr>
          <w:color w:val="auto"/>
          <w:highlight w:val="none"/>
        </w:rPr>
        <w:fldChar w:fldCharType="separate"/>
      </w:r>
      <w:r>
        <w:rPr>
          <w:rFonts w:hint="eastAsia" w:ascii="宋体" w:hAnsi="宋体" w:eastAsia="宋体" w:cs="宋体"/>
          <w:bCs/>
          <w:color w:val="auto"/>
          <w:highlight w:val="none"/>
        </w:rPr>
        <w:t xml:space="preserve">(七) </w:t>
      </w:r>
      <w:r>
        <w:rPr>
          <w:rFonts w:hint="eastAsia" w:cs="宋体"/>
          <w:bCs/>
          <w:color w:val="auto"/>
          <w:highlight w:val="none"/>
        </w:rPr>
        <w:t>验收、交付标准和方法</w:t>
      </w:r>
      <w:r>
        <w:rPr>
          <w:color w:val="auto"/>
          <w:highlight w:val="none"/>
        </w:rPr>
        <w:tab/>
      </w:r>
      <w:r>
        <w:rPr>
          <w:color w:val="auto"/>
          <w:highlight w:val="none"/>
        </w:rPr>
        <w:fldChar w:fldCharType="begin"/>
      </w:r>
      <w:r>
        <w:rPr>
          <w:color w:val="auto"/>
          <w:highlight w:val="none"/>
        </w:rPr>
        <w:instrText xml:space="preserve"> PAGEREF _Toc22669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_Toc14048 </w:instrText>
      </w:r>
      <w:r>
        <w:rPr>
          <w:color w:val="auto"/>
          <w:highlight w:val="none"/>
        </w:rPr>
        <w:fldChar w:fldCharType="separate"/>
      </w:r>
      <w:r>
        <w:rPr>
          <w:rFonts w:hint="eastAsia" w:ascii="宋体" w:hAnsi="宋体" w:eastAsia="宋体" w:cs="宋体"/>
          <w:bCs/>
          <w:color w:val="auto"/>
          <w:highlight w:val="none"/>
        </w:rPr>
        <w:t xml:space="preserve">(八) </w:t>
      </w:r>
      <w:r>
        <w:rPr>
          <w:rFonts w:hint="eastAsia" w:asciiTheme="minorEastAsia" w:hAnsiTheme="minorEastAsia" w:eastAsiaTheme="minorEastAsia" w:cstheme="minorEastAsia"/>
          <w:bCs/>
          <w:color w:val="auto"/>
          <w:highlight w:val="none"/>
        </w:rPr>
        <w:t>其他要求</w:t>
      </w:r>
      <w:r>
        <w:rPr>
          <w:color w:val="auto"/>
          <w:highlight w:val="none"/>
        </w:rPr>
        <w:tab/>
      </w:r>
      <w:r>
        <w:rPr>
          <w:color w:val="auto"/>
          <w:highlight w:val="none"/>
        </w:rPr>
        <w:fldChar w:fldCharType="begin"/>
      </w:r>
      <w:r>
        <w:rPr>
          <w:color w:val="auto"/>
          <w:highlight w:val="none"/>
        </w:rPr>
        <w:instrText xml:space="preserve"> PAGEREF _Toc14048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_Toc23969 </w:instrText>
      </w:r>
      <w:r>
        <w:rPr>
          <w:color w:val="auto"/>
          <w:highlight w:val="none"/>
        </w:rPr>
        <w:fldChar w:fldCharType="separate"/>
      </w:r>
      <w:r>
        <w:rPr>
          <w:rFonts w:hint="eastAsia" w:ascii="宋体" w:hAnsi="宋体" w:eastAsia="宋体" w:cs="宋体"/>
          <w:color w:val="auto"/>
          <w:highlight w:val="none"/>
        </w:rPr>
        <w:t xml:space="preserve">六、 </w:t>
      </w:r>
      <w:r>
        <w:rPr>
          <w:rFonts w:hint="eastAsia"/>
          <w:color w:val="auto"/>
          <w:highlight w:val="none"/>
        </w:rPr>
        <w:t>★履约保证金</w:t>
      </w:r>
      <w:r>
        <w:rPr>
          <w:color w:val="auto"/>
          <w:highlight w:val="none"/>
        </w:rPr>
        <w:tab/>
      </w:r>
      <w:r>
        <w:rPr>
          <w:color w:val="auto"/>
          <w:highlight w:val="none"/>
        </w:rPr>
        <w:fldChar w:fldCharType="begin"/>
      </w:r>
      <w:r>
        <w:rPr>
          <w:color w:val="auto"/>
          <w:highlight w:val="none"/>
        </w:rPr>
        <w:instrText xml:space="preserve"> PAGEREF _Toc23969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pPr>
        <w:pStyle w:val="16"/>
        <w:tabs>
          <w:tab w:val="clear" w:pos="0"/>
        </w:tabs>
        <w:rPr>
          <w:color w:val="auto"/>
          <w:highlight w:val="none"/>
        </w:rPr>
      </w:pPr>
      <w:r>
        <w:rPr>
          <w:color w:val="auto"/>
          <w:highlight w:val="none"/>
        </w:rPr>
        <w:fldChar w:fldCharType="begin"/>
      </w:r>
      <w:r>
        <w:rPr>
          <w:color w:val="auto"/>
          <w:highlight w:val="none"/>
        </w:rPr>
        <w:instrText xml:space="preserve"> HYPERLINK \l _Toc15140 </w:instrText>
      </w:r>
      <w:r>
        <w:rPr>
          <w:color w:val="auto"/>
          <w:highlight w:val="none"/>
        </w:rPr>
        <w:fldChar w:fldCharType="separate"/>
      </w:r>
      <w:r>
        <w:rPr>
          <w:rFonts w:hint="eastAsia" w:ascii="宋体" w:hAnsi="宋体" w:eastAsia="宋体" w:cs="宋体"/>
          <w:color w:val="auto"/>
          <w:highlight w:val="none"/>
        </w:rPr>
        <w:t xml:space="preserve">第七章 </w:t>
      </w:r>
      <w:r>
        <w:rPr>
          <w:rFonts w:hint="eastAsia"/>
          <w:color w:val="auto"/>
          <w:highlight w:val="none"/>
        </w:rPr>
        <w:t>评标办法</w:t>
      </w:r>
      <w:r>
        <w:rPr>
          <w:color w:val="auto"/>
          <w:highlight w:val="none"/>
        </w:rPr>
        <w:tab/>
      </w:r>
      <w:r>
        <w:rPr>
          <w:color w:val="auto"/>
          <w:highlight w:val="none"/>
        </w:rPr>
        <w:fldChar w:fldCharType="begin"/>
      </w:r>
      <w:r>
        <w:rPr>
          <w:color w:val="auto"/>
          <w:highlight w:val="none"/>
        </w:rPr>
        <w:instrText xml:space="preserve"> PAGEREF _Toc15140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pPr>
        <w:pStyle w:val="16"/>
        <w:tabs>
          <w:tab w:val="clear" w:pos="0"/>
        </w:tabs>
        <w:rPr>
          <w:color w:val="auto"/>
          <w:highlight w:val="none"/>
        </w:rPr>
      </w:pPr>
      <w:r>
        <w:rPr>
          <w:color w:val="auto"/>
          <w:highlight w:val="none"/>
        </w:rPr>
        <w:fldChar w:fldCharType="begin"/>
      </w:r>
      <w:r>
        <w:rPr>
          <w:color w:val="auto"/>
          <w:highlight w:val="none"/>
        </w:rPr>
        <w:instrText xml:space="preserve"> HYPERLINK \l _Toc3704 </w:instrText>
      </w:r>
      <w:r>
        <w:rPr>
          <w:color w:val="auto"/>
          <w:highlight w:val="none"/>
        </w:rPr>
        <w:fldChar w:fldCharType="separate"/>
      </w:r>
      <w:r>
        <w:rPr>
          <w:rFonts w:hint="eastAsia" w:ascii="宋体" w:hAnsi="宋体" w:eastAsia="宋体" w:cs="宋体"/>
          <w:color w:val="auto"/>
          <w:highlight w:val="none"/>
        </w:rPr>
        <w:t xml:space="preserve">第八章 </w:t>
      </w:r>
      <w:r>
        <w:rPr>
          <w:rFonts w:hint="eastAsia"/>
          <w:color w:val="auto"/>
          <w:highlight w:val="none"/>
        </w:rPr>
        <w:t>采购合同</w:t>
      </w:r>
      <w:r>
        <w:rPr>
          <w:color w:val="auto"/>
          <w:highlight w:val="none"/>
        </w:rPr>
        <w:tab/>
      </w:r>
      <w:r>
        <w:rPr>
          <w:color w:val="auto"/>
          <w:highlight w:val="none"/>
        </w:rPr>
        <w:fldChar w:fldCharType="begin"/>
      </w:r>
      <w:r>
        <w:rPr>
          <w:color w:val="auto"/>
          <w:highlight w:val="none"/>
        </w:rPr>
        <w:instrText xml:space="preserve"> PAGEREF _Toc3704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pPr>
        <w:pStyle w:val="16"/>
        <w:tabs>
          <w:tab w:val="clear" w:pos="0"/>
        </w:tabs>
        <w:rPr>
          <w:color w:val="auto"/>
          <w:highlight w:val="none"/>
        </w:rPr>
      </w:pPr>
      <w:r>
        <w:rPr>
          <w:color w:val="auto"/>
          <w:highlight w:val="none"/>
        </w:rPr>
        <w:fldChar w:fldCharType="begin"/>
      </w:r>
      <w:r>
        <w:rPr>
          <w:color w:val="auto"/>
          <w:highlight w:val="none"/>
        </w:rPr>
        <w:instrText xml:space="preserve"> HYPERLINK \l _Toc4600 </w:instrText>
      </w:r>
      <w:r>
        <w:rPr>
          <w:color w:val="auto"/>
          <w:highlight w:val="none"/>
        </w:rPr>
        <w:fldChar w:fldCharType="separate"/>
      </w:r>
      <w:r>
        <w:rPr>
          <w:rFonts w:hint="eastAsia" w:ascii="宋体" w:hAnsi="宋体" w:eastAsia="宋体" w:cs="宋体"/>
          <w:color w:val="auto"/>
          <w:highlight w:val="none"/>
          <w:lang w:val="en-US" w:eastAsia="zh-CN"/>
        </w:rPr>
        <w:t xml:space="preserve">第九章 </w:t>
      </w:r>
      <w:r>
        <w:rPr>
          <w:rFonts w:hint="eastAsia"/>
          <w:color w:val="auto"/>
          <w:highlight w:val="none"/>
          <w:lang w:val="en-US" w:eastAsia="zh-CN"/>
        </w:rPr>
        <w:t>附件</w:t>
      </w:r>
      <w:r>
        <w:rPr>
          <w:color w:val="auto"/>
          <w:highlight w:val="none"/>
        </w:rPr>
        <w:tab/>
      </w:r>
      <w:r>
        <w:rPr>
          <w:color w:val="auto"/>
          <w:highlight w:val="none"/>
        </w:rPr>
        <w:fldChar w:fldCharType="begin"/>
      </w:r>
      <w:r>
        <w:rPr>
          <w:color w:val="auto"/>
          <w:highlight w:val="none"/>
        </w:rPr>
        <w:instrText xml:space="preserve"> PAGEREF _Toc4600 \h </w:instrText>
      </w:r>
      <w:r>
        <w:rPr>
          <w:color w:val="auto"/>
          <w:highlight w:val="none"/>
        </w:rPr>
        <w:fldChar w:fldCharType="separate"/>
      </w:r>
      <w:r>
        <w:rPr>
          <w:color w:val="auto"/>
          <w:highlight w:val="none"/>
        </w:rPr>
        <w:t>102</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_Toc2430 </w:instrText>
      </w:r>
      <w:r>
        <w:rPr>
          <w:color w:val="auto"/>
          <w:highlight w:val="none"/>
        </w:rPr>
        <w:fldChar w:fldCharType="separate"/>
      </w:r>
      <w:r>
        <w:rPr>
          <w:rFonts w:hint="eastAsia" w:ascii="宋体" w:hAnsi="宋体" w:eastAsia="宋体" w:cs="宋体"/>
          <w:bCs/>
          <w:color w:val="auto"/>
          <w:szCs w:val="24"/>
          <w:highlight w:val="none"/>
          <w:lang w:val="en-US" w:eastAsia="zh-CN"/>
        </w:rPr>
        <w:t>附件一：《20</w:t>
      </w:r>
      <w:r>
        <w:rPr>
          <w:rFonts w:hint="eastAsia" w:cs="宋体"/>
          <w:bCs/>
          <w:color w:val="auto"/>
          <w:szCs w:val="24"/>
          <w:highlight w:val="none"/>
          <w:lang w:val="en-US" w:eastAsia="zh-CN"/>
        </w:rPr>
        <w:t>23</w:t>
      </w:r>
      <w:r>
        <w:rPr>
          <w:rFonts w:hint="eastAsia" w:ascii="宋体" w:hAnsi="宋体" w:eastAsia="宋体" w:cs="宋体"/>
          <w:bCs/>
          <w:color w:val="auto"/>
          <w:szCs w:val="24"/>
          <w:highlight w:val="none"/>
          <w:lang w:val="en-US" w:eastAsia="zh-CN"/>
        </w:rPr>
        <w:t>年度信用评价服务效果调查表(供应商)》</w:t>
      </w:r>
      <w:r>
        <w:rPr>
          <w:color w:val="auto"/>
          <w:highlight w:val="none"/>
        </w:rPr>
        <w:tab/>
      </w:r>
      <w:r>
        <w:rPr>
          <w:color w:val="auto"/>
          <w:highlight w:val="none"/>
        </w:rPr>
        <w:fldChar w:fldCharType="begin"/>
      </w:r>
      <w:r>
        <w:rPr>
          <w:color w:val="auto"/>
          <w:highlight w:val="none"/>
        </w:rPr>
        <w:instrText xml:space="preserve"> PAGEREF _Toc2430 \h </w:instrText>
      </w:r>
      <w:r>
        <w:rPr>
          <w:color w:val="auto"/>
          <w:highlight w:val="none"/>
        </w:rPr>
        <w:fldChar w:fldCharType="separate"/>
      </w:r>
      <w:r>
        <w:rPr>
          <w:color w:val="auto"/>
          <w:highlight w:val="none"/>
        </w:rPr>
        <w:t>102</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_Toc9486 </w:instrText>
      </w:r>
      <w:r>
        <w:rPr>
          <w:color w:val="auto"/>
          <w:highlight w:val="none"/>
        </w:rPr>
        <w:fldChar w:fldCharType="separate"/>
      </w:r>
      <w:r>
        <w:rPr>
          <w:rFonts w:hint="eastAsia" w:ascii="宋体" w:hAnsi="宋体" w:eastAsia="宋体" w:cs="宋体"/>
          <w:bCs/>
          <w:color w:val="auto"/>
          <w:szCs w:val="24"/>
          <w:highlight w:val="none"/>
          <w:lang w:val="en-US" w:eastAsia="zh-CN"/>
        </w:rPr>
        <w:t>附件二</w:t>
      </w:r>
      <w:r>
        <w:rPr>
          <w:rFonts w:hint="eastAsia" w:cs="宋体"/>
          <w:bCs/>
          <w:color w:val="auto"/>
          <w:szCs w:val="24"/>
          <w:highlight w:val="none"/>
          <w:lang w:val="en-US" w:eastAsia="zh-CN"/>
        </w:rPr>
        <w:t>： 统计上大中小微型企业划分标准</w:t>
      </w:r>
      <w:r>
        <w:rPr>
          <w:color w:val="auto"/>
          <w:highlight w:val="none"/>
        </w:rPr>
        <w:tab/>
      </w:r>
      <w:r>
        <w:rPr>
          <w:color w:val="auto"/>
          <w:highlight w:val="none"/>
        </w:rPr>
        <w:fldChar w:fldCharType="begin"/>
      </w:r>
      <w:r>
        <w:rPr>
          <w:color w:val="auto"/>
          <w:highlight w:val="none"/>
        </w:rPr>
        <w:instrText xml:space="preserve"> PAGEREF _Toc9486 \h </w:instrText>
      </w:r>
      <w:r>
        <w:rPr>
          <w:color w:val="auto"/>
          <w:highlight w:val="none"/>
        </w:rPr>
        <w:fldChar w:fldCharType="separate"/>
      </w:r>
      <w:r>
        <w:rPr>
          <w:color w:val="auto"/>
          <w:highlight w:val="none"/>
        </w:rPr>
        <w:t>103</w:t>
      </w:r>
      <w:r>
        <w:rPr>
          <w:color w:val="auto"/>
          <w:highlight w:val="none"/>
        </w:rPr>
        <w:fldChar w:fldCharType="end"/>
      </w:r>
      <w:r>
        <w:rPr>
          <w:color w:val="auto"/>
          <w:highlight w:val="none"/>
        </w:rPr>
        <w:fldChar w:fldCharType="end"/>
      </w:r>
    </w:p>
    <w:p>
      <w:pPr>
        <w:rPr>
          <w:color w:val="auto"/>
          <w:highlight w:val="none"/>
        </w:rPr>
      </w:pPr>
      <w:r>
        <w:rPr>
          <w:color w:val="auto"/>
          <w:highlight w:val="none"/>
        </w:rPr>
        <w:fldChar w:fldCharType="end"/>
      </w:r>
    </w:p>
    <w:p>
      <w:pPr>
        <w:pStyle w:val="48"/>
        <w:bidi w:val="0"/>
        <w:rPr>
          <w:rFonts w:hint="eastAsia"/>
          <w:color w:val="auto"/>
          <w:highlight w:val="none"/>
        </w:rPr>
      </w:pPr>
      <w:r>
        <w:rPr>
          <w:rFonts w:hint="eastAsia"/>
          <w:color w:val="auto"/>
          <w:highlight w:val="none"/>
        </w:rPr>
        <w:br w:type="page"/>
      </w:r>
      <w:bookmarkEnd w:id="2"/>
      <w:bookmarkEnd w:id="3"/>
      <w:bookmarkEnd w:id="4"/>
      <w:bookmarkStart w:id="6" w:name="_Toc18124"/>
      <w:bookmarkStart w:id="7" w:name="_Toc9731"/>
      <w:bookmarkStart w:id="8" w:name="_Toc29010"/>
      <w:bookmarkStart w:id="9" w:name="_Toc213397009"/>
      <w:bookmarkStart w:id="10" w:name="_Toc213396945"/>
      <w:bookmarkStart w:id="11" w:name="_Toc213496267"/>
      <w:bookmarkStart w:id="12" w:name="_Toc213396759"/>
      <w:bookmarkStart w:id="13" w:name="_Toc217446031"/>
      <w:r>
        <w:rPr>
          <w:rFonts w:hint="eastAsia"/>
          <w:color w:val="auto"/>
          <w:highlight w:val="none"/>
        </w:rPr>
        <w:t>投标邀请</w:t>
      </w:r>
      <w:bookmarkEnd w:id="5"/>
      <w:bookmarkEnd w:id="6"/>
      <w:bookmarkEnd w:id="7"/>
      <w:bookmarkEnd w:id="8"/>
    </w:p>
    <w:p>
      <w:pPr>
        <w:pStyle w:val="46"/>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color w:val="auto"/>
          <w:highlight w:val="none"/>
        </w:rPr>
      </w:pPr>
      <w:r>
        <w:rPr>
          <w:rFonts w:hint="eastAsia"/>
          <w:color w:val="auto"/>
          <w:highlight w:val="none"/>
          <w:lang w:val="zh-CN"/>
        </w:rPr>
        <w:t>四川乾新招投标代理有限公司</w:t>
      </w:r>
      <w:r>
        <w:rPr>
          <w:rFonts w:hint="eastAsia"/>
          <w:color w:val="auto"/>
          <w:highlight w:val="none"/>
        </w:rPr>
        <w:t>受</w:t>
      </w:r>
      <w:r>
        <w:rPr>
          <w:rFonts w:hint="eastAsia"/>
          <w:color w:val="auto"/>
          <w:highlight w:val="none"/>
          <w:lang w:val="en-US" w:eastAsia="zh-CN"/>
        </w:rPr>
        <w:t>成都市技师学院</w:t>
      </w:r>
      <w:r>
        <w:rPr>
          <w:rFonts w:hint="eastAsia"/>
          <w:color w:val="auto"/>
          <w:highlight w:val="none"/>
        </w:rPr>
        <w:t>的委托，拟对</w:t>
      </w:r>
      <w:r>
        <w:rPr>
          <w:rFonts w:hint="eastAsia"/>
          <w:color w:val="auto"/>
          <w:highlight w:val="none"/>
          <w:lang w:val="en-US" w:eastAsia="zh-CN"/>
        </w:rPr>
        <w:t>成都市技师学院工业机器人数字化虚拟仿真实训基地设备采购项目</w:t>
      </w:r>
      <w:r>
        <w:rPr>
          <w:rFonts w:hint="eastAsia"/>
          <w:color w:val="auto"/>
          <w:highlight w:val="none"/>
        </w:rPr>
        <w:t>进行国内公开招标，兹邀请符合本次招标要求的供应商参加投标。</w:t>
      </w:r>
    </w:p>
    <w:p>
      <w:pPr>
        <w:pStyle w:val="42"/>
        <w:keepNext w:val="0"/>
        <w:keepLines w:val="0"/>
        <w:pageBreakBefore w:val="0"/>
        <w:widowControl w:val="0"/>
        <w:numPr>
          <w:ilvl w:val="0"/>
          <w:numId w:val="7"/>
        </w:numPr>
        <w:kinsoku/>
        <w:wordWrap w:val="0"/>
        <w:overflowPunct/>
        <w:topLinePunct/>
        <w:autoSpaceDE/>
        <w:autoSpaceDN/>
        <w:bidi w:val="0"/>
        <w:adjustRightInd w:val="0"/>
        <w:snapToGrid w:val="0"/>
        <w:spacing w:line="520" w:lineRule="exact"/>
        <w:ind w:left="0" w:leftChars="0" w:firstLine="482" w:firstLineChars="200"/>
        <w:textAlignment w:val="auto"/>
        <w:rPr>
          <w:rFonts w:hint="eastAsia"/>
          <w:color w:val="auto"/>
          <w:highlight w:val="none"/>
        </w:rPr>
      </w:pPr>
      <w:r>
        <w:rPr>
          <w:rFonts w:hint="eastAsia"/>
          <w:b/>
          <w:bCs/>
          <w:color w:val="auto"/>
          <w:highlight w:val="none"/>
        </w:rPr>
        <w:t>项目编号：</w:t>
      </w:r>
      <w:bookmarkStart w:id="1363" w:name="_GoBack"/>
      <w:r>
        <w:rPr>
          <w:rFonts w:hint="eastAsia"/>
          <w:color w:val="auto"/>
          <w:highlight w:val="none"/>
          <w:lang w:val="en-US" w:eastAsia="zh-CN"/>
        </w:rPr>
        <w:t>QXZB-2023-1053B</w:t>
      </w:r>
      <w:bookmarkEnd w:id="1363"/>
      <w:r>
        <w:rPr>
          <w:rFonts w:hint="eastAsia"/>
          <w:color w:val="auto"/>
          <w:highlight w:val="none"/>
        </w:rPr>
        <w:t xml:space="preserve">         </w:t>
      </w:r>
    </w:p>
    <w:p>
      <w:pPr>
        <w:pStyle w:val="42"/>
        <w:keepNext w:val="0"/>
        <w:keepLines w:val="0"/>
        <w:pageBreakBefore w:val="0"/>
        <w:widowControl w:val="0"/>
        <w:numPr>
          <w:ilvl w:val="0"/>
          <w:numId w:val="7"/>
        </w:numPr>
        <w:kinsoku/>
        <w:wordWrap w:val="0"/>
        <w:overflowPunct/>
        <w:topLinePunct/>
        <w:autoSpaceDE/>
        <w:autoSpaceDN/>
        <w:bidi w:val="0"/>
        <w:adjustRightInd w:val="0"/>
        <w:snapToGrid w:val="0"/>
        <w:spacing w:line="520" w:lineRule="exact"/>
        <w:ind w:left="0" w:leftChars="0" w:firstLine="482" w:firstLineChars="200"/>
        <w:textAlignment w:val="auto"/>
        <w:rPr>
          <w:rFonts w:hint="eastAsia"/>
          <w:color w:val="auto"/>
          <w:highlight w:val="none"/>
        </w:rPr>
      </w:pPr>
      <w:r>
        <w:rPr>
          <w:rFonts w:hint="eastAsia"/>
          <w:b/>
          <w:bCs/>
          <w:color w:val="auto"/>
          <w:highlight w:val="none"/>
        </w:rPr>
        <w:t>项目名称：</w:t>
      </w:r>
      <w:r>
        <w:rPr>
          <w:rFonts w:hint="eastAsia"/>
          <w:color w:val="auto"/>
          <w:highlight w:val="none"/>
          <w:lang w:val="en-US" w:eastAsia="zh-CN"/>
        </w:rPr>
        <w:t>成都市技师学院工业机器人数字化虚拟仿真实训基地设备采购项目</w:t>
      </w:r>
    </w:p>
    <w:p>
      <w:pPr>
        <w:pStyle w:val="42"/>
        <w:keepNext w:val="0"/>
        <w:keepLines w:val="0"/>
        <w:pageBreakBefore w:val="0"/>
        <w:widowControl w:val="0"/>
        <w:numPr>
          <w:ilvl w:val="0"/>
          <w:numId w:val="7"/>
        </w:numPr>
        <w:kinsoku/>
        <w:wordWrap w:val="0"/>
        <w:overflowPunct/>
        <w:topLinePunct/>
        <w:autoSpaceDE/>
        <w:autoSpaceDN/>
        <w:bidi w:val="0"/>
        <w:adjustRightInd w:val="0"/>
        <w:snapToGrid w:val="0"/>
        <w:spacing w:line="520" w:lineRule="exact"/>
        <w:ind w:left="0" w:leftChars="0" w:firstLine="482" w:firstLineChars="200"/>
        <w:textAlignment w:val="auto"/>
        <w:rPr>
          <w:rFonts w:hint="eastAsia"/>
          <w:color w:val="auto"/>
          <w:highlight w:val="none"/>
        </w:rPr>
      </w:pPr>
      <w:r>
        <w:rPr>
          <w:rFonts w:hint="eastAsia"/>
          <w:b/>
          <w:bCs/>
          <w:color w:val="auto"/>
          <w:highlight w:val="none"/>
          <w:lang w:val="en-US" w:eastAsia="zh-CN"/>
        </w:rPr>
        <w:t>资金来源</w:t>
      </w:r>
      <w:r>
        <w:rPr>
          <w:rFonts w:hint="eastAsia"/>
          <w:b/>
          <w:bCs/>
          <w:color w:val="auto"/>
          <w:highlight w:val="none"/>
        </w:rPr>
        <w:t>：</w:t>
      </w:r>
      <w:r>
        <w:rPr>
          <w:rFonts w:hint="eastAsia"/>
          <w:b w:val="0"/>
          <w:bCs w:val="0"/>
          <w:color w:val="auto"/>
          <w:highlight w:val="none"/>
          <w:lang w:val="en-US" w:eastAsia="zh-CN"/>
        </w:rPr>
        <w:t>资金已落实，本项目采购预算为30万元</w:t>
      </w:r>
      <w:r>
        <w:rPr>
          <w:rFonts w:hint="eastAsia"/>
          <w:b w:val="0"/>
          <w:bCs w:val="0"/>
          <w:color w:val="auto"/>
          <w:highlight w:val="none"/>
        </w:rPr>
        <w:t>。</w:t>
      </w:r>
    </w:p>
    <w:p>
      <w:pPr>
        <w:pStyle w:val="42"/>
        <w:keepNext w:val="0"/>
        <w:keepLines w:val="0"/>
        <w:pageBreakBefore w:val="0"/>
        <w:widowControl w:val="0"/>
        <w:numPr>
          <w:ilvl w:val="0"/>
          <w:numId w:val="7"/>
        </w:numPr>
        <w:kinsoku/>
        <w:wordWrap w:val="0"/>
        <w:overflowPunct/>
        <w:topLinePunct/>
        <w:autoSpaceDE/>
        <w:autoSpaceDN/>
        <w:bidi w:val="0"/>
        <w:adjustRightInd w:val="0"/>
        <w:snapToGrid w:val="0"/>
        <w:spacing w:line="520" w:lineRule="exact"/>
        <w:ind w:left="0" w:leftChars="0" w:firstLine="482" w:firstLineChars="200"/>
        <w:textAlignment w:val="auto"/>
        <w:rPr>
          <w:rFonts w:hint="eastAsia"/>
          <w:b/>
          <w:bCs/>
          <w:color w:val="auto"/>
          <w:highlight w:val="none"/>
        </w:rPr>
      </w:pPr>
      <w:r>
        <w:rPr>
          <w:rFonts w:hint="eastAsia"/>
          <w:b/>
          <w:bCs/>
          <w:color w:val="auto"/>
          <w:highlight w:val="none"/>
        </w:rPr>
        <w:t>招标项目简介：</w:t>
      </w:r>
    </w:p>
    <w:p>
      <w:pPr>
        <w:pStyle w:val="42"/>
        <w:keepNext w:val="0"/>
        <w:keepLines w:val="0"/>
        <w:pageBreakBefore w:val="0"/>
        <w:widowControl w:val="0"/>
        <w:kinsoku/>
        <w:wordWrap w:val="0"/>
        <w:overflowPunct/>
        <w:topLinePunct/>
        <w:autoSpaceDE/>
        <w:autoSpaceDN/>
        <w:bidi w:val="0"/>
        <w:adjustRightInd w:val="0"/>
        <w:snapToGrid w:val="0"/>
        <w:spacing w:line="520" w:lineRule="exact"/>
        <w:ind w:firstLine="482" w:firstLineChars="200"/>
        <w:textAlignment w:val="auto"/>
        <w:rPr>
          <w:rFonts w:hint="eastAsia"/>
          <w:color w:val="auto"/>
          <w:highlight w:val="none"/>
        </w:rPr>
      </w:pPr>
      <w:r>
        <w:rPr>
          <w:rFonts w:hint="eastAsia"/>
          <w:b/>
          <w:bCs/>
          <w:color w:val="auto"/>
          <w:highlight w:val="none"/>
          <w:lang w:val="en-US" w:eastAsia="zh-CN"/>
        </w:rPr>
        <w:t>(一)采购内容：</w:t>
      </w:r>
      <w:r>
        <w:rPr>
          <w:rFonts w:hint="eastAsia"/>
          <w:color w:val="auto"/>
          <w:highlight w:val="none"/>
          <w:lang w:val="en-US" w:eastAsia="zh-CN"/>
        </w:rPr>
        <w:t>工业机器人数字化虚拟仿真实训基地设备采购</w:t>
      </w:r>
      <w:r>
        <w:rPr>
          <w:rFonts w:hint="eastAsia"/>
          <w:color w:val="auto"/>
          <w:highlight w:val="none"/>
        </w:rPr>
        <w:t>，</w:t>
      </w:r>
      <w:r>
        <w:rPr>
          <w:rFonts w:hint="eastAsia"/>
          <w:color w:val="auto"/>
          <w:highlight w:val="none"/>
          <w:lang w:val="en-US" w:eastAsia="zh-CN"/>
        </w:rPr>
        <w:t>具体</w:t>
      </w:r>
      <w:r>
        <w:rPr>
          <w:rFonts w:hint="eastAsia"/>
          <w:color w:val="auto"/>
          <w:highlight w:val="none"/>
        </w:rPr>
        <w:t>详见招标文件第六章。</w:t>
      </w:r>
    </w:p>
    <w:p>
      <w:pPr>
        <w:pStyle w:val="42"/>
        <w:keepNext w:val="0"/>
        <w:keepLines w:val="0"/>
        <w:pageBreakBefore w:val="0"/>
        <w:widowControl w:val="0"/>
        <w:kinsoku/>
        <w:wordWrap w:val="0"/>
        <w:overflowPunct/>
        <w:topLinePunct/>
        <w:autoSpaceDE/>
        <w:autoSpaceDN/>
        <w:bidi w:val="0"/>
        <w:adjustRightInd w:val="0"/>
        <w:snapToGrid w:val="0"/>
        <w:spacing w:line="520" w:lineRule="exact"/>
        <w:ind w:firstLine="482" w:firstLineChars="200"/>
        <w:textAlignment w:val="auto"/>
        <w:rPr>
          <w:rFonts w:hint="default"/>
          <w:b/>
          <w:bCs/>
          <w:color w:val="auto"/>
          <w:highlight w:val="none"/>
          <w:lang w:val="en-US" w:eastAsia="zh-CN"/>
        </w:rPr>
      </w:pPr>
      <w:r>
        <w:rPr>
          <w:rFonts w:hint="eastAsia"/>
          <w:b/>
          <w:bCs/>
          <w:color w:val="auto"/>
          <w:highlight w:val="none"/>
          <w:lang w:val="en-US" w:eastAsia="zh-CN"/>
        </w:rPr>
        <w:t>(二)采购包划分：</w:t>
      </w:r>
      <w:r>
        <w:rPr>
          <w:rFonts w:hint="eastAsia"/>
          <w:color w:val="auto"/>
          <w:highlight w:val="none"/>
          <w:lang w:val="en-US" w:eastAsia="zh-CN"/>
        </w:rPr>
        <w:t>本项目</w:t>
      </w:r>
      <w:r>
        <w:rPr>
          <w:rFonts w:hint="eastAsia"/>
          <w:color w:val="auto"/>
          <w:highlight w:val="none"/>
        </w:rPr>
        <w:t>共计</w:t>
      </w:r>
      <w:r>
        <w:rPr>
          <w:rFonts w:hint="eastAsia"/>
          <w:color w:val="auto"/>
          <w:highlight w:val="none"/>
          <w:lang w:val="en-US" w:eastAsia="zh-CN"/>
        </w:rPr>
        <w:t>1</w:t>
      </w:r>
      <w:r>
        <w:rPr>
          <w:rFonts w:hint="eastAsia"/>
          <w:color w:val="auto"/>
          <w:highlight w:val="none"/>
        </w:rPr>
        <w:t>个包，</w:t>
      </w:r>
      <w:r>
        <w:rPr>
          <w:rFonts w:hint="eastAsia"/>
          <w:color w:val="auto"/>
          <w:highlight w:val="none"/>
          <w:lang w:val="en-US" w:eastAsia="zh-CN"/>
        </w:rPr>
        <w:t>设置1名中标人</w:t>
      </w:r>
      <w:r>
        <w:rPr>
          <w:rFonts w:hint="eastAsia"/>
          <w:color w:val="auto"/>
          <w:highlight w:val="none"/>
          <w:lang w:eastAsia="zh-CN"/>
        </w:rPr>
        <w:t>。</w:t>
      </w:r>
    </w:p>
    <w:p>
      <w:pPr>
        <w:pStyle w:val="42"/>
        <w:keepNext w:val="0"/>
        <w:keepLines w:val="0"/>
        <w:pageBreakBefore w:val="0"/>
        <w:widowControl w:val="0"/>
        <w:kinsoku/>
        <w:wordWrap w:val="0"/>
        <w:overflowPunct/>
        <w:topLinePunct/>
        <w:autoSpaceDE/>
        <w:autoSpaceDN/>
        <w:bidi w:val="0"/>
        <w:adjustRightInd w:val="0"/>
        <w:snapToGrid w:val="0"/>
        <w:spacing w:line="520" w:lineRule="exact"/>
        <w:ind w:firstLine="482" w:firstLineChars="200"/>
        <w:textAlignment w:val="auto"/>
        <w:rPr>
          <w:rFonts w:hint="eastAsia"/>
          <w:color w:val="auto"/>
          <w:highlight w:val="none"/>
          <w:lang w:val="en-US" w:eastAsia="zh-CN"/>
        </w:rPr>
      </w:pPr>
      <w:r>
        <w:rPr>
          <w:rFonts w:hint="eastAsia"/>
          <w:b/>
          <w:bCs/>
          <w:color w:val="auto"/>
          <w:highlight w:val="none"/>
          <w:lang w:val="en-US" w:eastAsia="zh-CN"/>
        </w:rPr>
        <w:t>(三)采购用途：</w:t>
      </w:r>
      <w:r>
        <w:rPr>
          <w:rFonts w:hint="eastAsia"/>
          <w:b w:val="0"/>
          <w:bCs w:val="0"/>
          <w:color w:val="auto"/>
          <w:highlight w:val="none"/>
          <w:lang w:val="en-US" w:eastAsia="zh-CN"/>
        </w:rPr>
        <w:t>用于满足工业机器人数字化虚拟仿真实训基地建设需要，引入工程应用技术以及工业物联网技术。适合应用于工业机器人技术安装与调试、建筑设备安装、建筑智能化工程技术、机电一体化等相关专业的实训课程教学。</w:t>
      </w:r>
    </w:p>
    <w:p>
      <w:pPr>
        <w:pStyle w:val="42"/>
        <w:keepNext w:val="0"/>
        <w:keepLines w:val="0"/>
        <w:pageBreakBefore w:val="0"/>
        <w:widowControl w:val="0"/>
        <w:kinsoku/>
        <w:overflowPunct/>
        <w:autoSpaceDE/>
        <w:autoSpaceDN/>
        <w:bidi w:val="0"/>
        <w:adjustRightInd w:val="0"/>
        <w:snapToGrid w:val="0"/>
        <w:spacing w:line="520" w:lineRule="exact"/>
        <w:ind w:firstLine="482" w:firstLineChars="200"/>
        <w:textAlignment w:val="auto"/>
        <w:rPr>
          <w:rFonts w:hint="eastAsia"/>
          <w:color w:val="auto"/>
          <w:highlight w:val="none"/>
        </w:rPr>
      </w:pPr>
      <w:r>
        <w:rPr>
          <w:rFonts w:hint="eastAsia"/>
          <w:b/>
          <w:bCs/>
          <w:color w:val="auto"/>
          <w:highlight w:val="none"/>
        </w:rPr>
        <w:t>(四)项目性质：</w:t>
      </w:r>
      <w:r>
        <w:rPr>
          <w:rFonts w:hint="eastAsia"/>
          <w:b w:val="0"/>
          <w:bCs w:val="0"/>
          <w:color w:val="auto"/>
          <w:highlight w:val="none"/>
          <w:lang w:val="en-US" w:eastAsia="zh-CN"/>
        </w:rPr>
        <w:t>非法定</w:t>
      </w:r>
      <w:r>
        <w:rPr>
          <w:rFonts w:hint="eastAsia"/>
          <w:color w:val="auto"/>
          <w:highlight w:val="none"/>
        </w:rPr>
        <w:t>政府采购。</w:t>
      </w:r>
    </w:p>
    <w:p>
      <w:pPr>
        <w:pStyle w:val="42"/>
        <w:keepNext w:val="0"/>
        <w:keepLines w:val="0"/>
        <w:pageBreakBefore w:val="0"/>
        <w:widowControl w:val="0"/>
        <w:numPr>
          <w:ilvl w:val="0"/>
          <w:numId w:val="7"/>
        </w:numPr>
        <w:kinsoku/>
        <w:wordWrap w:val="0"/>
        <w:overflowPunct/>
        <w:topLinePunct/>
        <w:autoSpaceDE/>
        <w:autoSpaceDN/>
        <w:bidi w:val="0"/>
        <w:adjustRightInd w:val="0"/>
        <w:snapToGrid w:val="0"/>
        <w:spacing w:line="520" w:lineRule="exact"/>
        <w:ind w:left="0" w:leftChars="0" w:firstLine="482" w:firstLineChars="200"/>
        <w:textAlignment w:val="auto"/>
        <w:rPr>
          <w:rFonts w:hint="eastAsia"/>
          <w:b/>
          <w:bCs/>
          <w:color w:val="auto"/>
          <w:highlight w:val="none"/>
        </w:rPr>
      </w:pPr>
      <w:r>
        <w:rPr>
          <w:rFonts w:hint="eastAsia"/>
          <w:b/>
          <w:bCs/>
          <w:color w:val="auto"/>
          <w:highlight w:val="none"/>
        </w:rPr>
        <w:t>供应商参加本次</w:t>
      </w:r>
      <w:r>
        <w:rPr>
          <w:rFonts w:hint="eastAsia"/>
          <w:b/>
          <w:bCs/>
          <w:color w:val="auto"/>
          <w:highlight w:val="none"/>
          <w:lang w:eastAsia="zh-CN"/>
        </w:rPr>
        <w:t>采购</w:t>
      </w:r>
      <w:r>
        <w:rPr>
          <w:rFonts w:hint="eastAsia"/>
          <w:b/>
          <w:bCs/>
          <w:color w:val="auto"/>
          <w:highlight w:val="none"/>
        </w:rPr>
        <w:t>活动应具备下列条件：</w:t>
      </w:r>
    </w:p>
    <w:p>
      <w:pPr>
        <w:pStyle w:val="42"/>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b w:val="0"/>
          <w:bCs w:val="0"/>
          <w:color w:val="auto"/>
          <w:highlight w:val="none"/>
        </w:rPr>
      </w:pPr>
      <w:r>
        <w:rPr>
          <w:rFonts w:hint="eastAsia"/>
          <w:b w:val="0"/>
          <w:bCs w:val="0"/>
          <w:color w:val="auto"/>
          <w:highlight w:val="none"/>
          <w:lang w:val="en-US" w:eastAsia="zh-CN"/>
        </w:rPr>
        <w:t>(一)</w:t>
      </w:r>
      <w:r>
        <w:rPr>
          <w:rFonts w:hint="eastAsia"/>
          <w:b w:val="0"/>
          <w:bCs w:val="0"/>
          <w:color w:val="auto"/>
          <w:highlight w:val="none"/>
        </w:rPr>
        <w:t>具有独立承担</w:t>
      </w:r>
      <w:r>
        <w:rPr>
          <w:rFonts w:hint="eastAsia"/>
          <w:b w:val="0"/>
          <w:bCs w:val="0"/>
          <w:color w:val="auto"/>
          <w:highlight w:val="none"/>
        </w:rPr>
        <w:fldChar w:fldCharType="begin"/>
      </w:r>
      <w:r>
        <w:rPr>
          <w:rFonts w:hint="eastAsia"/>
          <w:b w:val="0"/>
          <w:bCs w:val="0"/>
          <w:color w:val="auto"/>
          <w:highlight w:val="none"/>
        </w:rPr>
        <w:instrText xml:space="preserve"> HYPERLINK "http://www.lawtime.cn/info/minfa/mszeren/" \t "_blank" </w:instrText>
      </w:r>
      <w:r>
        <w:rPr>
          <w:rFonts w:hint="eastAsia"/>
          <w:b w:val="0"/>
          <w:bCs w:val="0"/>
          <w:color w:val="auto"/>
          <w:highlight w:val="none"/>
        </w:rPr>
        <w:fldChar w:fldCharType="separate"/>
      </w:r>
      <w:r>
        <w:rPr>
          <w:rFonts w:hint="eastAsia"/>
          <w:b w:val="0"/>
          <w:bCs w:val="0"/>
          <w:color w:val="auto"/>
          <w:highlight w:val="none"/>
        </w:rPr>
        <w:t>民事责任</w:t>
      </w:r>
      <w:r>
        <w:rPr>
          <w:rFonts w:hint="eastAsia"/>
          <w:b w:val="0"/>
          <w:bCs w:val="0"/>
          <w:color w:val="auto"/>
          <w:highlight w:val="none"/>
        </w:rPr>
        <w:fldChar w:fldCharType="end"/>
      </w:r>
      <w:r>
        <w:rPr>
          <w:rFonts w:hint="eastAsia"/>
          <w:b w:val="0"/>
          <w:bCs w:val="0"/>
          <w:color w:val="auto"/>
          <w:highlight w:val="none"/>
        </w:rPr>
        <w:t>的能力；</w:t>
      </w:r>
    </w:p>
    <w:p>
      <w:pPr>
        <w:pStyle w:val="42"/>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b w:val="0"/>
          <w:bCs w:val="0"/>
          <w:color w:val="auto"/>
          <w:highlight w:val="none"/>
        </w:rPr>
      </w:pPr>
      <w:r>
        <w:rPr>
          <w:rFonts w:hint="eastAsia"/>
          <w:b w:val="0"/>
          <w:bCs w:val="0"/>
          <w:color w:val="auto"/>
          <w:highlight w:val="none"/>
          <w:lang w:val="en-US" w:eastAsia="zh-CN"/>
        </w:rPr>
        <w:t>(二)</w:t>
      </w:r>
      <w:r>
        <w:rPr>
          <w:rFonts w:hint="eastAsia"/>
          <w:b w:val="0"/>
          <w:bCs w:val="0"/>
          <w:color w:val="auto"/>
          <w:highlight w:val="none"/>
        </w:rPr>
        <w:t>具有良好的商业信誉和健全的财务会计制度；</w:t>
      </w:r>
    </w:p>
    <w:p>
      <w:pPr>
        <w:pStyle w:val="42"/>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b w:val="0"/>
          <w:bCs w:val="0"/>
          <w:color w:val="auto"/>
          <w:highlight w:val="none"/>
        </w:rPr>
      </w:pPr>
      <w:r>
        <w:rPr>
          <w:rFonts w:hint="eastAsia"/>
          <w:b w:val="0"/>
          <w:bCs w:val="0"/>
          <w:color w:val="auto"/>
          <w:highlight w:val="none"/>
          <w:lang w:val="en-US" w:eastAsia="zh-CN"/>
        </w:rPr>
        <w:t>(三)</w:t>
      </w:r>
      <w:r>
        <w:rPr>
          <w:rFonts w:hint="eastAsia"/>
          <w:b w:val="0"/>
          <w:bCs w:val="0"/>
          <w:color w:val="auto"/>
          <w:highlight w:val="none"/>
        </w:rPr>
        <w:t>具有履行合同所必需的设备和专业技术能力；</w:t>
      </w:r>
    </w:p>
    <w:p>
      <w:pPr>
        <w:pStyle w:val="42"/>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(四)有依法缴纳税收和</w:t>
      </w:r>
      <w:r>
        <w:rPr>
          <w:rFonts w:hint="eastAsia"/>
          <w:b w:val="0"/>
          <w:bCs w:val="0"/>
          <w:color w:val="auto"/>
          <w:highlight w:val="none"/>
          <w:lang w:val="en-US" w:eastAsia="zh-CN"/>
        </w:rPr>
        <w:fldChar w:fldCharType="begin"/>
      </w:r>
      <w:r>
        <w:rPr>
          <w:rFonts w:hint="eastAsia"/>
          <w:b w:val="0"/>
          <w:bCs w:val="0"/>
          <w:color w:val="auto"/>
          <w:highlight w:val="none"/>
          <w:lang w:val="en-US" w:eastAsia="zh-CN"/>
        </w:rPr>
        <w:instrText xml:space="preserve"> HYPERLINK "http://www.lawtime.cn/info/laodong/shehuibaozhang/" \t "_blank" </w:instrText>
      </w:r>
      <w:r>
        <w:rPr>
          <w:rFonts w:hint="eastAsia"/>
          <w:b w:val="0"/>
          <w:bCs w:val="0"/>
          <w:color w:val="auto"/>
          <w:highlight w:val="none"/>
          <w:lang w:val="en-US" w:eastAsia="zh-CN"/>
        </w:rPr>
        <w:fldChar w:fldCharType="separate"/>
      </w:r>
      <w:r>
        <w:rPr>
          <w:rFonts w:hint="eastAsia"/>
          <w:b w:val="0"/>
          <w:bCs w:val="0"/>
          <w:color w:val="auto"/>
          <w:highlight w:val="none"/>
          <w:lang w:val="en-US" w:eastAsia="zh-CN"/>
        </w:rPr>
        <w:t>社会保障</w:t>
      </w:r>
      <w:r>
        <w:rPr>
          <w:rFonts w:hint="eastAsia"/>
          <w:b w:val="0"/>
          <w:bCs w:val="0"/>
          <w:color w:val="auto"/>
          <w:highlight w:val="none"/>
          <w:lang w:val="en-US" w:eastAsia="zh-CN"/>
        </w:rPr>
        <w:fldChar w:fldCharType="end"/>
      </w:r>
      <w:r>
        <w:rPr>
          <w:rFonts w:hint="eastAsia"/>
          <w:b w:val="0"/>
          <w:bCs w:val="0"/>
          <w:color w:val="auto"/>
          <w:highlight w:val="none"/>
          <w:lang w:val="en-US" w:eastAsia="zh-CN"/>
        </w:rPr>
        <w:t>资金的良好记录；</w:t>
      </w:r>
    </w:p>
    <w:p>
      <w:pPr>
        <w:pStyle w:val="42"/>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(五)参加采购活动前三年内，在经营活动中没有重大违法记录；</w:t>
      </w:r>
    </w:p>
    <w:p>
      <w:pPr>
        <w:pStyle w:val="42"/>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(六)法律、</w:t>
      </w:r>
      <w:r>
        <w:rPr>
          <w:rFonts w:hint="eastAsia"/>
          <w:b w:val="0"/>
          <w:bCs w:val="0"/>
          <w:color w:val="auto"/>
          <w:highlight w:val="none"/>
          <w:lang w:val="en-US" w:eastAsia="zh-CN"/>
        </w:rPr>
        <w:fldChar w:fldCharType="begin"/>
      </w:r>
      <w:r>
        <w:rPr>
          <w:rFonts w:hint="eastAsia"/>
          <w:b w:val="0"/>
          <w:bCs w:val="0"/>
          <w:color w:val="auto"/>
          <w:highlight w:val="none"/>
          <w:lang w:val="en-US" w:eastAsia="zh-CN"/>
        </w:rPr>
        <w:instrText xml:space="preserve"> HYPERLINK "http://www.lawtime.cn/info/sifakaoshi/xingzhengfa/" \t "_blank" </w:instrText>
      </w:r>
      <w:r>
        <w:rPr>
          <w:rFonts w:hint="eastAsia"/>
          <w:b w:val="0"/>
          <w:bCs w:val="0"/>
          <w:color w:val="auto"/>
          <w:highlight w:val="none"/>
          <w:lang w:val="en-US" w:eastAsia="zh-CN"/>
        </w:rPr>
        <w:fldChar w:fldCharType="separate"/>
      </w:r>
      <w:r>
        <w:rPr>
          <w:rFonts w:hint="eastAsia"/>
          <w:b w:val="0"/>
          <w:bCs w:val="0"/>
          <w:color w:val="auto"/>
          <w:highlight w:val="none"/>
          <w:lang w:val="en-US" w:eastAsia="zh-CN"/>
        </w:rPr>
        <w:t>行政法</w:t>
      </w:r>
      <w:r>
        <w:rPr>
          <w:rFonts w:hint="eastAsia"/>
          <w:b w:val="0"/>
          <w:bCs w:val="0"/>
          <w:color w:val="auto"/>
          <w:highlight w:val="none"/>
          <w:lang w:val="en-US" w:eastAsia="zh-CN"/>
        </w:rPr>
        <w:fldChar w:fldCharType="end"/>
      </w:r>
      <w:r>
        <w:rPr>
          <w:rFonts w:hint="eastAsia"/>
          <w:b w:val="0"/>
          <w:bCs w:val="0"/>
          <w:color w:val="auto"/>
          <w:highlight w:val="none"/>
          <w:lang w:val="en-US" w:eastAsia="zh-CN"/>
        </w:rPr>
        <w:t>规规定的其他条件；</w:t>
      </w:r>
    </w:p>
    <w:p>
      <w:pPr>
        <w:pStyle w:val="42"/>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b w:val="0"/>
          <w:bCs w:val="0"/>
          <w:color w:val="auto"/>
          <w:highlight w:val="none"/>
          <w:lang w:val="zh-CN"/>
        </w:rPr>
      </w:pPr>
      <w:r>
        <w:rPr>
          <w:rFonts w:hint="eastAsia"/>
          <w:b w:val="0"/>
          <w:bCs w:val="0"/>
          <w:color w:val="auto"/>
          <w:highlight w:val="none"/>
          <w:lang w:val="en-US" w:eastAsia="zh-CN"/>
        </w:rPr>
        <w:t>(七)</w:t>
      </w:r>
      <w:r>
        <w:rPr>
          <w:rFonts w:hint="eastAsia"/>
          <w:b w:val="0"/>
          <w:bCs w:val="0"/>
          <w:color w:val="auto"/>
          <w:highlight w:val="none"/>
          <w:lang w:val="zh-CN"/>
        </w:rPr>
        <w:t>本项目的特定资格要求：</w:t>
      </w:r>
      <w:r>
        <w:rPr>
          <w:rFonts w:hint="eastAsia"/>
          <w:b w:val="0"/>
          <w:bCs w:val="0"/>
          <w:color w:val="auto"/>
          <w:highlight w:val="none"/>
          <w:lang w:val="en-US" w:eastAsia="zh-CN"/>
        </w:rPr>
        <w:t>本项目不接受联合体投标。</w:t>
      </w:r>
    </w:p>
    <w:p>
      <w:pPr>
        <w:pStyle w:val="42"/>
        <w:keepNext w:val="0"/>
        <w:keepLines w:val="0"/>
        <w:pageBreakBefore w:val="0"/>
        <w:widowControl w:val="0"/>
        <w:numPr>
          <w:ilvl w:val="0"/>
          <w:numId w:val="7"/>
        </w:numPr>
        <w:kinsoku/>
        <w:wordWrap w:val="0"/>
        <w:overflowPunct/>
        <w:topLinePunct/>
        <w:autoSpaceDE/>
        <w:autoSpaceDN/>
        <w:bidi w:val="0"/>
        <w:adjustRightInd w:val="0"/>
        <w:snapToGrid w:val="0"/>
        <w:spacing w:line="520" w:lineRule="exact"/>
        <w:ind w:left="0" w:leftChars="0" w:firstLine="482" w:firstLineChars="200"/>
        <w:textAlignment w:val="auto"/>
        <w:rPr>
          <w:rFonts w:hint="eastAsia"/>
          <w:b/>
          <w:bCs/>
          <w:color w:val="auto"/>
          <w:highlight w:val="none"/>
        </w:rPr>
      </w:pPr>
      <w:r>
        <w:rPr>
          <w:rFonts w:hint="eastAsia"/>
          <w:b/>
          <w:bCs/>
          <w:color w:val="auto"/>
          <w:highlight w:val="none"/>
        </w:rPr>
        <w:t>禁止参加本次采购活动的供应商</w:t>
      </w:r>
    </w:p>
    <w:p>
      <w:pPr>
        <w:pStyle w:val="33"/>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color w:val="auto"/>
          <w:highlight w:val="none"/>
          <w:lang w:val="en-US" w:eastAsia="zh-CN"/>
        </w:rPr>
      </w:pPr>
      <w:bookmarkStart w:id="14" w:name="PO_默认文件内容_4"/>
      <w:r>
        <w:rPr>
          <w:rFonts w:hint="eastAsia"/>
          <w:color w:val="auto"/>
          <w:highlight w:val="none"/>
          <w:lang w:val="en-US" w:eastAsia="zh-CN"/>
        </w:rPr>
        <w:t>参照《关于在政府采购活动中查询及使用信用记录有关问题的通知》(财库〔2016〕125号)的要求，采购代理机构将通过“信用中国”网站(www.creditchina.gov.cn)、“中国政府采购网”网站(www.ccgp.gov.cn)等渠道查询供应商在投标文件递交截止日前的信用记录并保存信用记录结果网页截图，拒绝列入失信被执行人名单、重大税收违法案件当事人名单(重大税收违法失信主体)、政府采购严重违法失信行为记录名单中的供应商参加本项目的采购活动。</w:t>
      </w:r>
    </w:p>
    <w:bookmarkEnd w:id="14"/>
    <w:p>
      <w:pPr>
        <w:pStyle w:val="42"/>
        <w:keepNext w:val="0"/>
        <w:keepLines w:val="0"/>
        <w:pageBreakBefore w:val="0"/>
        <w:widowControl w:val="0"/>
        <w:numPr>
          <w:ilvl w:val="0"/>
          <w:numId w:val="7"/>
        </w:numPr>
        <w:kinsoku/>
        <w:wordWrap w:val="0"/>
        <w:overflowPunct/>
        <w:topLinePunct/>
        <w:autoSpaceDE/>
        <w:autoSpaceDN/>
        <w:bidi w:val="0"/>
        <w:adjustRightInd w:val="0"/>
        <w:snapToGrid w:val="0"/>
        <w:spacing w:line="520" w:lineRule="exact"/>
        <w:ind w:left="0" w:leftChars="0" w:firstLine="482" w:firstLineChars="200"/>
        <w:textAlignment w:val="auto"/>
        <w:rPr>
          <w:rFonts w:hint="eastAsia"/>
          <w:b/>
          <w:bCs/>
          <w:color w:val="auto"/>
          <w:highlight w:val="none"/>
        </w:rPr>
      </w:pPr>
      <w:r>
        <w:rPr>
          <w:rFonts w:hint="eastAsia"/>
          <w:b/>
          <w:bCs/>
          <w:color w:val="auto"/>
          <w:highlight w:val="none"/>
        </w:rPr>
        <w:t>获取招标文件的时间期限、地点、方式</w:t>
      </w:r>
    </w:p>
    <w:p>
      <w:pPr>
        <w:pStyle w:val="42"/>
        <w:keepNext w:val="0"/>
        <w:keepLines w:val="0"/>
        <w:pageBreakBefore w:val="0"/>
        <w:widowControl w:val="0"/>
        <w:kinsoku/>
        <w:overflowPunct/>
        <w:autoSpaceDE/>
        <w:autoSpaceDN/>
        <w:bidi w:val="0"/>
        <w:adjustRightInd w:val="0"/>
        <w:snapToGrid w:val="0"/>
        <w:spacing w:line="520" w:lineRule="exact"/>
        <w:ind w:firstLine="482" w:firstLineChars="200"/>
        <w:textAlignment w:val="auto"/>
        <w:rPr>
          <w:rFonts w:hint="eastAsia" w:ascii="宋体" w:hAnsi="宋体" w:eastAsia="宋体" w:cs="宋体"/>
          <w:color w:val="auto"/>
          <w:highlight w:val="none"/>
          <w:lang w:val="zh-CN"/>
        </w:rPr>
      </w:pPr>
      <w:r>
        <w:rPr>
          <w:rFonts w:hint="eastAsia" w:ascii="宋体" w:hAnsi="宋体" w:eastAsia="宋体" w:cs="宋体"/>
          <w:b/>
          <w:bCs/>
          <w:color w:val="auto"/>
          <w:highlight w:val="none"/>
        </w:rPr>
        <w:t>(一)获取招标文件的时间期限(即报名时间)</w:t>
      </w:r>
      <w:r>
        <w:rPr>
          <w:rFonts w:hint="eastAsia" w:ascii="宋体" w:hAnsi="宋体" w:eastAsia="宋体" w:cs="宋体"/>
          <w:color w:val="auto"/>
          <w:highlight w:val="none"/>
        </w:rPr>
        <w:t>：</w:t>
      </w:r>
      <w:r>
        <w:rPr>
          <w:rFonts w:hint="eastAsia" w:ascii="宋体" w:hAnsi="宋体" w:eastAsia="宋体" w:cs="宋体"/>
          <w:color w:val="auto"/>
          <w:highlight w:val="none"/>
          <w:u w:val="single"/>
        </w:rPr>
        <w:t>2023年</w:t>
      </w:r>
      <w:r>
        <w:rPr>
          <w:rFonts w:hint="eastAsia" w:cs="宋体"/>
          <w:color w:val="auto"/>
          <w:highlight w:val="none"/>
          <w:u w:val="single"/>
          <w:lang w:val="en-US" w:eastAsia="zh-CN"/>
        </w:rPr>
        <w:t>11</w:t>
      </w:r>
      <w:r>
        <w:rPr>
          <w:rFonts w:hint="eastAsia" w:ascii="宋体" w:hAnsi="宋体" w:eastAsia="宋体" w:cs="宋体"/>
          <w:color w:val="auto"/>
          <w:highlight w:val="none"/>
          <w:u w:val="single"/>
        </w:rPr>
        <w:t>月</w:t>
      </w:r>
      <w:r>
        <w:rPr>
          <w:rFonts w:hint="eastAsia" w:cs="宋体"/>
          <w:color w:val="auto"/>
          <w:highlight w:val="none"/>
          <w:u w:val="single"/>
          <w:lang w:val="en-US" w:eastAsia="zh-CN"/>
        </w:rPr>
        <w:t>13</w:t>
      </w:r>
      <w:r>
        <w:rPr>
          <w:rFonts w:hint="eastAsia" w:ascii="宋体" w:hAnsi="宋体" w:eastAsia="宋体" w:cs="宋体"/>
          <w:color w:val="auto"/>
          <w:highlight w:val="none"/>
          <w:u w:val="single"/>
        </w:rPr>
        <w:t>日至2023年</w:t>
      </w:r>
      <w:r>
        <w:rPr>
          <w:rFonts w:hint="eastAsia" w:cs="宋体"/>
          <w:color w:val="auto"/>
          <w:highlight w:val="none"/>
          <w:u w:val="single"/>
          <w:lang w:val="en-US" w:eastAsia="zh-CN"/>
        </w:rPr>
        <w:t>11</w:t>
      </w:r>
      <w:r>
        <w:rPr>
          <w:rFonts w:hint="eastAsia" w:ascii="宋体" w:hAnsi="宋体" w:eastAsia="宋体" w:cs="宋体"/>
          <w:color w:val="auto"/>
          <w:highlight w:val="none"/>
          <w:u w:val="single"/>
        </w:rPr>
        <w:t>月</w:t>
      </w:r>
      <w:r>
        <w:rPr>
          <w:rFonts w:hint="eastAsia" w:cs="宋体"/>
          <w:color w:val="auto"/>
          <w:highlight w:val="none"/>
          <w:u w:val="single"/>
          <w:lang w:val="en-US" w:eastAsia="zh-CN"/>
        </w:rPr>
        <w:t>17</w:t>
      </w:r>
      <w:r>
        <w:rPr>
          <w:rFonts w:hint="eastAsia" w:ascii="宋体" w:hAnsi="宋体" w:eastAsia="宋体" w:cs="宋体"/>
          <w:color w:val="auto"/>
          <w:highlight w:val="none"/>
          <w:u w:val="single"/>
        </w:rPr>
        <w:t>日，每天上午9时00分至12时00分，下午14时00分至17时00分(北京时间，法定节假日除外)。</w:t>
      </w:r>
    </w:p>
    <w:p>
      <w:pPr>
        <w:pStyle w:val="42"/>
        <w:keepNext w:val="0"/>
        <w:keepLines w:val="0"/>
        <w:pageBreakBefore w:val="0"/>
        <w:widowControl w:val="0"/>
        <w:kinsoku/>
        <w:overflowPunct/>
        <w:autoSpaceDE/>
        <w:autoSpaceDN/>
        <w:bidi w:val="0"/>
        <w:adjustRightInd w:val="0"/>
        <w:snapToGrid w:val="0"/>
        <w:spacing w:line="520" w:lineRule="exact"/>
        <w:ind w:firstLine="482" w:firstLineChars="200"/>
        <w:textAlignment w:val="auto"/>
        <w:rPr>
          <w:rFonts w:hint="eastAsia" w:ascii="宋体" w:hAnsi="宋体" w:eastAsia="宋体" w:cs="宋体"/>
          <w:color w:val="auto"/>
          <w:highlight w:val="none"/>
          <w:lang w:val="zh-CN"/>
        </w:rPr>
      </w:pPr>
      <w:r>
        <w:rPr>
          <w:rFonts w:hint="eastAsia" w:ascii="宋体" w:hAnsi="宋体" w:eastAsia="宋体" w:cs="宋体"/>
          <w:b/>
          <w:bCs/>
          <w:color w:val="auto"/>
          <w:highlight w:val="none"/>
        </w:rPr>
        <w:t>(二)获取招标文件的地点：http：//www.qxztb.cn</w:t>
      </w:r>
      <w:r>
        <w:rPr>
          <w:rFonts w:hint="eastAsia" w:ascii="宋体" w:hAnsi="宋体" w:eastAsia="宋体" w:cs="宋体"/>
          <w:color w:val="auto"/>
          <w:highlight w:val="none"/>
          <w:lang w:val="zh-CN"/>
        </w:rPr>
        <w:t>。</w:t>
      </w:r>
    </w:p>
    <w:p>
      <w:pPr>
        <w:pStyle w:val="42"/>
        <w:keepNext w:val="0"/>
        <w:keepLines w:val="0"/>
        <w:pageBreakBefore w:val="0"/>
        <w:widowControl w:val="0"/>
        <w:kinsoku/>
        <w:overflowPunct/>
        <w:autoSpaceDE/>
        <w:autoSpaceDN/>
        <w:bidi w:val="0"/>
        <w:adjustRightInd w:val="0"/>
        <w:snapToGrid w:val="0"/>
        <w:spacing w:line="52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(三)获取招标文件的方式：</w:t>
      </w:r>
    </w:p>
    <w:p>
      <w:pPr>
        <w:pStyle w:val="42"/>
        <w:keepNext w:val="0"/>
        <w:keepLines w:val="0"/>
        <w:pageBreakBefore w:val="0"/>
        <w:widowControl w:val="0"/>
        <w:kinsoku/>
        <w:overflowPunct/>
        <w:autoSpaceDE/>
        <w:autoSpaceDN/>
        <w:bidi w:val="0"/>
        <w:adjustRightInd w:val="0"/>
        <w:snapToGrid w:val="0"/>
        <w:spacing w:line="52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1.</w:t>
      </w:r>
      <w:r>
        <w:rPr>
          <w:rFonts w:hint="eastAsia" w:ascii="宋体" w:hAnsi="宋体" w:eastAsia="宋体" w:cs="宋体"/>
          <w:b/>
          <w:bCs/>
          <w:color w:val="auto"/>
          <w:highlight w:val="none"/>
        </w:rPr>
        <w:tab/>
      </w:r>
      <w:r>
        <w:rPr>
          <w:rFonts w:hint="eastAsia" w:ascii="宋体" w:hAnsi="宋体" w:eastAsia="宋体" w:cs="宋体"/>
          <w:b/>
          <w:bCs/>
          <w:color w:val="auto"/>
          <w:highlight w:val="none"/>
        </w:rPr>
        <w:t>在本项目招标文件获取时间期限内，在采购代理机构指定网站(http：//www.qxztb.cn)获取，具体获取流程详见该网站的“标书在线获取流程”。</w:t>
      </w:r>
    </w:p>
    <w:p>
      <w:pPr>
        <w:pStyle w:val="42"/>
        <w:keepNext w:val="0"/>
        <w:keepLines w:val="0"/>
        <w:pageBreakBefore w:val="0"/>
        <w:widowControl w:val="0"/>
        <w:kinsoku/>
        <w:overflowPunct/>
        <w:autoSpaceDE/>
        <w:autoSpaceDN/>
        <w:bidi w:val="0"/>
        <w:adjustRightInd w:val="0"/>
        <w:snapToGrid w:val="0"/>
        <w:spacing w:line="520" w:lineRule="exact"/>
        <w:ind w:firstLine="482" w:firstLineChars="200"/>
        <w:textAlignment w:val="auto"/>
        <w:rPr>
          <w:rFonts w:hint="eastAsia" w:ascii="宋体" w:hAnsi="宋体" w:eastAsia="宋体" w:cs="宋体"/>
          <w:b/>
          <w:bCs/>
          <w:color w:val="auto"/>
          <w:highlight w:val="none"/>
          <w:lang w:val="zh-CN"/>
        </w:rPr>
      </w:pPr>
      <w:r>
        <w:rPr>
          <w:rFonts w:hint="eastAsia" w:ascii="宋体" w:hAnsi="宋体" w:eastAsia="宋体" w:cs="宋体"/>
          <w:b/>
          <w:bCs/>
          <w:color w:val="auto"/>
          <w:highlight w:val="none"/>
        </w:rPr>
        <w:t>2.报名咨询电话：</w:t>
      </w:r>
      <w:r>
        <w:rPr>
          <w:rFonts w:hint="eastAsia" w:ascii="宋体" w:hAnsi="宋体" w:eastAsia="宋体" w:cs="宋体"/>
          <w:b/>
          <w:bCs/>
          <w:color w:val="auto"/>
          <w:highlight w:val="none"/>
          <w:lang w:val="zh-CN"/>
        </w:rPr>
        <w:t>028-61375575、62600820、62630990转601或602。</w:t>
      </w:r>
    </w:p>
    <w:p>
      <w:pPr>
        <w:pStyle w:val="42"/>
        <w:keepNext w:val="0"/>
        <w:keepLines w:val="0"/>
        <w:pageBreakBefore w:val="0"/>
        <w:widowControl w:val="0"/>
        <w:kinsoku/>
        <w:overflowPunct/>
        <w:autoSpaceDE/>
        <w:autoSpaceDN/>
        <w:bidi w:val="0"/>
        <w:adjustRightInd w:val="0"/>
        <w:snapToGrid w:val="0"/>
        <w:spacing w:line="52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(四)</w:t>
      </w:r>
      <w:r>
        <w:rPr>
          <w:rFonts w:hint="eastAsia" w:ascii="宋体" w:hAnsi="宋体" w:eastAsia="宋体" w:cs="宋体"/>
          <w:b/>
          <w:bCs/>
          <w:color w:val="auto"/>
          <w:highlight w:val="none"/>
          <w:lang w:val="zh-CN"/>
        </w:rPr>
        <w:t>招标文件售价：</w:t>
      </w:r>
      <w:r>
        <w:rPr>
          <w:rFonts w:hint="eastAsia" w:ascii="宋体" w:hAnsi="宋体" w:eastAsia="宋体" w:cs="宋体"/>
          <w:color w:val="auto"/>
          <w:highlight w:val="none"/>
          <w:lang w:val="zh-CN"/>
        </w:rPr>
        <w:t>人民币</w:t>
      </w:r>
      <w:r>
        <w:rPr>
          <w:rFonts w:hint="eastAsia" w:ascii="宋体" w:hAnsi="宋体" w:eastAsia="宋体" w:cs="宋体"/>
          <w:color w:val="auto"/>
          <w:highlight w:val="none"/>
        </w:rPr>
        <w:t>300元</w:t>
      </w:r>
      <w:r>
        <w:rPr>
          <w:rFonts w:hint="eastAsia" w:ascii="宋体" w:hAnsi="宋体" w:eastAsia="宋体" w:cs="宋体"/>
          <w:color w:val="auto"/>
          <w:highlight w:val="none"/>
          <w:lang w:val="zh-CN"/>
        </w:rPr>
        <w:t>/份(招标文件</w:t>
      </w:r>
      <w:r>
        <w:rPr>
          <w:rFonts w:hint="eastAsia" w:ascii="宋体" w:hAnsi="宋体" w:eastAsia="宋体" w:cs="宋体"/>
          <w:color w:val="auto"/>
          <w:highlight w:val="none"/>
        </w:rPr>
        <w:t>售后不退</w:t>
      </w:r>
      <w:r>
        <w:rPr>
          <w:rFonts w:hint="eastAsia" w:ascii="宋体" w:hAnsi="宋体" w:eastAsia="宋体" w:cs="宋体"/>
          <w:color w:val="auto"/>
          <w:highlight w:val="none"/>
          <w:lang w:val="zh-CN"/>
        </w:rPr>
        <w:t xml:space="preserve">， </w:t>
      </w:r>
      <w:r>
        <w:rPr>
          <w:rFonts w:hint="eastAsia" w:ascii="宋体" w:hAnsi="宋体" w:eastAsia="宋体" w:cs="宋体"/>
          <w:color w:val="auto"/>
          <w:highlight w:val="none"/>
        </w:rPr>
        <w:t>投标资格不得转让)。</w:t>
      </w:r>
    </w:p>
    <w:p>
      <w:pPr>
        <w:pStyle w:val="42"/>
        <w:keepNext w:val="0"/>
        <w:keepLines w:val="0"/>
        <w:pageBreakBefore w:val="0"/>
        <w:widowControl w:val="0"/>
        <w:kinsoku/>
        <w:overflowPunct/>
        <w:autoSpaceDE/>
        <w:autoSpaceDN/>
        <w:bidi w:val="0"/>
        <w:adjustRightInd w:val="0"/>
        <w:snapToGrid w:val="0"/>
        <w:spacing w:line="520" w:lineRule="exact"/>
        <w:ind w:firstLine="482" w:firstLineChars="200"/>
        <w:textAlignment w:val="auto"/>
        <w:rPr>
          <w:rFonts w:cs="宋体"/>
          <w:color w:val="auto"/>
          <w:highlight w:val="none"/>
        </w:rPr>
      </w:pPr>
      <w:r>
        <w:rPr>
          <w:rFonts w:hint="eastAsia" w:ascii="宋体" w:hAnsi="宋体" w:eastAsia="宋体" w:cs="宋体"/>
          <w:b/>
          <w:bCs/>
          <w:color w:val="auto"/>
          <w:highlight w:val="none"/>
        </w:rPr>
        <w:t>(五)</w:t>
      </w:r>
      <w:r>
        <w:rPr>
          <w:rFonts w:hint="eastAsia" w:ascii="宋体" w:hAnsi="宋体" w:eastAsia="宋体" w:cs="宋体"/>
          <w:color w:val="auto"/>
          <w:highlight w:val="none"/>
        </w:rPr>
        <w:t>供应商应在规定的时间内按上述要求获取本招标文件并登记，否则均无资格参加该项目的投标。</w:t>
      </w:r>
    </w:p>
    <w:p>
      <w:pPr>
        <w:pStyle w:val="42"/>
        <w:keepNext w:val="0"/>
        <w:keepLines w:val="0"/>
        <w:pageBreakBefore w:val="0"/>
        <w:widowControl w:val="0"/>
        <w:numPr>
          <w:ilvl w:val="0"/>
          <w:numId w:val="7"/>
        </w:numPr>
        <w:kinsoku/>
        <w:wordWrap w:val="0"/>
        <w:overflowPunct/>
        <w:topLinePunct/>
        <w:autoSpaceDE/>
        <w:autoSpaceDN/>
        <w:bidi w:val="0"/>
        <w:adjustRightInd w:val="0"/>
        <w:snapToGrid w:val="0"/>
        <w:spacing w:line="520" w:lineRule="exact"/>
        <w:ind w:left="0" w:leftChars="0" w:firstLine="482" w:firstLineChars="200"/>
        <w:textAlignment w:val="auto"/>
        <w:rPr>
          <w:rFonts w:hint="eastAsia"/>
          <w:b/>
          <w:bCs/>
          <w:color w:val="auto"/>
          <w:highlight w:val="none"/>
        </w:rPr>
      </w:pPr>
      <w:r>
        <w:rPr>
          <w:rFonts w:hint="eastAsia"/>
          <w:b/>
          <w:bCs/>
          <w:color w:val="auto"/>
          <w:highlight w:val="none"/>
        </w:rPr>
        <w:t>投标文件的递交</w:t>
      </w:r>
    </w:p>
    <w:p>
      <w:pPr>
        <w:pStyle w:val="42"/>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b w:val="0"/>
          <w:bCs w:val="0"/>
          <w:color w:val="auto"/>
          <w:highlight w:val="none"/>
        </w:rPr>
      </w:pPr>
      <w:r>
        <w:rPr>
          <w:rFonts w:hint="eastAsia"/>
          <w:b w:val="0"/>
          <w:bCs w:val="0"/>
          <w:color w:val="auto"/>
          <w:highlight w:val="none"/>
          <w:lang w:val="en-US" w:eastAsia="zh-CN"/>
        </w:rPr>
        <w:t>(一)</w:t>
      </w:r>
      <w:r>
        <w:rPr>
          <w:rFonts w:hint="eastAsia"/>
          <w:b w:val="0"/>
          <w:bCs w:val="0"/>
          <w:color w:val="auto"/>
          <w:highlight w:val="none"/>
        </w:rPr>
        <w:t>投标文件递交起止时间</w:t>
      </w:r>
      <w:r>
        <w:rPr>
          <w:rFonts w:hint="eastAsia"/>
          <w:b w:val="0"/>
          <w:bCs w:val="0"/>
          <w:color w:val="auto"/>
          <w:highlight w:val="none"/>
          <w:lang w:eastAsia="zh-CN"/>
        </w:rPr>
        <w:t>：</w:t>
      </w:r>
      <w:r>
        <w:rPr>
          <w:rFonts w:hint="eastAsia"/>
          <w:b w:val="0"/>
          <w:bCs w:val="0"/>
          <w:color w:val="auto"/>
          <w:highlight w:val="none"/>
        </w:rPr>
        <w:t>20</w:t>
      </w:r>
      <w:r>
        <w:rPr>
          <w:rFonts w:hint="eastAsia"/>
          <w:b w:val="0"/>
          <w:bCs w:val="0"/>
          <w:color w:val="auto"/>
          <w:highlight w:val="none"/>
          <w:lang w:val="en-US" w:eastAsia="zh-CN"/>
        </w:rPr>
        <w:t>23</w:t>
      </w:r>
      <w:r>
        <w:rPr>
          <w:rFonts w:hint="eastAsia"/>
          <w:b w:val="0"/>
          <w:bCs w:val="0"/>
          <w:color w:val="auto"/>
          <w:highlight w:val="none"/>
        </w:rPr>
        <w:t>年</w:t>
      </w:r>
      <w:r>
        <w:rPr>
          <w:rFonts w:hint="eastAsia" w:cs="宋体"/>
          <w:color w:val="auto"/>
          <w:kern w:val="2"/>
          <w:sz w:val="24"/>
          <w:szCs w:val="24"/>
          <w:highlight w:val="none"/>
          <w:lang w:val="en-US" w:eastAsia="zh-CN" w:bidi="ar"/>
        </w:rPr>
        <w:t>12</w:t>
      </w:r>
      <w:r>
        <w:rPr>
          <w:rFonts w:hint="eastAsia"/>
          <w:b w:val="0"/>
          <w:bCs w:val="0"/>
          <w:color w:val="auto"/>
          <w:highlight w:val="none"/>
        </w:rPr>
        <w:t>月</w:t>
      </w:r>
      <w:r>
        <w:rPr>
          <w:rFonts w:hint="eastAsia" w:cs="宋体"/>
          <w:color w:val="auto"/>
          <w:kern w:val="2"/>
          <w:sz w:val="24"/>
          <w:szCs w:val="24"/>
          <w:highlight w:val="none"/>
          <w:lang w:val="en-US" w:eastAsia="zh-CN" w:bidi="ar"/>
        </w:rPr>
        <w:t>4</w:t>
      </w:r>
      <w:r>
        <w:rPr>
          <w:rFonts w:hint="eastAsia"/>
          <w:b w:val="0"/>
          <w:bCs w:val="0"/>
          <w:color w:val="auto"/>
          <w:highlight w:val="none"/>
        </w:rPr>
        <w:t>日09时30分至10时00分</w:t>
      </w:r>
      <w:r>
        <w:rPr>
          <w:rFonts w:hint="eastAsia"/>
          <w:b w:val="0"/>
          <w:bCs w:val="0"/>
          <w:color w:val="auto"/>
          <w:highlight w:val="none"/>
          <w:lang w:eastAsia="zh-CN"/>
        </w:rPr>
        <w:t>。</w:t>
      </w:r>
    </w:p>
    <w:p>
      <w:pPr>
        <w:pStyle w:val="42"/>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b w:val="0"/>
          <w:bCs w:val="0"/>
          <w:color w:val="auto"/>
          <w:highlight w:val="none"/>
        </w:rPr>
      </w:pPr>
      <w:r>
        <w:rPr>
          <w:rFonts w:hint="eastAsia"/>
          <w:b w:val="0"/>
          <w:bCs w:val="0"/>
          <w:color w:val="auto"/>
          <w:highlight w:val="none"/>
          <w:lang w:val="en-US" w:eastAsia="zh-CN"/>
        </w:rPr>
        <w:t>(二)</w:t>
      </w:r>
      <w:r>
        <w:rPr>
          <w:rFonts w:hint="eastAsia"/>
          <w:b w:val="0"/>
          <w:bCs w:val="0"/>
          <w:color w:val="auto"/>
          <w:highlight w:val="none"/>
        </w:rPr>
        <w:t>投标文件递交地点：</w:t>
      </w:r>
      <w:r>
        <w:rPr>
          <w:rFonts w:hint="eastAsia"/>
          <w:b w:val="0"/>
          <w:bCs w:val="0"/>
          <w:color w:val="auto"/>
          <w:highlight w:val="none"/>
          <w:lang w:val="zh-CN"/>
        </w:rPr>
        <w:t>成都市高新区吉庆三路333号蜀都中心二期一号楼一单元401号</w:t>
      </w:r>
      <w:r>
        <w:rPr>
          <w:rFonts w:hint="eastAsia"/>
          <w:b w:val="0"/>
          <w:bCs w:val="0"/>
          <w:color w:val="auto"/>
          <w:highlight w:val="none"/>
          <w:lang w:val="en-US" w:eastAsia="zh-CN"/>
        </w:rPr>
        <w:t>本项目开标室。</w:t>
      </w:r>
    </w:p>
    <w:p>
      <w:pPr>
        <w:pStyle w:val="42"/>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color w:val="auto"/>
          <w:highlight w:val="none"/>
        </w:rPr>
      </w:pPr>
      <w:r>
        <w:rPr>
          <w:rFonts w:hint="eastAsia"/>
          <w:b w:val="0"/>
          <w:bCs w:val="0"/>
          <w:color w:val="auto"/>
          <w:highlight w:val="none"/>
          <w:lang w:val="en-US" w:eastAsia="zh-CN"/>
        </w:rPr>
        <w:t>(三)</w:t>
      </w:r>
      <w:r>
        <w:rPr>
          <w:rFonts w:hint="eastAsia"/>
          <w:b w:val="0"/>
          <w:bCs w:val="0"/>
          <w:color w:val="auto"/>
          <w:highlight w:val="none"/>
        </w:rPr>
        <w:t>投标文件必须在投标截止时间前送达开标地点，逾期送达的投标文件恕不接收，本次招标不接受</w:t>
      </w:r>
      <w:r>
        <w:rPr>
          <w:rFonts w:hint="eastAsia"/>
          <w:color w:val="auto"/>
          <w:highlight w:val="none"/>
        </w:rPr>
        <w:t>邮寄的投标文件。</w:t>
      </w:r>
    </w:p>
    <w:p>
      <w:pPr>
        <w:pStyle w:val="42"/>
        <w:keepNext w:val="0"/>
        <w:keepLines w:val="0"/>
        <w:pageBreakBefore w:val="0"/>
        <w:widowControl w:val="0"/>
        <w:numPr>
          <w:ilvl w:val="0"/>
          <w:numId w:val="7"/>
        </w:numPr>
        <w:kinsoku/>
        <w:wordWrap w:val="0"/>
        <w:overflowPunct/>
        <w:topLinePunct/>
        <w:autoSpaceDE/>
        <w:autoSpaceDN/>
        <w:bidi w:val="0"/>
        <w:adjustRightInd w:val="0"/>
        <w:snapToGrid w:val="0"/>
        <w:spacing w:line="520" w:lineRule="exact"/>
        <w:ind w:left="0" w:leftChars="0" w:firstLine="482" w:firstLineChars="200"/>
        <w:textAlignment w:val="auto"/>
        <w:rPr>
          <w:rFonts w:hint="eastAsia"/>
          <w:b/>
          <w:bCs/>
          <w:color w:val="auto"/>
          <w:highlight w:val="none"/>
        </w:rPr>
      </w:pPr>
      <w:r>
        <w:rPr>
          <w:rFonts w:hint="eastAsia"/>
          <w:b/>
          <w:bCs/>
          <w:color w:val="auto"/>
          <w:highlight w:val="none"/>
          <w:lang w:val="en-US" w:eastAsia="zh-CN"/>
        </w:rPr>
        <w:t>提交</w:t>
      </w:r>
      <w:r>
        <w:rPr>
          <w:rFonts w:hint="eastAsia"/>
          <w:b/>
          <w:bCs/>
          <w:color w:val="auto"/>
          <w:highlight w:val="none"/>
        </w:rPr>
        <w:t>投标</w:t>
      </w:r>
      <w:r>
        <w:rPr>
          <w:rFonts w:hint="eastAsia"/>
          <w:b/>
          <w:bCs/>
          <w:color w:val="auto"/>
          <w:highlight w:val="none"/>
          <w:lang w:val="en-US" w:eastAsia="zh-CN"/>
        </w:rPr>
        <w:t>文件</w:t>
      </w:r>
      <w:r>
        <w:rPr>
          <w:rFonts w:hint="eastAsia"/>
          <w:b/>
          <w:bCs/>
          <w:color w:val="auto"/>
          <w:highlight w:val="none"/>
        </w:rPr>
        <w:t>截止时间及开标时间：</w:t>
      </w:r>
      <w:r>
        <w:rPr>
          <w:rFonts w:hint="eastAsia"/>
          <w:b w:val="0"/>
          <w:bCs w:val="0"/>
          <w:color w:val="auto"/>
          <w:highlight w:val="none"/>
        </w:rPr>
        <w:t>20</w:t>
      </w:r>
      <w:r>
        <w:rPr>
          <w:rFonts w:hint="eastAsia"/>
          <w:b w:val="0"/>
          <w:bCs w:val="0"/>
          <w:color w:val="auto"/>
          <w:highlight w:val="none"/>
          <w:lang w:val="en-US" w:eastAsia="zh-CN"/>
        </w:rPr>
        <w:t>23</w:t>
      </w:r>
      <w:r>
        <w:rPr>
          <w:rFonts w:hint="eastAsia"/>
          <w:b w:val="0"/>
          <w:bCs w:val="0"/>
          <w:color w:val="auto"/>
          <w:highlight w:val="none"/>
        </w:rPr>
        <w:t>年</w:t>
      </w:r>
      <w:r>
        <w:rPr>
          <w:rFonts w:hint="eastAsia" w:cs="宋体"/>
          <w:color w:val="auto"/>
          <w:kern w:val="2"/>
          <w:sz w:val="24"/>
          <w:szCs w:val="24"/>
          <w:highlight w:val="none"/>
          <w:lang w:val="en-US" w:eastAsia="zh-CN" w:bidi="ar"/>
        </w:rPr>
        <w:t>12</w:t>
      </w:r>
      <w:r>
        <w:rPr>
          <w:rFonts w:hint="eastAsia"/>
          <w:b w:val="0"/>
          <w:bCs w:val="0"/>
          <w:color w:val="auto"/>
          <w:highlight w:val="none"/>
        </w:rPr>
        <w:t>月</w:t>
      </w:r>
      <w:r>
        <w:rPr>
          <w:rFonts w:hint="eastAsia" w:cs="宋体"/>
          <w:color w:val="auto"/>
          <w:kern w:val="2"/>
          <w:sz w:val="24"/>
          <w:szCs w:val="24"/>
          <w:highlight w:val="none"/>
          <w:lang w:val="en-US" w:eastAsia="zh-CN" w:bidi="ar"/>
        </w:rPr>
        <w:t>4</w:t>
      </w:r>
      <w:r>
        <w:rPr>
          <w:rFonts w:hint="eastAsia"/>
          <w:b w:val="0"/>
          <w:bCs w:val="0"/>
          <w:color w:val="auto"/>
          <w:highlight w:val="none"/>
        </w:rPr>
        <w:t>日10时00分。</w:t>
      </w:r>
    </w:p>
    <w:p>
      <w:pPr>
        <w:pStyle w:val="42"/>
        <w:keepNext w:val="0"/>
        <w:keepLines w:val="0"/>
        <w:pageBreakBefore w:val="0"/>
        <w:widowControl w:val="0"/>
        <w:numPr>
          <w:ilvl w:val="0"/>
          <w:numId w:val="7"/>
        </w:numPr>
        <w:kinsoku/>
        <w:wordWrap w:val="0"/>
        <w:overflowPunct/>
        <w:topLinePunct/>
        <w:autoSpaceDE/>
        <w:autoSpaceDN/>
        <w:bidi w:val="0"/>
        <w:adjustRightInd w:val="0"/>
        <w:snapToGrid w:val="0"/>
        <w:spacing w:line="520" w:lineRule="exact"/>
        <w:ind w:left="0" w:leftChars="0" w:firstLine="482" w:firstLineChars="200"/>
        <w:textAlignment w:val="auto"/>
        <w:rPr>
          <w:rFonts w:hint="eastAsia"/>
          <w:b/>
          <w:bCs/>
          <w:color w:val="auto"/>
          <w:highlight w:val="none"/>
        </w:rPr>
      </w:pPr>
      <w:r>
        <w:rPr>
          <w:rFonts w:hint="eastAsia"/>
          <w:b/>
          <w:bCs/>
          <w:color w:val="auto"/>
          <w:highlight w:val="none"/>
        </w:rPr>
        <w:t>开标地点：</w:t>
      </w:r>
      <w:r>
        <w:rPr>
          <w:rFonts w:hint="eastAsia"/>
          <w:b w:val="0"/>
          <w:bCs w:val="0"/>
          <w:color w:val="auto"/>
          <w:highlight w:val="none"/>
          <w:lang w:val="zh-CN"/>
        </w:rPr>
        <w:t>成都市高新区吉庆三路333号蜀都中心二期一号楼一单元401号</w:t>
      </w:r>
      <w:r>
        <w:rPr>
          <w:rFonts w:hint="eastAsia"/>
          <w:b w:val="0"/>
          <w:bCs w:val="0"/>
          <w:color w:val="auto"/>
          <w:highlight w:val="none"/>
          <w:lang w:val="en-US" w:eastAsia="zh-CN"/>
        </w:rPr>
        <w:t>本项目开标室</w:t>
      </w:r>
      <w:r>
        <w:rPr>
          <w:rFonts w:hint="eastAsia"/>
          <w:b w:val="0"/>
          <w:bCs w:val="0"/>
          <w:color w:val="auto"/>
          <w:highlight w:val="none"/>
        </w:rPr>
        <w:t>。</w:t>
      </w:r>
    </w:p>
    <w:p>
      <w:pPr>
        <w:pStyle w:val="42"/>
        <w:keepNext w:val="0"/>
        <w:keepLines w:val="0"/>
        <w:pageBreakBefore w:val="0"/>
        <w:widowControl w:val="0"/>
        <w:numPr>
          <w:ilvl w:val="0"/>
          <w:numId w:val="7"/>
        </w:numPr>
        <w:kinsoku/>
        <w:wordWrap w:val="0"/>
        <w:overflowPunct/>
        <w:topLinePunct/>
        <w:autoSpaceDE/>
        <w:autoSpaceDN/>
        <w:bidi w:val="0"/>
        <w:adjustRightInd w:val="0"/>
        <w:snapToGrid w:val="0"/>
        <w:spacing w:line="520" w:lineRule="exact"/>
        <w:ind w:left="0" w:leftChars="0" w:firstLine="482" w:firstLineChars="200"/>
        <w:textAlignment w:val="auto"/>
        <w:rPr>
          <w:rFonts w:hint="eastAsia"/>
          <w:b/>
          <w:bCs/>
          <w:color w:val="auto"/>
          <w:highlight w:val="none"/>
          <w:lang w:eastAsia="zh-CN"/>
        </w:rPr>
      </w:pPr>
      <w:r>
        <w:rPr>
          <w:rFonts w:hint="eastAsia"/>
          <w:b/>
          <w:bCs/>
          <w:color w:val="auto"/>
          <w:highlight w:val="none"/>
          <w:lang w:val="en-US" w:eastAsia="zh-CN"/>
        </w:rPr>
        <w:t>采购信息发布媒体：</w:t>
      </w:r>
      <w:r>
        <w:rPr>
          <w:rFonts w:hint="eastAsia"/>
          <w:b w:val="0"/>
          <w:bCs w:val="0"/>
          <w:color w:val="auto"/>
          <w:highlight w:val="none"/>
          <w:lang w:eastAsia="zh-CN"/>
        </w:rPr>
        <w:t>“中国招标投标公共服务平台”。</w:t>
      </w:r>
    </w:p>
    <w:p>
      <w:pPr>
        <w:pStyle w:val="42"/>
        <w:keepNext w:val="0"/>
        <w:keepLines w:val="0"/>
        <w:pageBreakBefore w:val="0"/>
        <w:widowControl w:val="0"/>
        <w:numPr>
          <w:ilvl w:val="0"/>
          <w:numId w:val="7"/>
        </w:numPr>
        <w:kinsoku/>
        <w:wordWrap w:val="0"/>
        <w:overflowPunct/>
        <w:topLinePunct/>
        <w:autoSpaceDE/>
        <w:autoSpaceDN/>
        <w:bidi w:val="0"/>
        <w:adjustRightInd w:val="0"/>
        <w:snapToGrid w:val="0"/>
        <w:spacing w:line="520" w:lineRule="exact"/>
        <w:ind w:left="0" w:leftChars="0" w:firstLine="482" w:firstLineChars="200"/>
        <w:textAlignment w:val="auto"/>
        <w:rPr>
          <w:rFonts w:hint="eastAsia"/>
          <w:b/>
          <w:bCs/>
          <w:color w:val="auto"/>
          <w:highlight w:val="none"/>
        </w:rPr>
      </w:pPr>
      <w:r>
        <w:rPr>
          <w:rFonts w:hint="eastAsia"/>
          <w:b/>
          <w:bCs/>
          <w:color w:val="auto"/>
          <w:highlight w:val="none"/>
        </w:rPr>
        <w:t>对本次招标提出询问，请按以下方式</w:t>
      </w:r>
      <w:r>
        <w:rPr>
          <w:rFonts w:hint="eastAsia"/>
          <w:b/>
          <w:bCs/>
          <w:color w:val="auto"/>
          <w:highlight w:val="none"/>
          <w:u w:val="none"/>
        </w:rPr>
        <w:t>联系</w:t>
      </w:r>
      <w:r>
        <w:rPr>
          <w:rFonts w:hint="eastAsia"/>
          <w:b/>
          <w:bCs/>
          <w:color w:val="auto"/>
          <w:highlight w:val="none"/>
          <w:u w:val="none"/>
          <w:lang w:eastAsia="zh-CN"/>
        </w:rPr>
        <w:t>：</w:t>
      </w:r>
    </w:p>
    <w:p>
      <w:pPr>
        <w:pStyle w:val="42"/>
        <w:keepNext w:val="0"/>
        <w:keepLines w:val="0"/>
        <w:pageBreakBefore w:val="0"/>
        <w:widowControl w:val="0"/>
        <w:kinsoku/>
        <w:overflowPunct/>
        <w:autoSpaceDE/>
        <w:autoSpaceDN/>
        <w:bidi w:val="0"/>
        <w:adjustRightInd w:val="0"/>
        <w:snapToGrid w:val="0"/>
        <w:spacing w:line="520" w:lineRule="exact"/>
        <w:ind w:firstLine="480" w:firstLineChars="200"/>
        <w:textAlignment w:val="auto"/>
        <w:rPr>
          <w:color w:val="auto"/>
          <w:highlight w:val="none"/>
        </w:rPr>
      </w:pPr>
      <w:r>
        <w:rPr>
          <w:rFonts w:hint="eastAsia"/>
          <w:color w:val="auto"/>
          <w:highlight w:val="none"/>
        </w:rPr>
        <w:t>(一)采购人信息</w:t>
      </w:r>
    </w:p>
    <w:p>
      <w:pPr>
        <w:pStyle w:val="42"/>
        <w:keepNext w:val="0"/>
        <w:keepLines w:val="0"/>
        <w:pageBreakBefore w:val="0"/>
        <w:widowControl w:val="0"/>
        <w:kinsoku/>
        <w:overflowPunct/>
        <w:autoSpaceDE/>
        <w:autoSpaceDN/>
        <w:bidi w:val="0"/>
        <w:adjustRightInd w:val="0"/>
        <w:snapToGrid w:val="0"/>
        <w:spacing w:line="520" w:lineRule="exact"/>
        <w:ind w:firstLine="480" w:firstLineChars="200"/>
        <w:textAlignment w:val="auto"/>
        <w:rPr>
          <w:color w:val="auto"/>
          <w:highlight w:val="none"/>
        </w:rPr>
      </w:pPr>
      <w:r>
        <w:rPr>
          <w:rFonts w:hint="eastAsia"/>
          <w:color w:val="auto"/>
          <w:highlight w:val="none"/>
        </w:rPr>
        <w:t>名    称：成都市技师学院</w:t>
      </w:r>
    </w:p>
    <w:p>
      <w:pPr>
        <w:pStyle w:val="42"/>
        <w:keepNext w:val="0"/>
        <w:keepLines w:val="0"/>
        <w:pageBreakBefore w:val="0"/>
        <w:widowControl w:val="0"/>
        <w:kinsoku/>
        <w:overflowPunct/>
        <w:autoSpaceDE/>
        <w:autoSpaceDN/>
        <w:bidi w:val="0"/>
        <w:adjustRightInd w:val="0"/>
        <w:snapToGrid w:val="0"/>
        <w:spacing w:line="520" w:lineRule="exact"/>
        <w:ind w:firstLine="480" w:firstLineChars="200"/>
        <w:textAlignment w:val="auto"/>
        <w:rPr>
          <w:color w:val="auto"/>
          <w:highlight w:val="none"/>
        </w:rPr>
      </w:pPr>
      <w:r>
        <w:rPr>
          <w:rFonts w:hint="eastAsia"/>
          <w:color w:val="auto"/>
          <w:highlight w:val="none"/>
        </w:rPr>
        <w:t>地    址：成都市郫都区红光街道港通北三路1899号</w:t>
      </w:r>
    </w:p>
    <w:p>
      <w:pPr>
        <w:pStyle w:val="42"/>
        <w:keepNext w:val="0"/>
        <w:keepLines w:val="0"/>
        <w:pageBreakBefore w:val="0"/>
        <w:widowControl w:val="0"/>
        <w:kinsoku/>
        <w:overflowPunct/>
        <w:autoSpaceDE/>
        <w:autoSpaceDN/>
        <w:bidi w:val="0"/>
        <w:adjustRightInd w:val="0"/>
        <w:snapToGrid w:val="0"/>
        <w:spacing w:line="520" w:lineRule="exact"/>
        <w:ind w:firstLine="480" w:firstLineChars="200"/>
        <w:textAlignment w:val="auto"/>
        <w:rPr>
          <w:color w:val="auto"/>
          <w:highlight w:val="none"/>
        </w:rPr>
      </w:pPr>
      <w:r>
        <w:rPr>
          <w:rFonts w:hint="eastAsia"/>
          <w:color w:val="auto"/>
          <w:highlight w:val="none"/>
        </w:rPr>
        <w:t>联 系 人：</w:t>
      </w:r>
      <w:r>
        <w:rPr>
          <w:rFonts w:hint="eastAsia" w:ascii="宋体" w:hAnsi="宋体" w:eastAsia="宋体" w:cs="宋体"/>
          <w:color w:val="auto"/>
          <w:highlight w:val="none"/>
        </w:rPr>
        <w:t>王</w:t>
      </w:r>
      <w:r>
        <w:rPr>
          <w:rFonts w:hint="eastAsia" w:cs="宋体"/>
          <w:color w:val="auto"/>
          <w:highlight w:val="none"/>
          <w:lang w:val="en-US" w:eastAsia="zh-CN"/>
        </w:rPr>
        <w:t>老师</w:t>
      </w:r>
      <w:r>
        <w:rPr>
          <w:rFonts w:hint="eastAsia"/>
          <w:color w:val="auto"/>
          <w:highlight w:val="none"/>
        </w:rPr>
        <w:t xml:space="preserve">  </w:t>
      </w:r>
    </w:p>
    <w:p>
      <w:pPr>
        <w:pStyle w:val="42"/>
        <w:keepNext w:val="0"/>
        <w:keepLines w:val="0"/>
        <w:pageBreakBefore w:val="0"/>
        <w:widowControl w:val="0"/>
        <w:kinsoku/>
        <w:overflowPunct/>
        <w:autoSpaceDE/>
        <w:autoSpaceDN/>
        <w:bidi w:val="0"/>
        <w:adjustRightInd w:val="0"/>
        <w:snapToGrid w:val="0"/>
        <w:spacing w:line="520" w:lineRule="exact"/>
        <w:ind w:firstLine="480" w:firstLineChars="200"/>
        <w:textAlignment w:val="auto"/>
        <w:rPr>
          <w:color w:val="auto"/>
          <w:highlight w:val="none"/>
        </w:rPr>
      </w:pPr>
      <w:r>
        <w:rPr>
          <w:rFonts w:hint="eastAsia"/>
          <w:color w:val="auto"/>
          <w:highlight w:val="none"/>
        </w:rPr>
        <w:t xml:space="preserve">联系方式：028-64907283 </w:t>
      </w:r>
    </w:p>
    <w:p>
      <w:pPr>
        <w:pStyle w:val="42"/>
        <w:keepNext w:val="0"/>
        <w:keepLines w:val="0"/>
        <w:pageBreakBefore w:val="0"/>
        <w:widowControl w:val="0"/>
        <w:kinsoku/>
        <w:overflowPunct/>
        <w:autoSpaceDE/>
        <w:autoSpaceDN/>
        <w:bidi w:val="0"/>
        <w:adjustRightInd w:val="0"/>
        <w:snapToGrid w:val="0"/>
        <w:spacing w:line="520" w:lineRule="exact"/>
        <w:ind w:firstLine="480" w:firstLineChars="200"/>
        <w:textAlignment w:val="auto"/>
        <w:rPr>
          <w:color w:val="auto"/>
          <w:highlight w:val="none"/>
        </w:rPr>
      </w:pPr>
      <w:r>
        <w:rPr>
          <w:rFonts w:hint="eastAsia"/>
          <w:color w:val="auto"/>
          <w:highlight w:val="none"/>
        </w:rPr>
        <w:t>(二)采购代理机构信息</w:t>
      </w:r>
    </w:p>
    <w:p>
      <w:pPr>
        <w:pStyle w:val="42"/>
        <w:keepNext w:val="0"/>
        <w:keepLines w:val="0"/>
        <w:pageBreakBefore w:val="0"/>
        <w:widowControl w:val="0"/>
        <w:kinsoku/>
        <w:overflowPunct/>
        <w:autoSpaceDE/>
        <w:autoSpaceDN/>
        <w:bidi w:val="0"/>
        <w:adjustRightInd w:val="0"/>
        <w:snapToGrid w:val="0"/>
        <w:spacing w:line="520" w:lineRule="exact"/>
        <w:ind w:firstLine="480" w:firstLineChars="200"/>
        <w:textAlignment w:val="auto"/>
        <w:rPr>
          <w:color w:val="auto"/>
          <w:highlight w:val="none"/>
        </w:rPr>
      </w:pPr>
      <w:r>
        <w:rPr>
          <w:rFonts w:hint="eastAsia"/>
          <w:color w:val="auto"/>
          <w:highlight w:val="none"/>
        </w:rPr>
        <w:t>名    称：四川乾新招投标代理有限公司</w:t>
      </w:r>
    </w:p>
    <w:p>
      <w:pPr>
        <w:pStyle w:val="42"/>
        <w:keepNext w:val="0"/>
        <w:keepLines w:val="0"/>
        <w:pageBreakBefore w:val="0"/>
        <w:widowControl w:val="0"/>
        <w:kinsoku/>
        <w:overflowPunct/>
        <w:autoSpaceDE/>
        <w:autoSpaceDN/>
        <w:bidi w:val="0"/>
        <w:adjustRightInd w:val="0"/>
        <w:snapToGrid w:val="0"/>
        <w:spacing w:line="520" w:lineRule="exact"/>
        <w:ind w:firstLine="480" w:firstLineChars="200"/>
        <w:textAlignment w:val="auto"/>
        <w:rPr>
          <w:color w:val="auto"/>
          <w:highlight w:val="none"/>
        </w:rPr>
      </w:pPr>
      <w:r>
        <w:rPr>
          <w:rFonts w:hint="eastAsia"/>
          <w:color w:val="auto"/>
          <w:highlight w:val="none"/>
        </w:rPr>
        <w:t>地    址：</w:t>
      </w:r>
      <w:r>
        <w:rPr>
          <w:rFonts w:hint="eastAsia"/>
          <w:color w:val="auto"/>
          <w:highlight w:val="none"/>
          <w:lang w:val="zh-CN"/>
        </w:rPr>
        <w:t>成都市高新区吉庆三路333号蜀都中心二期一号楼一单元401号</w:t>
      </w:r>
    </w:p>
    <w:p>
      <w:pPr>
        <w:pStyle w:val="42"/>
        <w:keepNext w:val="0"/>
        <w:keepLines w:val="0"/>
        <w:pageBreakBefore w:val="0"/>
        <w:widowControl w:val="0"/>
        <w:kinsoku/>
        <w:overflowPunct/>
        <w:autoSpaceDE/>
        <w:autoSpaceDN/>
        <w:bidi w:val="0"/>
        <w:adjustRightInd w:val="0"/>
        <w:snapToGrid w:val="0"/>
        <w:spacing w:line="520" w:lineRule="exact"/>
        <w:ind w:firstLine="480" w:firstLineChars="200"/>
        <w:textAlignment w:val="auto"/>
        <w:rPr>
          <w:color w:val="auto"/>
          <w:highlight w:val="none"/>
        </w:rPr>
      </w:pPr>
      <w:r>
        <w:rPr>
          <w:rFonts w:hint="eastAsia"/>
          <w:color w:val="auto"/>
          <w:highlight w:val="none"/>
        </w:rPr>
        <w:t>联 系 人：王朝钢</w:t>
      </w:r>
    </w:p>
    <w:p>
      <w:pPr>
        <w:pStyle w:val="42"/>
        <w:keepNext w:val="0"/>
        <w:keepLines w:val="0"/>
        <w:pageBreakBefore w:val="0"/>
        <w:widowControl w:val="0"/>
        <w:kinsoku/>
        <w:overflowPunct/>
        <w:autoSpaceDE/>
        <w:autoSpaceDN/>
        <w:bidi w:val="0"/>
        <w:adjustRightInd w:val="0"/>
        <w:snapToGrid w:val="0"/>
        <w:spacing w:line="520" w:lineRule="exact"/>
        <w:ind w:firstLine="480" w:firstLineChars="200"/>
        <w:textAlignment w:val="auto"/>
        <w:rPr>
          <w:color w:val="auto"/>
          <w:highlight w:val="none"/>
        </w:rPr>
      </w:pPr>
      <w:r>
        <w:rPr>
          <w:rFonts w:hint="eastAsia" w:cs="宋体"/>
          <w:color w:val="auto"/>
          <w:highlight w:val="none"/>
        </w:rPr>
        <w:t>招标文件咨询</w:t>
      </w:r>
      <w:r>
        <w:rPr>
          <w:rFonts w:hint="eastAsia" w:cs="宋体"/>
          <w:color w:val="auto"/>
          <w:highlight w:val="none"/>
          <w:lang w:val="zh-CN"/>
        </w:rPr>
        <w:t>电话：028-84638556、84882960转</w:t>
      </w:r>
      <w:r>
        <w:rPr>
          <w:rFonts w:hint="eastAsia" w:cs="宋体"/>
          <w:color w:val="auto"/>
          <w:highlight w:val="none"/>
        </w:rPr>
        <w:t>663</w:t>
      </w:r>
    </w:p>
    <w:p>
      <w:pPr>
        <w:pStyle w:val="42"/>
        <w:keepNext w:val="0"/>
        <w:keepLines w:val="0"/>
        <w:pageBreakBefore w:val="0"/>
        <w:widowControl w:val="0"/>
        <w:kinsoku/>
        <w:overflowPunct/>
        <w:autoSpaceDE/>
        <w:autoSpaceDN/>
        <w:bidi w:val="0"/>
        <w:adjustRightInd w:val="0"/>
        <w:snapToGrid w:val="0"/>
        <w:spacing w:line="520" w:lineRule="exact"/>
        <w:ind w:firstLine="480" w:firstLineChars="200"/>
        <w:textAlignment w:val="auto"/>
        <w:rPr>
          <w:rFonts w:hint="default" w:eastAsia="宋体" w:cs="宋体"/>
          <w:color w:val="auto"/>
          <w:highlight w:val="none"/>
          <w:lang w:val="en-US" w:eastAsia="zh-CN"/>
        </w:rPr>
      </w:pPr>
      <w:r>
        <w:rPr>
          <w:rFonts w:hint="eastAsia" w:cs="宋体"/>
          <w:color w:val="auto"/>
          <w:highlight w:val="none"/>
        </w:rPr>
        <w:t>开评标工作咨询电话：028-61375575、62630990转</w:t>
      </w:r>
      <w:r>
        <w:rPr>
          <w:rFonts w:hint="eastAsia" w:cs="宋体"/>
          <w:color w:val="auto"/>
          <w:highlight w:val="none"/>
          <w:lang w:val="en-US" w:eastAsia="zh-CN"/>
        </w:rPr>
        <w:t>623</w:t>
      </w:r>
    </w:p>
    <w:p>
      <w:pPr>
        <w:pStyle w:val="42"/>
        <w:keepNext w:val="0"/>
        <w:keepLines w:val="0"/>
        <w:pageBreakBefore w:val="0"/>
        <w:widowControl w:val="0"/>
        <w:kinsoku/>
        <w:overflowPunct/>
        <w:autoSpaceDE/>
        <w:autoSpaceDN/>
        <w:bidi w:val="0"/>
        <w:adjustRightInd w:val="0"/>
        <w:snapToGrid w:val="0"/>
        <w:spacing w:line="520" w:lineRule="exact"/>
        <w:ind w:firstLine="480" w:firstLineChars="200"/>
        <w:textAlignment w:val="auto"/>
        <w:rPr>
          <w:rFonts w:cs="宋体"/>
          <w:color w:val="auto"/>
          <w:highlight w:val="none"/>
        </w:rPr>
      </w:pPr>
      <w:r>
        <w:rPr>
          <w:rFonts w:hint="eastAsia" w:cs="宋体"/>
          <w:color w:val="auto"/>
          <w:highlight w:val="none"/>
        </w:rPr>
        <w:t>发票开具与咨询电话：028-84638556、84882960转609</w:t>
      </w:r>
    </w:p>
    <w:p>
      <w:pPr>
        <w:pStyle w:val="42"/>
        <w:keepNext w:val="0"/>
        <w:keepLines w:val="0"/>
        <w:pageBreakBefore w:val="0"/>
        <w:widowControl w:val="0"/>
        <w:kinsoku/>
        <w:overflowPunct/>
        <w:autoSpaceDE/>
        <w:autoSpaceDN/>
        <w:bidi w:val="0"/>
        <w:adjustRightInd w:val="0"/>
        <w:snapToGrid w:val="0"/>
        <w:spacing w:line="520" w:lineRule="exact"/>
        <w:ind w:firstLine="480" w:firstLineChars="200"/>
        <w:textAlignment w:val="auto"/>
        <w:rPr>
          <w:rFonts w:cs="宋体"/>
          <w:color w:val="auto"/>
          <w:highlight w:val="none"/>
        </w:rPr>
      </w:pPr>
      <w:r>
        <w:rPr>
          <w:rFonts w:hint="eastAsia" w:cs="宋体"/>
          <w:color w:val="auto"/>
          <w:highlight w:val="none"/>
        </w:rPr>
        <w:t>中标通知书领取电话：028-61375575、62630990转601或602</w:t>
      </w:r>
    </w:p>
    <w:p>
      <w:pPr>
        <w:pStyle w:val="42"/>
        <w:keepNext w:val="0"/>
        <w:keepLines w:val="0"/>
        <w:pageBreakBefore w:val="0"/>
        <w:widowControl w:val="0"/>
        <w:kinsoku/>
        <w:overflowPunct/>
        <w:autoSpaceDE/>
        <w:autoSpaceDN/>
        <w:bidi w:val="0"/>
        <w:adjustRightInd w:val="0"/>
        <w:snapToGrid w:val="0"/>
        <w:spacing w:line="520" w:lineRule="exact"/>
        <w:ind w:firstLine="480" w:firstLineChars="200"/>
        <w:textAlignment w:val="auto"/>
        <w:rPr>
          <w:rFonts w:cs="宋体"/>
          <w:color w:val="auto"/>
          <w:highlight w:val="none"/>
        </w:rPr>
      </w:pPr>
      <w:r>
        <w:rPr>
          <w:rFonts w:hint="eastAsia" w:cs="宋体"/>
          <w:color w:val="auto"/>
          <w:highlight w:val="none"/>
        </w:rPr>
        <w:t>服务质量投诉电话：</w:t>
      </w:r>
      <w:r>
        <w:rPr>
          <w:rFonts w:hint="eastAsia" w:cs="宋体"/>
          <w:color w:val="auto"/>
          <w:highlight w:val="none"/>
          <w:lang w:val="zh-CN"/>
        </w:rPr>
        <w:t>028-84638556、84882960</w:t>
      </w:r>
      <w:r>
        <w:rPr>
          <w:rFonts w:hint="eastAsia" w:cs="宋体"/>
          <w:color w:val="auto"/>
          <w:highlight w:val="none"/>
        </w:rPr>
        <w:t>转603</w:t>
      </w:r>
    </w:p>
    <w:p>
      <w:pPr>
        <w:pStyle w:val="42"/>
        <w:keepNext w:val="0"/>
        <w:keepLines w:val="0"/>
        <w:pageBreakBefore w:val="0"/>
        <w:widowControl w:val="0"/>
        <w:kinsoku/>
        <w:overflowPunct/>
        <w:autoSpaceDE/>
        <w:autoSpaceDN/>
        <w:bidi w:val="0"/>
        <w:adjustRightInd w:val="0"/>
        <w:snapToGrid w:val="0"/>
        <w:spacing w:line="520" w:lineRule="exact"/>
        <w:ind w:firstLine="480" w:firstLineChars="200"/>
        <w:textAlignment w:val="auto"/>
        <w:rPr>
          <w:rFonts w:cs="宋体"/>
          <w:color w:val="auto"/>
          <w:highlight w:val="none"/>
          <w:lang w:val="zh-CN"/>
        </w:rPr>
      </w:pPr>
      <w:r>
        <w:rPr>
          <w:rFonts w:hint="eastAsia" w:cs="宋体"/>
          <w:color w:val="auto"/>
          <w:highlight w:val="none"/>
          <w:lang w:val="zh-CN"/>
        </w:rPr>
        <w:t>传    真：</w:t>
      </w:r>
      <w:r>
        <w:rPr>
          <w:rFonts w:hint="eastAsia" w:cs="宋体"/>
          <w:color w:val="auto"/>
          <w:highlight w:val="none"/>
        </w:rPr>
        <w:t>028-</w:t>
      </w:r>
      <w:r>
        <w:rPr>
          <w:rFonts w:hint="eastAsia" w:cs="宋体"/>
          <w:color w:val="auto"/>
          <w:highlight w:val="none"/>
          <w:lang w:val="zh-CN"/>
        </w:rPr>
        <w:t>83381</w:t>
      </w:r>
      <w:r>
        <w:rPr>
          <w:rFonts w:hint="eastAsia" w:cs="宋体"/>
          <w:color w:val="auto"/>
          <w:highlight w:val="none"/>
        </w:rPr>
        <w:t>268</w:t>
      </w:r>
    </w:p>
    <w:p>
      <w:pPr>
        <w:pStyle w:val="42"/>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default"/>
          <w:color w:val="auto"/>
          <w:highlight w:val="none"/>
          <w:lang w:val="en-US" w:eastAsia="zh-CN"/>
        </w:rPr>
      </w:pPr>
      <w:r>
        <w:rPr>
          <w:rFonts w:hint="eastAsia" w:cs="宋体"/>
          <w:color w:val="auto"/>
          <w:highlight w:val="none"/>
          <w:lang w:val="zh-CN"/>
        </w:rPr>
        <w:t>电子邮件：</w:t>
      </w:r>
      <w:r>
        <w:rPr>
          <w:color w:val="auto"/>
          <w:highlight w:val="none"/>
        </w:rPr>
        <w:fldChar w:fldCharType="begin"/>
      </w:r>
      <w:r>
        <w:rPr>
          <w:color w:val="auto"/>
          <w:highlight w:val="none"/>
        </w:rPr>
        <w:instrText xml:space="preserve"> HYPERLINK "mailto:scqxzb@163.com" </w:instrText>
      </w:r>
      <w:r>
        <w:rPr>
          <w:color w:val="auto"/>
          <w:highlight w:val="none"/>
        </w:rPr>
        <w:fldChar w:fldCharType="separate"/>
      </w:r>
      <w:r>
        <w:rPr>
          <w:rFonts w:hint="eastAsia" w:cs="宋体"/>
          <w:color w:val="auto"/>
          <w:highlight w:val="none"/>
          <w:lang w:val="zh-CN"/>
        </w:rPr>
        <w:t>scqxzb@163.com</w:t>
      </w:r>
      <w:r>
        <w:rPr>
          <w:rFonts w:hint="eastAsia" w:cs="宋体"/>
          <w:color w:val="auto"/>
          <w:highlight w:val="none"/>
          <w:lang w:val="zh-CN"/>
        </w:rPr>
        <w:fldChar w:fldCharType="end"/>
      </w:r>
    </w:p>
    <w:p>
      <w:pPr>
        <w:pStyle w:val="48"/>
        <w:bidi w:val="0"/>
        <w:jc w:val="center"/>
        <w:rPr>
          <w:rFonts w:hint="eastAsia"/>
          <w:color w:val="auto"/>
          <w:highlight w:val="none"/>
          <w:lang w:val="en-US" w:eastAsia="zh-CN"/>
        </w:rPr>
      </w:pPr>
      <w:r>
        <w:rPr>
          <w:rFonts w:hint="eastAsia"/>
          <w:color w:val="auto"/>
          <w:highlight w:val="none"/>
        </w:rPr>
        <w:br w:type="page"/>
      </w:r>
      <w:bookmarkEnd w:id="9"/>
      <w:bookmarkEnd w:id="10"/>
      <w:bookmarkEnd w:id="11"/>
      <w:bookmarkEnd w:id="12"/>
      <w:bookmarkEnd w:id="13"/>
      <w:bookmarkStart w:id="15" w:name="_Toc2776"/>
      <w:bookmarkStart w:id="16" w:name="_Toc983"/>
      <w:bookmarkStart w:id="17" w:name="_Toc2482"/>
      <w:bookmarkStart w:id="18" w:name="_Toc7416"/>
      <w:bookmarkStart w:id="19" w:name="_Toc25668"/>
      <w:bookmarkStart w:id="20" w:name="_Toc30888"/>
      <w:r>
        <w:rPr>
          <w:rFonts w:hint="eastAsia"/>
          <w:color w:val="auto"/>
          <w:highlight w:val="none"/>
          <w:lang w:val="en-US" w:eastAsia="zh-CN"/>
        </w:rPr>
        <w:t>投标人须知</w:t>
      </w:r>
      <w:bookmarkEnd w:id="15"/>
      <w:bookmarkEnd w:id="16"/>
      <w:bookmarkEnd w:id="17"/>
      <w:bookmarkEnd w:id="18"/>
      <w:bookmarkEnd w:id="19"/>
      <w:bookmarkEnd w:id="20"/>
    </w:p>
    <w:p>
      <w:pPr>
        <w:pStyle w:val="43"/>
        <w:bidi w:val="0"/>
        <w:rPr>
          <w:rFonts w:hint="eastAsia"/>
          <w:color w:val="auto"/>
          <w:highlight w:val="none"/>
        </w:rPr>
      </w:pPr>
      <w:bookmarkStart w:id="21" w:name="_Toc31215"/>
      <w:bookmarkStart w:id="22" w:name="_Toc28824"/>
      <w:bookmarkStart w:id="23" w:name="_Toc17280"/>
      <w:bookmarkStart w:id="24" w:name="_Toc14035"/>
      <w:bookmarkStart w:id="25" w:name="_Toc6734"/>
      <w:bookmarkStart w:id="26" w:name="_Toc189727030"/>
      <w:bookmarkStart w:id="27" w:name="_Toc213396946"/>
      <w:bookmarkStart w:id="28" w:name="_Toc217446032"/>
      <w:bookmarkStart w:id="29" w:name="_Toc213396760"/>
      <w:bookmarkStart w:id="30" w:name="_Toc18640"/>
      <w:bookmarkStart w:id="31" w:name="_Toc213397010"/>
      <w:bookmarkStart w:id="32" w:name="_Toc327196261"/>
      <w:bookmarkStart w:id="33" w:name="_Toc213496268"/>
      <w:r>
        <w:rPr>
          <w:rFonts w:hint="eastAsia"/>
          <w:color w:val="auto"/>
          <w:highlight w:val="none"/>
        </w:rPr>
        <w:t>投标人须知</w:t>
      </w:r>
      <w:r>
        <w:rPr>
          <w:rFonts w:hint="eastAsia"/>
          <w:color w:val="auto"/>
          <w:highlight w:val="none"/>
          <w:lang w:val="en-US" w:eastAsia="zh-CN"/>
        </w:rPr>
        <w:t>前</w:t>
      </w:r>
      <w:r>
        <w:rPr>
          <w:rFonts w:hint="eastAsia"/>
          <w:color w:val="auto"/>
          <w:highlight w:val="none"/>
        </w:rPr>
        <w:t>附表</w:t>
      </w:r>
      <w:bookmarkEnd w:id="21"/>
      <w:bookmarkEnd w:id="22"/>
      <w:bookmarkEnd w:id="23"/>
      <w:bookmarkEnd w:id="24"/>
      <w:bookmarkEnd w:id="25"/>
      <w:bookmarkEnd w:id="26"/>
      <w:bookmarkEnd w:id="27"/>
      <w:bookmarkEnd w:id="28"/>
      <w:bookmarkEnd w:id="29"/>
      <w:bookmarkEnd w:id="30"/>
      <w:bookmarkEnd w:id="31"/>
      <w:bookmarkEnd w:id="32"/>
      <w:bookmarkEnd w:id="33"/>
    </w:p>
    <w:tbl>
      <w:tblPr>
        <w:tblStyle w:val="21"/>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0"/>
        <w:gridCol w:w="2009"/>
        <w:gridCol w:w="7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blHeader/>
          <w:jc w:val="center"/>
        </w:trPr>
        <w:tc>
          <w:tcPr>
            <w:tcW w:w="570" w:type="dxa"/>
            <w:vAlign w:val="center"/>
          </w:tcPr>
          <w:p>
            <w:pPr>
              <w:pStyle w:val="45"/>
              <w:keepNext w:val="0"/>
              <w:keepLines w:val="0"/>
              <w:pageBreakBefore w:val="0"/>
              <w:widowControl w:val="0"/>
              <w:numPr>
                <w:ilvl w:val="0"/>
                <w:numId w:val="0"/>
              </w:numPr>
              <w:kinsoku/>
              <w:wordWrap w:val="0"/>
              <w:overflowPunct/>
              <w:topLinePunct/>
              <w:autoSpaceDE/>
              <w:autoSpaceDN/>
              <w:bidi w:val="0"/>
              <w:adjustRightInd w:val="0"/>
              <w:snapToGrid w:val="0"/>
              <w:spacing w:line="360" w:lineRule="exact"/>
              <w:ind w:left="24" w:leftChars="10" w:right="24" w:rightChars="10"/>
              <w:jc w:val="center"/>
              <w:textAlignment w:val="auto"/>
              <w:rPr>
                <w:rFonts w:hint="eastAsia" w:ascii="宋体" w:hAnsi="宋体" w:eastAsia="宋体" w:cs="宋体"/>
                <w:b/>
                <w:bCs/>
                <w:color w:val="auto"/>
                <w:sz w:val="21"/>
                <w:szCs w:val="21"/>
                <w:highlight w:val="none"/>
                <w:lang w:val="zh-CN"/>
              </w:rPr>
            </w:pPr>
            <w:bookmarkStart w:id="34" w:name="_Toc327196262"/>
            <w:r>
              <w:rPr>
                <w:rFonts w:hint="eastAsia" w:ascii="宋体" w:hAnsi="宋体" w:eastAsia="宋体" w:cs="宋体"/>
                <w:b/>
                <w:bCs/>
                <w:color w:val="auto"/>
                <w:sz w:val="21"/>
                <w:szCs w:val="21"/>
                <w:highlight w:val="none"/>
                <w:lang w:val="zh-CN"/>
              </w:rPr>
              <w:t>序号</w:t>
            </w:r>
          </w:p>
        </w:tc>
        <w:tc>
          <w:tcPr>
            <w:tcW w:w="2009"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条款名称</w:t>
            </w:r>
            <w:r>
              <w:rPr>
                <w:rFonts w:hint="eastAsia" w:ascii="宋体" w:hAnsi="宋体" w:eastAsia="宋体" w:cs="宋体"/>
                <w:b/>
                <w:bCs/>
                <w:color w:val="auto"/>
                <w:sz w:val="21"/>
                <w:szCs w:val="21"/>
                <w:highlight w:val="none"/>
                <w:lang w:val="zh-CN"/>
              </w:rPr>
              <w:t xml:space="preserve"> </w:t>
            </w:r>
          </w:p>
        </w:tc>
        <w:tc>
          <w:tcPr>
            <w:tcW w:w="7171"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70" w:type="dxa"/>
            <w:vAlign w:val="center"/>
          </w:tcPr>
          <w:p>
            <w:pPr>
              <w:pStyle w:val="45"/>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lang w:val="zh-CN"/>
              </w:rPr>
            </w:pPr>
          </w:p>
        </w:tc>
        <w:tc>
          <w:tcPr>
            <w:tcW w:w="2009"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采购预算、报价要求</w:t>
            </w:r>
          </w:p>
          <w:p>
            <w:pPr>
              <w:pStyle w:val="45"/>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(实质性要求)</w:t>
            </w:r>
          </w:p>
        </w:tc>
        <w:tc>
          <w:tcPr>
            <w:tcW w:w="7171"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本项目</w:t>
            </w: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val="zh-CN"/>
              </w:rPr>
              <w:t>预算为人民币</w:t>
            </w:r>
            <w:r>
              <w:rPr>
                <w:rFonts w:hint="eastAsia" w:ascii="宋体" w:hAnsi="宋体" w:eastAsia="宋体" w:cs="宋体"/>
                <w:color w:val="auto"/>
                <w:sz w:val="21"/>
                <w:szCs w:val="21"/>
                <w:highlight w:val="none"/>
                <w:lang w:val="en-US" w:eastAsia="zh-CN"/>
              </w:rPr>
              <w:t>30万</w:t>
            </w:r>
            <w:r>
              <w:rPr>
                <w:rFonts w:hint="eastAsia" w:ascii="宋体" w:hAnsi="宋体" w:eastAsia="宋体" w:cs="宋体"/>
                <w:color w:val="auto"/>
                <w:sz w:val="21"/>
                <w:szCs w:val="21"/>
                <w:highlight w:val="none"/>
                <w:lang w:val="zh-CN"/>
              </w:rPr>
              <w:t>元。</w:t>
            </w:r>
          </w:p>
          <w:p>
            <w:pPr>
              <w:pStyle w:val="41"/>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本项目</w:t>
            </w:r>
            <w:r>
              <w:rPr>
                <w:rFonts w:hint="eastAsia" w:ascii="宋体" w:hAnsi="宋体" w:eastAsia="宋体" w:cs="宋体"/>
                <w:color w:val="auto"/>
                <w:sz w:val="21"/>
                <w:szCs w:val="21"/>
                <w:highlight w:val="none"/>
              </w:rPr>
              <w:t>投标报价</w:t>
            </w:r>
            <w:r>
              <w:rPr>
                <w:rFonts w:hint="eastAsia" w:ascii="宋体" w:hAnsi="宋体" w:eastAsia="宋体" w:cs="宋体"/>
                <w:color w:val="auto"/>
                <w:sz w:val="21"/>
                <w:szCs w:val="21"/>
                <w:highlight w:val="none"/>
                <w:lang w:val="zh-CN"/>
              </w:rPr>
              <w:t>不</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rPr>
              <w:t>超过</w:t>
            </w: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val="zh-CN"/>
              </w:rPr>
              <w:t>预算，</w:t>
            </w:r>
            <w:r>
              <w:rPr>
                <w:rFonts w:hint="eastAsia" w:ascii="宋体" w:hAnsi="宋体" w:eastAsia="宋体" w:cs="宋体"/>
                <w:color w:val="auto"/>
                <w:sz w:val="21"/>
                <w:szCs w:val="21"/>
                <w:highlight w:val="none"/>
              </w:rPr>
              <w:t>否则将被视为无效投标。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70" w:type="dxa"/>
            <w:vAlign w:val="center"/>
          </w:tcPr>
          <w:p>
            <w:pPr>
              <w:pStyle w:val="45"/>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lang w:val="zh-CN"/>
              </w:rPr>
            </w:pPr>
          </w:p>
        </w:tc>
        <w:tc>
          <w:tcPr>
            <w:tcW w:w="2009"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项目属性</w:t>
            </w:r>
          </w:p>
        </w:tc>
        <w:tc>
          <w:tcPr>
            <w:tcW w:w="7171"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本项目属于货物类采购项目，不对其中涉及的服务的承接商是否享受中小企业扶持政策作出要求。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70" w:type="dxa"/>
            <w:vAlign w:val="center"/>
          </w:tcPr>
          <w:p>
            <w:pPr>
              <w:pStyle w:val="45"/>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lang w:val="zh-CN"/>
              </w:rPr>
            </w:pPr>
          </w:p>
        </w:tc>
        <w:tc>
          <w:tcPr>
            <w:tcW w:w="2009"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本项目所属行业</w:t>
            </w:r>
          </w:p>
        </w:tc>
        <w:tc>
          <w:tcPr>
            <w:tcW w:w="7171"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本项目所属行业为工业</w:t>
            </w:r>
            <w:r>
              <w:rPr>
                <w:rFonts w:hint="eastAsia" w:ascii="宋体" w:hAnsi="宋体" w:eastAsia="宋体" w:cs="宋体"/>
                <w:color w:val="auto"/>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570" w:type="dxa"/>
            <w:vAlign w:val="center"/>
          </w:tcPr>
          <w:p>
            <w:pPr>
              <w:pStyle w:val="45"/>
              <w:keepNext w:val="0"/>
              <w:keepLines w:val="0"/>
              <w:pageBreakBefore w:val="0"/>
              <w:widowControl w:val="0"/>
              <w:numPr>
                <w:ilvl w:val="0"/>
                <w:numId w:val="8"/>
              </w:numPr>
              <w:kinsoku/>
              <w:overflowPunct/>
              <w:autoSpaceDE/>
              <w:autoSpaceDN/>
              <w:bidi w:val="0"/>
              <w:spacing w:line="360" w:lineRule="exact"/>
              <w:ind w:left="24" w:leftChars="10" w:right="24" w:rightChars="10" w:firstLine="0" w:firstLineChars="0"/>
              <w:rPr>
                <w:rFonts w:hint="eastAsia" w:ascii="宋体" w:hAnsi="宋体" w:eastAsia="宋体" w:cs="宋体"/>
                <w:color w:val="auto"/>
                <w:sz w:val="21"/>
                <w:szCs w:val="21"/>
                <w:highlight w:val="none"/>
                <w:lang w:val="zh-CN"/>
              </w:rPr>
            </w:pPr>
          </w:p>
        </w:tc>
        <w:tc>
          <w:tcPr>
            <w:tcW w:w="2009" w:type="dxa"/>
            <w:vAlign w:val="center"/>
          </w:tcPr>
          <w:p>
            <w:pPr>
              <w:pStyle w:val="45"/>
              <w:keepNext w:val="0"/>
              <w:keepLines w:val="0"/>
              <w:pageBreakBefore w:val="0"/>
              <w:widowControl w:val="0"/>
              <w:kinsoku/>
              <w:overflowPunct/>
              <w:autoSpaceDE/>
              <w:autoSpaceDN/>
              <w:bidi w:val="0"/>
              <w:spacing w:line="360" w:lineRule="exact"/>
              <w:ind w:left="24" w:leftChars="10" w:right="24" w:rightChars="10" w:firstLine="0" w:firstLineChars="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定向采购</w:t>
            </w:r>
          </w:p>
        </w:tc>
        <w:tc>
          <w:tcPr>
            <w:tcW w:w="7171" w:type="dxa"/>
            <w:vAlign w:val="center"/>
          </w:tcPr>
          <w:p>
            <w:pPr>
              <w:pStyle w:val="41"/>
              <w:keepNext w:val="0"/>
              <w:keepLines w:val="0"/>
              <w:pageBreakBefore w:val="0"/>
              <w:widowControl w:val="0"/>
              <w:numPr>
                <w:ilvl w:val="0"/>
                <w:numId w:val="0"/>
              </w:numPr>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本项目为</w:t>
            </w:r>
            <w:r>
              <w:rPr>
                <w:rFonts w:hint="eastAsia" w:ascii="宋体" w:hAnsi="宋体" w:eastAsia="宋体" w:cs="宋体"/>
                <w:color w:val="auto"/>
                <w:sz w:val="21"/>
                <w:szCs w:val="21"/>
                <w:highlight w:val="none"/>
                <w:lang w:val="zh-CN"/>
              </w:rPr>
              <w:t>非专门面向中小企业</w:t>
            </w: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val="zh-CN"/>
              </w:rPr>
              <w:t>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570" w:type="dxa"/>
            <w:vAlign w:val="center"/>
          </w:tcPr>
          <w:p>
            <w:pPr>
              <w:pStyle w:val="45"/>
              <w:keepNext w:val="0"/>
              <w:keepLines w:val="0"/>
              <w:pageBreakBefore w:val="0"/>
              <w:widowControl w:val="0"/>
              <w:numPr>
                <w:ilvl w:val="0"/>
                <w:numId w:val="8"/>
              </w:numPr>
              <w:kinsoku/>
              <w:overflowPunct/>
              <w:autoSpaceDE/>
              <w:autoSpaceDN/>
              <w:bidi w:val="0"/>
              <w:spacing w:line="360" w:lineRule="exact"/>
              <w:ind w:left="24" w:leftChars="10" w:right="24" w:rightChars="10" w:firstLine="0" w:firstLineChars="0"/>
              <w:rPr>
                <w:rFonts w:hint="eastAsia" w:ascii="宋体" w:hAnsi="宋体" w:eastAsia="宋体" w:cs="宋体"/>
                <w:color w:val="auto"/>
                <w:sz w:val="21"/>
                <w:szCs w:val="21"/>
                <w:highlight w:val="none"/>
                <w:lang w:val="zh-CN"/>
              </w:rPr>
            </w:pPr>
          </w:p>
        </w:tc>
        <w:tc>
          <w:tcPr>
            <w:tcW w:w="2009" w:type="dxa"/>
            <w:vAlign w:val="center"/>
          </w:tcPr>
          <w:p>
            <w:pPr>
              <w:pStyle w:val="45"/>
              <w:keepNext w:val="0"/>
              <w:keepLines w:val="0"/>
              <w:pageBreakBefore w:val="0"/>
              <w:widowControl w:val="0"/>
              <w:kinsoku/>
              <w:overflowPunct/>
              <w:autoSpaceDE/>
              <w:autoSpaceDN/>
              <w:bidi w:val="0"/>
              <w:spacing w:line="360" w:lineRule="exact"/>
              <w:ind w:left="24" w:leftChars="10" w:right="24" w:rightChars="1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是否允许进口产品参加本次采购活动</w:t>
            </w:r>
          </w:p>
        </w:tc>
        <w:tc>
          <w:tcPr>
            <w:tcW w:w="7171" w:type="dxa"/>
            <w:vAlign w:val="top"/>
          </w:tcPr>
          <w:p>
            <w:pPr>
              <w:pStyle w:val="45"/>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本项目不允许进口产品参加本次采购活动，参照</w:t>
            </w:r>
            <w:r>
              <w:rPr>
                <w:rFonts w:hint="eastAsia" w:ascii="宋体" w:hAnsi="宋体" w:eastAsia="宋体" w:cs="宋体"/>
                <w:color w:val="auto"/>
                <w:sz w:val="21"/>
                <w:szCs w:val="21"/>
                <w:highlight w:val="none"/>
                <w:lang w:val="zh-CN"/>
              </w:rPr>
              <w:t>《中华人民共和国政府采购法》第十条的规定，本项目采购本国</w:t>
            </w:r>
            <w:r>
              <w:rPr>
                <w:rFonts w:hint="eastAsia" w:ascii="宋体" w:hAnsi="宋体" w:eastAsia="宋体" w:cs="宋体"/>
                <w:color w:val="auto"/>
                <w:sz w:val="21"/>
                <w:szCs w:val="21"/>
                <w:highlight w:val="none"/>
                <w:lang w:val="en-US" w:eastAsia="zh-CN"/>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5"/>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lang w:val="zh-CN"/>
              </w:rPr>
            </w:pPr>
          </w:p>
        </w:tc>
        <w:tc>
          <w:tcPr>
            <w:tcW w:w="2009"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采购方式</w:t>
            </w:r>
          </w:p>
        </w:tc>
        <w:tc>
          <w:tcPr>
            <w:tcW w:w="7171"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5"/>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lang w:val="zh-CN"/>
              </w:rPr>
            </w:pPr>
          </w:p>
        </w:tc>
        <w:tc>
          <w:tcPr>
            <w:tcW w:w="2009"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评标方法</w:t>
            </w:r>
          </w:p>
        </w:tc>
        <w:tc>
          <w:tcPr>
            <w:tcW w:w="7171"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5"/>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lang w:val="zh-CN"/>
              </w:rPr>
            </w:pPr>
          </w:p>
        </w:tc>
        <w:tc>
          <w:tcPr>
            <w:tcW w:w="2009" w:type="dxa"/>
            <w:vAlign w:val="center"/>
          </w:tcPr>
          <w:p>
            <w:pPr>
              <w:pStyle w:val="45"/>
              <w:keepNext w:val="0"/>
              <w:keepLines w:val="0"/>
              <w:pageBreakBefore w:val="0"/>
              <w:widowControl w:val="0"/>
              <w:kinsoku/>
              <w:overflowPunct/>
              <w:topLinePunct w:val="0"/>
              <w:autoSpaceDE/>
              <w:autoSpaceDN/>
              <w:bidi w:val="0"/>
              <w:spacing w:line="360" w:lineRule="exact"/>
              <w:ind w:left="24" w:leftChars="10" w:right="24" w:rightChars="10"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竞争范围</w:t>
            </w:r>
          </w:p>
        </w:tc>
        <w:tc>
          <w:tcPr>
            <w:tcW w:w="7171" w:type="dxa"/>
            <w:vAlign w:val="center"/>
          </w:tcPr>
          <w:p>
            <w:pPr>
              <w:pStyle w:val="41"/>
              <w:keepNext w:val="0"/>
              <w:keepLines w:val="0"/>
              <w:pageBreakBefore w:val="0"/>
              <w:widowControl w:val="0"/>
              <w:kinsoku/>
              <w:overflowPunct/>
              <w:topLinePunct w:val="0"/>
              <w:autoSpaceDE/>
              <w:autoSpaceDN/>
              <w:bidi w:val="0"/>
              <w:spacing w:line="360" w:lineRule="exact"/>
              <w:ind w:left="24" w:leftChars="10" w:right="24" w:rightChars="10"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公开竞争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5"/>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lang w:val="zh-CN"/>
              </w:rPr>
            </w:pPr>
          </w:p>
        </w:tc>
        <w:tc>
          <w:tcPr>
            <w:tcW w:w="2009" w:type="dxa"/>
            <w:vAlign w:val="center"/>
          </w:tcPr>
          <w:p>
            <w:pPr>
              <w:pStyle w:val="45"/>
              <w:keepNext w:val="0"/>
              <w:keepLines w:val="0"/>
              <w:pageBreakBefore w:val="0"/>
              <w:widowControl w:val="0"/>
              <w:kinsoku/>
              <w:overflowPunct/>
              <w:autoSpaceDE/>
              <w:autoSpaceDN/>
              <w:bidi w:val="0"/>
              <w:spacing w:line="360" w:lineRule="exact"/>
              <w:ind w:left="24" w:leftChars="10" w:right="24" w:rightChars="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合同定价方式</w:t>
            </w:r>
          </w:p>
          <w:p>
            <w:pPr>
              <w:pStyle w:val="45"/>
              <w:keepNext w:val="0"/>
              <w:keepLines w:val="0"/>
              <w:pageBreakBefore w:val="0"/>
              <w:widowControl w:val="0"/>
              <w:kinsoku/>
              <w:overflowPunct/>
              <w:topLinePunct w:val="0"/>
              <w:autoSpaceDE/>
              <w:autoSpaceDN/>
              <w:bidi w:val="0"/>
              <w:spacing w:line="360" w:lineRule="exact"/>
              <w:ind w:left="24" w:leftChars="10" w:right="24" w:rightChars="10"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(实质性要求)</w:t>
            </w:r>
          </w:p>
        </w:tc>
        <w:tc>
          <w:tcPr>
            <w:tcW w:w="7171" w:type="dxa"/>
            <w:vAlign w:val="center"/>
          </w:tcPr>
          <w:p>
            <w:pPr>
              <w:pStyle w:val="41"/>
              <w:keepNext w:val="0"/>
              <w:keepLines w:val="0"/>
              <w:pageBreakBefore w:val="0"/>
              <w:widowControl w:val="0"/>
              <w:kinsoku/>
              <w:overflowPunct/>
              <w:topLinePunct w:val="0"/>
              <w:autoSpaceDE/>
              <w:autoSpaceDN/>
              <w:bidi w:val="0"/>
              <w:spacing w:line="360" w:lineRule="exact"/>
              <w:ind w:left="24" w:leftChars="10" w:right="24" w:rightChars="1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固定总价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5"/>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lang w:val="zh-CN"/>
              </w:rPr>
            </w:pPr>
          </w:p>
        </w:tc>
        <w:tc>
          <w:tcPr>
            <w:tcW w:w="2009"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合同分包</w:t>
            </w:r>
            <w:r>
              <w:rPr>
                <w:rFonts w:hint="eastAsia" w:ascii="宋体" w:hAnsi="宋体" w:eastAsia="宋体" w:cs="宋体"/>
                <w:color w:val="auto"/>
                <w:sz w:val="21"/>
                <w:szCs w:val="21"/>
                <w:highlight w:val="none"/>
                <w:lang w:eastAsia="zh-CN"/>
              </w:rPr>
              <w:t>、转包</w:t>
            </w:r>
          </w:p>
          <w:p>
            <w:pPr>
              <w:pStyle w:val="45"/>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(实质性要求)</w:t>
            </w:r>
          </w:p>
        </w:tc>
        <w:tc>
          <w:tcPr>
            <w:tcW w:w="7171" w:type="dxa"/>
            <w:vAlign w:val="center"/>
          </w:tcPr>
          <w:p>
            <w:pPr>
              <w:pStyle w:val="41"/>
              <w:keepNext w:val="0"/>
              <w:keepLines w:val="0"/>
              <w:pageBreakBefore w:val="0"/>
              <w:widowControl w:val="0"/>
              <w:numPr>
                <w:ilvl w:val="0"/>
                <w:numId w:val="9"/>
              </w:numPr>
              <w:tabs>
                <w:tab w:val="clear" w:pos="312"/>
              </w:tabs>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本项目不允许供应商以合同分包形式进行投标。</w:t>
            </w:r>
          </w:p>
          <w:p>
            <w:pPr>
              <w:pStyle w:val="41"/>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禁止</w:t>
            </w:r>
            <w:r>
              <w:rPr>
                <w:rFonts w:hint="eastAsia" w:ascii="宋体" w:hAnsi="宋体" w:eastAsia="宋体" w:cs="宋体"/>
                <w:color w:val="auto"/>
                <w:sz w:val="21"/>
                <w:szCs w:val="21"/>
                <w:highlight w:val="none"/>
              </w:rPr>
              <w:t>中标人将任何</w:t>
            </w:r>
            <w:r>
              <w:rPr>
                <w:rFonts w:hint="eastAsia" w:ascii="宋体" w:hAnsi="宋体" w:eastAsia="宋体" w:cs="宋体"/>
                <w:color w:val="auto"/>
                <w:sz w:val="21"/>
                <w:szCs w:val="21"/>
                <w:highlight w:val="none"/>
                <w:lang w:eastAsia="zh-CN"/>
              </w:rPr>
              <w:t>采购合同</w:t>
            </w:r>
            <w:r>
              <w:rPr>
                <w:rFonts w:hint="eastAsia" w:ascii="宋体" w:hAnsi="宋体" w:eastAsia="宋体" w:cs="宋体"/>
                <w:color w:val="auto"/>
                <w:sz w:val="21"/>
                <w:szCs w:val="21"/>
                <w:highlight w:val="none"/>
              </w:rPr>
              <w:t>义务转包</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5"/>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lang w:val="zh-CN"/>
              </w:rPr>
            </w:pPr>
          </w:p>
        </w:tc>
        <w:tc>
          <w:tcPr>
            <w:tcW w:w="2009"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联合体投标</w:t>
            </w:r>
          </w:p>
          <w:p>
            <w:pPr>
              <w:pStyle w:val="45"/>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(实质性要求)</w:t>
            </w:r>
          </w:p>
        </w:tc>
        <w:tc>
          <w:tcPr>
            <w:tcW w:w="7171"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5"/>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lang w:val="zh-CN"/>
              </w:rPr>
            </w:pPr>
          </w:p>
        </w:tc>
        <w:tc>
          <w:tcPr>
            <w:tcW w:w="2009"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投标有效期</w:t>
            </w:r>
          </w:p>
          <w:p>
            <w:pPr>
              <w:pStyle w:val="45"/>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(实质性要求)</w:t>
            </w:r>
          </w:p>
        </w:tc>
        <w:tc>
          <w:tcPr>
            <w:tcW w:w="7171"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提交投标文件的截止之日起90日。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5"/>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lang w:val="zh-CN"/>
              </w:rPr>
            </w:pPr>
          </w:p>
        </w:tc>
        <w:tc>
          <w:tcPr>
            <w:tcW w:w="2009"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备选投标方案和报价</w:t>
            </w:r>
          </w:p>
          <w:p>
            <w:pPr>
              <w:pStyle w:val="45"/>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(实质性要求)</w:t>
            </w:r>
          </w:p>
        </w:tc>
        <w:tc>
          <w:tcPr>
            <w:tcW w:w="7171"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本项目不接受备选投标方案和多个报价。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5" w:hRule="atLeast"/>
          <w:jc w:val="center"/>
        </w:trPr>
        <w:tc>
          <w:tcPr>
            <w:tcW w:w="570" w:type="dxa"/>
            <w:vAlign w:val="center"/>
          </w:tcPr>
          <w:p>
            <w:pPr>
              <w:pStyle w:val="45"/>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lang w:eastAsia="zh-CN"/>
              </w:rPr>
            </w:pPr>
          </w:p>
        </w:tc>
        <w:tc>
          <w:tcPr>
            <w:tcW w:w="2009"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现场</w:t>
            </w:r>
            <w:r>
              <w:rPr>
                <w:rFonts w:hint="eastAsia" w:ascii="宋体" w:hAnsi="宋体" w:eastAsia="宋体" w:cs="宋体"/>
                <w:color w:val="auto"/>
                <w:sz w:val="21"/>
                <w:szCs w:val="21"/>
                <w:highlight w:val="none"/>
                <w:lang w:val="en-US" w:eastAsia="zh-CN"/>
              </w:rPr>
              <w:t>考察、标前</w:t>
            </w:r>
          </w:p>
          <w:p>
            <w:pPr>
              <w:pStyle w:val="45"/>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w:t>
            </w:r>
            <w:r>
              <w:rPr>
                <w:rFonts w:hint="eastAsia" w:ascii="宋体" w:hAnsi="宋体" w:eastAsia="宋体" w:cs="宋体"/>
                <w:color w:val="auto"/>
                <w:sz w:val="21"/>
                <w:szCs w:val="21"/>
                <w:highlight w:val="none"/>
                <w:lang w:val="en-US" w:eastAsia="zh-CN"/>
              </w:rPr>
              <w:t>会</w:t>
            </w:r>
          </w:p>
        </w:tc>
        <w:tc>
          <w:tcPr>
            <w:tcW w:w="7171"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采购人、采购代理机构可以视采购项目的具体情况，组织</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进行现场考察或</w:t>
            </w:r>
            <w:r>
              <w:rPr>
                <w:rFonts w:hint="eastAsia" w:ascii="宋体" w:hAnsi="宋体" w:eastAsia="宋体" w:cs="宋体"/>
                <w:color w:val="auto"/>
                <w:sz w:val="21"/>
                <w:szCs w:val="21"/>
                <w:highlight w:val="none"/>
                <w:lang w:eastAsia="zh-CN"/>
              </w:rPr>
              <w:t>开标</w:t>
            </w:r>
            <w:r>
              <w:rPr>
                <w:rFonts w:hint="eastAsia" w:ascii="宋体" w:hAnsi="宋体" w:eastAsia="宋体" w:cs="宋体"/>
                <w:color w:val="auto"/>
                <w:sz w:val="21"/>
                <w:szCs w:val="21"/>
                <w:highlight w:val="none"/>
              </w:rPr>
              <w:t>前答疑会，但不得单独或分别组织只有一个</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参加的现场考察和答疑会。若组织答疑会和现场考察以采购代理机构通知为准。</w:t>
            </w:r>
          </w:p>
          <w:p>
            <w:pPr>
              <w:pStyle w:val="41"/>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lang w:val="en-US" w:eastAsia="zh-CN"/>
              </w:rPr>
              <w:t>参加</w:t>
            </w:r>
            <w:r>
              <w:rPr>
                <w:rFonts w:hint="eastAsia" w:ascii="宋体" w:hAnsi="宋体" w:eastAsia="宋体" w:cs="宋体"/>
                <w:color w:val="auto"/>
                <w:sz w:val="21"/>
                <w:szCs w:val="21"/>
                <w:highlight w:val="none"/>
              </w:rPr>
              <w:t>答疑会</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现场考察所发生的一切费用由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lang w:val="en-US" w:eastAsia="zh-CN"/>
              </w:rPr>
              <w:t>自行</w:t>
            </w:r>
            <w:r>
              <w:rPr>
                <w:rFonts w:hint="eastAsia" w:ascii="宋体" w:hAnsi="宋体" w:eastAsia="宋体" w:cs="宋体"/>
                <w:color w:val="auto"/>
                <w:sz w:val="21"/>
                <w:szCs w:val="21"/>
                <w:highlight w:val="none"/>
              </w:rPr>
              <w:t>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5"/>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lang w:val="zh-CN" w:eastAsia="zh-CN"/>
              </w:rPr>
            </w:pPr>
          </w:p>
        </w:tc>
        <w:tc>
          <w:tcPr>
            <w:tcW w:w="2009" w:type="dxa"/>
            <w:vAlign w:val="center"/>
          </w:tcPr>
          <w:p>
            <w:pPr>
              <w:pStyle w:val="45"/>
              <w:keepNext w:val="0"/>
              <w:keepLines w:val="0"/>
              <w:pageBreakBefore w:val="0"/>
              <w:widowControl w:val="0"/>
              <w:kinsoku/>
              <w:overflowPunct/>
              <w:autoSpaceDE/>
              <w:autoSpaceDN/>
              <w:bidi w:val="0"/>
              <w:spacing w:line="360" w:lineRule="exact"/>
              <w:ind w:left="24" w:leftChars="10" w:right="24" w:rightChars="1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投标保证金</w:t>
            </w:r>
          </w:p>
          <w:p>
            <w:pPr>
              <w:pStyle w:val="45"/>
              <w:keepNext w:val="0"/>
              <w:keepLines w:val="0"/>
              <w:pageBreakBefore w:val="0"/>
              <w:widowControl w:val="0"/>
              <w:kinsoku/>
              <w:overflowPunct/>
              <w:autoSpaceDE/>
              <w:autoSpaceDN/>
              <w:bidi w:val="0"/>
              <w:spacing w:line="360" w:lineRule="exact"/>
              <w:ind w:left="24" w:leftChars="10" w:right="24" w:rightChars="10"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(实质性要求)</w:t>
            </w:r>
          </w:p>
        </w:tc>
        <w:tc>
          <w:tcPr>
            <w:tcW w:w="7171" w:type="dxa"/>
            <w:vAlign w:val="center"/>
          </w:tcPr>
          <w:p>
            <w:pPr>
              <w:pStyle w:val="41"/>
              <w:keepNext w:val="0"/>
              <w:keepLines w:val="0"/>
              <w:pageBreakBefore w:val="0"/>
              <w:widowControl w:val="0"/>
              <w:kinsoku/>
              <w:overflowPunct/>
              <w:autoSpaceDE/>
              <w:autoSpaceDN/>
              <w:bidi w:val="0"/>
              <w:spacing w:line="360" w:lineRule="exact"/>
              <w:ind w:left="24" w:leftChars="10" w:right="24" w:rightChars="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    额：人民币</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000元整(大写人民币</w:t>
            </w:r>
            <w:r>
              <w:rPr>
                <w:rFonts w:hint="eastAsia" w:ascii="宋体" w:hAnsi="宋体" w:eastAsia="宋体" w:cs="宋体"/>
                <w:color w:val="auto"/>
                <w:sz w:val="21"/>
                <w:szCs w:val="21"/>
                <w:highlight w:val="none"/>
                <w:lang w:val="en-US" w:eastAsia="zh-CN"/>
              </w:rPr>
              <w:t>陆千</w:t>
            </w:r>
            <w:r>
              <w:rPr>
                <w:rFonts w:hint="eastAsia" w:ascii="宋体" w:hAnsi="宋体" w:eastAsia="宋体" w:cs="宋体"/>
                <w:color w:val="auto"/>
                <w:sz w:val="21"/>
                <w:szCs w:val="21"/>
                <w:highlight w:val="none"/>
              </w:rPr>
              <w:t>元整)。</w:t>
            </w:r>
          </w:p>
          <w:p>
            <w:pPr>
              <w:pStyle w:val="41"/>
              <w:keepNext w:val="0"/>
              <w:keepLines w:val="0"/>
              <w:pageBreakBefore w:val="0"/>
              <w:widowControl w:val="0"/>
              <w:kinsoku/>
              <w:overflowPunct/>
              <w:autoSpaceDE/>
              <w:autoSpaceDN/>
              <w:bidi w:val="0"/>
              <w:spacing w:line="360" w:lineRule="exact"/>
              <w:ind w:left="24" w:leftChars="10" w:right="24" w:rightChars="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交款方式：</w:t>
            </w:r>
            <w:r>
              <w:rPr>
                <w:rFonts w:hint="eastAsia" w:ascii="宋体" w:hAnsi="宋体" w:eastAsia="宋体" w:cs="宋体"/>
                <w:color w:val="auto"/>
                <w:sz w:val="21"/>
                <w:szCs w:val="21"/>
                <w:highlight w:val="none"/>
                <w:lang w:val="zh-CN"/>
              </w:rPr>
              <w:t>以支票、汇票、本票或者</w:t>
            </w:r>
            <w:r>
              <w:rPr>
                <w:rFonts w:hint="eastAsia" w:ascii="宋体" w:hAnsi="宋体" w:eastAsia="宋体" w:cs="宋体"/>
                <w:color w:val="auto"/>
                <w:sz w:val="21"/>
                <w:szCs w:val="21"/>
                <w:highlight w:val="none"/>
              </w:rPr>
              <w:t>金融机构</w:t>
            </w:r>
            <w:r>
              <w:rPr>
                <w:rFonts w:hint="eastAsia" w:ascii="宋体" w:hAnsi="宋体" w:eastAsia="宋体" w:cs="宋体"/>
                <w:color w:val="auto"/>
                <w:sz w:val="21"/>
                <w:szCs w:val="21"/>
                <w:highlight w:val="none"/>
                <w:lang w:val="zh-CN"/>
              </w:rPr>
              <w:t>出具的保函</w:t>
            </w:r>
            <w:r>
              <w:rPr>
                <w:rFonts w:hint="eastAsia" w:ascii="宋体" w:hAnsi="宋体" w:eastAsia="宋体" w:cs="宋体"/>
                <w:color w:val="auto"/>
                <w:sz w:val="21"/>
                <w:szCs w:val="21"/>
                <w:highlight w:val="none"/>
              </w:rPr>
              <w:t>等</w:t>
            </w:r>
            <w:r>
              <w:rPr>
                <w:rFonts w:hint="eastAsia" w:ascii="宋体" w:hAnsi="宋体" w:eastAsia="宋体" w:cs="宋体"/>
                <w:color w:val="auto"/>
                <w:sz w:val="21"/>
                <w:szCs w:val="21"/>
                <w:highlight w:val="none"/>
                <w:lang w:val="zh-CN"/>
              </w:rPr>
              <w:t>非现金形式</w:t>
            </w:r>
            <w:r>
              <w:rPr>
                <w:rFonts w:hint="eastAsia" w:ascii="宋体" w:hAnsi="宋体" w:eastAsia="宋体" w:cs="宋体"/>
                <w:color w:val="auto"/>
                <w:sz w:val="21"/>
                <w:szCs w:val="21"/>
                <w:highlight w:val="none"/>
              </w:rPr>
              <w:t>提交</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包括网银转账，电汇等方式</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所有递交方式均以到账时间为准(若以保函方式提交的，必须在保证金交款截止时间前将加盖供应商公章的保函复印件提交至采购代理机构登记)[</w:t>
            </w:r>
            <w:r>
              <w:rPr>
                <w:rFonts w:hint="eastAsia" w:ascii="宋体" w:hAnsi="宋体" w:eastAsia="宋体" w:cs="宋体"/>
                <w:color w:val="auto"/>
                <w:sz w:val="21"/>
                <w:szCs w:val="21"/>
                <w:highlight w:val="none"/>
                <w:lang w:val="zh-CN"/>
              </w:rPr>
              <w:t>须注明项目编号，以便登记、查询，</w:t>
            </w:r>
            <w:r>
              <w:rPr>
                <w:rFonts w:hint="eastAsia" w:ascii="宋体" w:hAnsi="宋体" w:eastAsia="宋体" w:cs="宋体"/>
                <w:color w:val="auto"/>
                <w:sz w:val="21"/>
                <w:szCs w:val="21"/>
                <w:highlight w:val="none"/>
              </w:rPr>
              <w:t>未注明不影响其有效性]。</w:t>
            </w:r>
          </w:p>
          <w:p>
            <w:pPr>
              <w:pStyle w:val="41"/>
              <w:keepNext w:val="0"/>
              <w:keepLines w:val="0"/>
              <w:pageBreakBefore w:val="0"/>
              <w:widowControl w:val="0"/>
              <w:kinsoku/>
              <w:overflowPunct/>
              <w:autoSpaceDE/>
              <w:autoSpaceDN/>
              <w:bidi w:val="0"/>
              <w:spacing w:line="360" w:lineRule="exact"/>
              <w:ind w:left="24" w:leftChars="10" w:right="24" w:rightChars="1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收款单位：四川乾新招投标代理有限公司</w:t>
            </w:r>
          </w:p>
          <w:p>
            <w:pPr>
              <w:pStyle w:val="41"/>
              <w:keepNext w:val="0"/>
              <w:keepLines w:val="0"/>
              <w:pageBreakBefore w:val="0"/>
              <w:widowControl w:val="0"/>
              <w:kinsoku/>
              <w:overflowPunct/>
              <w:autoSpaceDE/>
              <w:autoSpaceDN/>
              <w:bidi w:val="0"/>
              <w:spacing w:line="360" w:lineRule="exact"/>
              <w:ind w:left="24" w:leftChars="10" w:right="24" w:rightChars="1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开 户 行：招商银行成都分行天府大道支行</w:t>
            </w:r>
          </w:p>
          <w:p>
            <w:pPr>
              <w:pStyle w:val="41"/>
              <w:keepNext w:val="0"/>
              <w:keepLines w:val="0"/>
              <w:pageBreakBefore w:val="0"/>
              <w:widowControl w:val="0"/>
              <w:kinsoku/>
              <w:overflowPunct/>
              <w:autoSpaceDE/>
              <w:autoSpaceDN/>
              <w:bidi w:val="0"/>
              <w:spacing w:line="360" w:lineRule="exact"/>
              <w:ind w:left="24" w:leftChars="10" w:right="24" w:rightChars="1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银行账号：1289 0768 1810 101</w:t>
            </w:r>
          </w:p>
          <w:p>
            <w:pPr>
              <w:pStyle w:val="41"/>
              <w:keepNext w:val="0"/>
              <w:keepLines w:val="0"/>
              <w:pageBreakBefore w:val="0"/>
              <w:widowControl w:val="0"/>
              <w:kinsoku/>
              <w:overflowPunct/>
              <w:autoSpaceDE/>
              <w:autoSpaceDN/>
              <w:bidi w:val="0"/>
              <w:spacing w:line="360" w:lineRule="exact"/>
              <w:ind w:left="24" w:leftChars="10" w:right="24" w:rightChars="1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交款截止时间：</w:t>
            </w:r>
            <w:r>
              <w:rPr>
                <w:rFonts w:hint="eastAsia" w:ascii="宋体" w:hAnsi="宋体" w:eastAsia="宋体" w:cs="宋体"/>
                <w:color w:val="auto"/>
                <w:sz w:val="21"/>
                <w:szCs w:val="21"/>
                <w:highlight w:val="none"/>
                <w:lang w:val="zh-CN"/>
              </w:rPr>
              <w:t>本项目</w:t>
            </w:r>
            <w:r>
              <w:rPr>
                <w:rFonts w:hint="eastAsia" w:ascii="宋体" w:hAnsi="宋体" w:eastAsia="宋体" w:cs="宋体"/>
                <w:color w:val="auto"/>
                <w:sz w:val="21"/>
                <w:szCs w:val="21"/>
                <w:highlight w:val="none"/>
              </w:rPr>
              <w:t>投标时间</w:t>
            </w:r>
            <w:r>
              <w:rPr>
                <w:rFonts w:hint="eastAsia" w:ascii="宋体" w:hAnsi="宋体" w:eastAsia="宋体" w:cs="宋体"/>
                <w:color w:val="auto"/>
                <w:sz w:val="21"/>
                <w:szCs w:val="21"/>
                <w:highlight w:val="none"/>
                <w:lang w:val="zh-CN"/>
              </w:rPr>
              <w:t>前(</w:t>
            </w:r>
            <w:r>
              <w:rPr>
                <w:rFonts w:hint="eastAsia" w:ascii="宋体" w:hAnsi="宋体" w:eastAsia="宋体" w:cs="宋体"/>
                <w:color w:val="auto"/>
                <w:sz w:val="21"/>
                <w:szCs w:val="21"/>
                <w:highlight w:val="none"/>
              </w:rPr>
              <w:t>投标保证金</w:t>
            </w:r>
            <w:r>
              <w:rPr>
                <w:rFonts w:hint="eastAsia" w:ascii="宋体" w:hAnsi="宋体" w:eastAsia="宋体" w:cs="宋体"/>
                <w:color w:val="auto"/>
                <w:sz w:val="21"/>
                <w:szCs w:val="21"/>
                <w:highlight w:val="none"/>
                <w:lang w:val="zh-CN"/>
              </w:rPr>
              <w:t>的交纳以到账时间为准)</w:t>
            </w:r>
          </w:p>
          <w:p>
            <w:pPr>
              <w:pStyle w:val="41"/>
              <w:keepNext w:val="0"/>
              <w:keepLines w:val="0"/>
              <w:pageBreakBefore w:val="0"/>
              <w:widowControl w:val="0"/>
              <w:kinsoku/>
              <w:overflowPunct/>
              <w:autoSpaceDE/>
              <w:autoSpaceDN/>
              <w:bidi w:val="0"/>
              <w:spacing w:line="360" w:lineRule="exact"/>
              <w:ind w:left="24" w:leftChars="10" w:right="24" w:rightChars="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供应商必须按照上述交款方式及指定银行账号进行办理，交款账户名称须与供应商名称一致，鼓励以保函代替保证金。若以其他交款方式(如现金存款方式)或非指定银行账号办理的一律不予接受，将被视为无效。</w:t>
            </w:r>
          </w:p>
          <w:p>
            <w:pPr>
              <w:pStyle w:val="41"/>
              <w:keepNext w:val="0"/>
              <w:keepLines w:val="0"/>
              <w:pageBreakBefore w:val="0"/>
              <w:widowControl w:val="0"/>
              <w:kinsoku/>
              <w:overflowPunct/>
              <w:autoSpaceDE/>
              <w:autoSpaceDN/>
              <w:bidi w:val="0"/>
              <w:spacing w:line="360" w:lineRule="exact"/>
              <w:ind w:left="24" w:leftChars="10" w:right="24" w:rightChars="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2.投标保证金的其他相关规定详见第二章第四节(八)条</w:t>
            </w:r>
            <w:r>
              <w:rPr>
                <w:rFonts w:hint="eastAsia" w:ascii="宋体" w:hAnsi="宋体" w:eastAsia="宋体" w:cs="宋体"/>
                <w:color w:val="auto"/>
                <w:sz w:val="21"/>
                <w:szCs w:val="21"/>
                <w:highlight w:val="none"/>
                <w:lang w:val="zh-CN"/>
              </w:rPr>
              <w:t>。</w:t>
            </w:r>
          </w:p>
          <w:p>
            <w:pPr>
              <w:pStyle w:val="41"/>
              <w:keepNext w:val="0"/>
              <w:keepLines w:val="0"/>
              <w:pageBreakBefore w:val="0"/>
              <w:widowControl w:val="0"/>
              <w:kinsoku/>
              <w:overflowPunct/>
              <w:autoSpaceDE/>
              <w:autoSpaceDN/>
              <w:bidi w:val="0"/>
              <w:spacing w:line="360" w:lineRule="exact"/>
              <w:ind w:left="24" w:leftChars="10" w:right="24" w:rightChars="10"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保证金查询电话：</w:t>
            </w:r>
            <w:r>
              <w:rPr>
                <w:rFonts w:hint="eastAsia" w:ascii="宋体" w:hAnsi="宋体" w:eastAsia="宋体" w:cs="宋体"/>
                <w:color w:val="auto"/>
                <w:sz w:val="21"/>
                <w:szCs w:val="21"/>
                <w:highlight w:val="none"/>
                <w:lang w:val="zh-CN"/>
              </w:rPr>
              <w:t>028-84638556、84882960转6</w:t>
            </w:r>
            <w:r>
              <w:rPr>
                <w:rFonts w:hint="eastAsia" w:ascii="宋体" w:hAnsi="宋体" w:eastAsia="宋体" w:cs="宋体"/>
                <w:color w:val="auto"/>
                <w:sz w:val="21"/>
                <w:szCs w:val="21"/>
                <w:highlight w:val="none"/>
              </w:rPr>
              <w:t>08或609。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5"/>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lang w:val="zh-CN" w:eastAsia="zh-CN"/>
              </w:rPr>
            </w:pPr>
          </w:p>
        </w:tc>
        <w:tc>
          <w:tcPr>
            <w:tcW w:w="2009" w:type="dxa"/>
            <w:vAlign w:val="center"/>
          </w:tcPr>
          <w:p>
            <w:pPr>
              <w:pStyle w:val="45"/>
              <w:keepNext w:val="0"/>
              <w:keepLines w:val="0"/>
              <w:pageBreakBefore w:val="0"/>
              <w:widowControl w:val="0"/>
              <w:kinsoku/>
              <w:overflowPunct/>
              <w:autoSpaceDE/>
              <w:autoSpaceDN/>
              <w:bidi w:val="0"/>
              <w:spacing w:line="360" w:lineRule="exact"/>
              <w:ind w:left="24" w:leftChars="10" w:right="24" w:rightChars="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保函</w:t>
            </w:r>
          </w:p>
          <w:p>
            <w:pPr>
              <w:pStyle w:val="45"/>
              <w:keepNext w:val="0"/>
              <w:keepLines w:val="0"/>
              <w:pageBreakBefore w:val="0"/>
              <w:widowControl w:val="0"/>
              <w:kinsoku/>
              <w:overflowPunct/>
              <w:autoSpaceDE/>
              <w:autoSpaceDN/>
              <w:bidi w:val="0"/>
              <w:spacing w:line="360" w:lineRule="exact"/>
              <w:ind w:left="24" w:leftChars="10" w:right="24" w:rightChars="10"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(实质性要求)</w:t>
            </w:r>
          </w:p>
        </w:tc>
        <w:tc>
          <w:tcPr>
            <w:tcW w:w="7171" w:type="dxa"/>
            <w:vAlign w:val="center"/>
          </w:tcPr>
          <w:p>
            <w:pPr>
              <w:pStyle w:val="41"/>
              <w:keepNext w:val="0"/>
              <w:keepLines w:val="0"/>
              <w:pageBreakBefore w:val="0"/>
              <w:widowControl w:val="0"/>
              <w:kinsoku/>
              <w:overflowPunct/>
              <w:autoSpaceDE/>
              <w:autoSpaceDN/>
              <w:bidi w:val="0"/>
              <w:spacing w:line="360" w:lineRule="exact"/>
              <w:ind w:left="24" w:leftChars="10" w:right="24" w:rightChars="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本招标文件中涉及的保函按以下规定执行：</w:t>
            </w:r>
          </w:p>
          <w:p>
            <w:pPr>
              <w:pStyle w:val="41"/>
              <w:keepNext w:val="0"/>
              <w:keepLines w:val="0"/>
              <w:pageBreakBefore w:val="0"/>
              <w:widowControl w:val="0"/>
              <w:kinsoku/>
              <w:overflowPunct/>
              <w:autoSpaceDE/>
              <w:autoSpaceDN/>
              <w:bidi w:val="0"/>
              <w:spacing w:line="360" w:lineRule="exact"/>
              <w:ind w:left="24" w:leftChars="10" w:right="24" w:rightChars="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1.保函应为金融机构出具，并有详细明显的验证方法；</w:t>
            </w:r>
          </w:p>
          <w:p>
            <w:pPr>
              <w:pStyle w:val="41"/>
              <w:keepNext w:val="0"/>
              <w:keepLines w:val="0"/>
              <w:pageBreakBefore w:val="0"/>
              <w:widowControl w:val="0"/>
              <w:kinsoku/>
              <w:overflowPunct/>
              <w:autoSpaceDE/>
              <w:autoSpaceDN/>
              <w:bidi w:val="0"/>
              <w:spacing w:line="360" w:lineRule="exact"/>
              <w:ind w:left="24" w:leftChars="10" w:right="24" w:rightChars="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2.保函的受益人为四川乾新招投标代理有限公司；</w:t>
            </w:r>
          </w:p>
          <w:p>
            <w:pPr>
              <w:pStyle w:val="41"/>
              <w:keepNext w:val="0"/>
              <w:keepLines w:val="0"/>
              <w:pageBreakBefore w:val="0"/>
              <w:widowControl w:val="0"/>
              <w:kinsoku/>
              <w:overflowPunct/>
              <w:autoSpaceDE/>
              <w:autoSpaceDN/>
              <w:bidi w:val="0"/>
              <w:spacing w:line="360" w:lineRule="exact"/>
              <w:ind w:left="24" w:leftChars="10" w:right="24" w:rightChars="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3.保函的内容应包括：供应商名称、项目名称、项目编号、保证金金额、保函的有效期、担保内容(即：采购代理机构将不予退还投标保证金的情形，详见本招标文件第二章第四节(八)条)；</w:t>
            </w:r>
          </w:p>
          <w:p>
            <w:pPr>
              <w:pStyle w:val="41"/>
              <w:keepNext w:val="0"/>
              <w:keepLines w:val="0"/>
              <w:pageBreakBefore w:val="0"/>
              <w:widowControl w:val="0"/>
              <w:kinsoku/>
              <w:overflowPunct/>
              <w:autoSpaceDE/>
              <w:autoSpaceDN/>
              <w:bidi w:val="0"/>
              <w:spacing w:line="360" w:lineRule="exact"/>
              <w:ind w:left="24" w:leftChars="10" w:right="24" w:rightChars="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4.保证金金额不少于《投标人须知表》中规定的金额；</w:t>
            </w:r>
          </w:p>
          <w:p>
            <w:pPr>
              <w:pStyle w:val="41"/>
              <w:keepNext w:val="0"/>
              <w:keepLines w:val="0"/>
              <w:pageBreakBefore w:val="0"/>
              <w:widowControl w:val="0"/>
              <w:kinsoku/>
              <w:overflowPunct/>
              <w:autoSpaceDE/>
              <w:autoSpaceDN/>
              <w:bidi w:val="0"/>
              <w:spacing w:line="360" w:lineRule="exact"/>
              <w:ind w:left="24" w:leftChars="10" w:right="24" w:rightChars="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5.保函的有效期应不少于招标文件规定的投标有效期；</w:t>
            </w:r>
          </w:p>
          <w:p>
            <w:pPr>
              <w:pStyle w:val="41"/>
              <w:keepNext w:val="0"/>
              <w:keepLines w:val="0"/>
              <w:pageBreakBefore w:val="0"/>
              <w:widowControl w:val="0"/>
              <w:kinsoku/>
              <w:overflowPunct/>
              <w:autoSpaceDE/>
              <w:autoSpaceDN/>
              <w:bidi w:val="0"/>
              <w:spacing w:line="360" w:lineRule="exact"/>
              <w:ind w:left="24" w:leftChars="10" w:right="24" w:rightChars="1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6.供应商未按上述要求提供保函的</w:t>
            </w:r>
            <w:r>
              <w:rPr>
                <w:rFonts w:hint="eastAsia" w:ascii="宋体" w:hAnsi="宋体" w:eastAsia="宋体" w:cs="宋体"/>
                <w:color w:val="auto"/>
                <w:sz w:val="21"/>
                <w:szCs w:val="21"/>
                <w:highlight w:val="none"/>
                <w:lang w:val="zh-CN"/>
              </w:rPr>
              <w:t>将被视为</w:t>
            </w:r>
            <w:r>
              <w:rPr>
                <w:rFonts w:hint="eastAsia" w:ascii="宋体" w:hAnsi="宋体" w:eastAsia="宋体" w:cs="宋体"/>
                <w:color w:val="auto"/>
                <w:sz w:val="21"/>
                <w:szCs w:val="21"/>
                <w:highlight w:val="none"/>
              </w:rPr>
              <w:t>无效投标</w:t>
            </w:r>
            <w:r>
              <w:rPr>
                <w:rFonts w:hint="eastAsia" w:ascii="宋体" w:hAnsi="宋体" w:eastAsia="宋体" w:cs="宋体"/>
                <w:color w:val="auto"/>
                <w:sz w:val="21"/>
                <w:szCs w:val="21"/>
                <w:highlight w:val="none"/>
                <w:lang w:val="zh-CN"/>
              </w:rPr>
              <w:t>。</w:t>
            </w:r>
          </w:p>
          <w:p>
            <w:pPr>
              <w:pStyle w:val="41"/>
              <w:keepNext w:val="0"/>
              <w:keepLines w:val="0"/>
              <w:pageBreakBefore w:val="0"/>
              <w:widowControl w:val="0"/>
              <w:kinsoku/>
              <w:overflowPunct/>
              <w:autoSpaceDE/>
              <w:autoSpaceDN/>
              <w:bidi w:val="0"/>
              <w:spacing w:line="360" w:lineRule="exact"/>
              <w:ind w:left="24" w:leftChars="10" w:right="24" w:rightChars="1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注：投标保证金与保函具有同等效力，投标人根据自身实际情况提供任意一项均可。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5"/>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lang w:val="zh-CN" w:eastAsia="zh-CN"/>
              </w:rPr>
            </w:pPr>
          </w:p>
        </w:tc>
        <w:tc>
          <w:tcPr>
            <w:tcW w:w="2009"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低于成本价不正当竞争预防措施</w:t>
            </w:r>
          </w:p>
          <w:p>
            <w:pPr>
              <w:pStyle w:val="45"/>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实质性要求</w:t>
            </w:r>
            <w:r>
              <w:rPr>
                <w:rFonts w:hint="eastAsia" w:ascii="宋体" w:hAnsi="宋体" w:eastAsia="宋体" w:cs="宋体"/>
                <w:color w:val="auto"/>
                <w:sz w:val="21"/>
                <w:szCs w:val="21"/>
                <w:highlight w:val="none"/>
                <w:lang w:eastAsia="zh-CN"/>
              </w:rPr>
              <w:t>)</w:t>
            </w:r>
          </w:p>
        </w:tc>
        <w:tc>
          <w:tcPr>
            <w:tcW w:w="7171"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若投标文件未附财务报告的，则还需提供完整的财务状况报告(含三表一附注)]。</w:t>
            </w:r>
          </w:p>
          <w:p>
            <w:pPr>
              <w:pStyle w:val="41"/>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41"/>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5"/>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lang w:val="zh-CN" w:eastAsia="zh-CN"/>
              </w:rPr>
            </w:pPr>
          </w:p>
        </w:tc>
        <w:tc>
          <w:tcPr>
            <w:tcW w:w="2009"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小微企业、监狱企业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残疾人福利性单位等政策执行</w:t>
            </w:r>
          </w:p>
        </w:tc>
        <w:tc>
          <w:tcPr>
            <w:tcW w:w="7171" w:type="dxa"/>
            <w:vAlign w:val="center"/>
          </w:tcPr>
          <w:p>
            <w:pPr>
              <w:pStyle w:val="41"/>
              <w:keepNext w:val="0"/>
              <w:keepLines w:val="0"/>
              <w:pageBreakBefore w:val="0"/>
              <w:widowControl w:val="0"/>
              <w:numPr>
                <w:ilvl w:val="0"/>
                <w:numId w:val="10"/>
              </w:numPr>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促进中小企业发展</w:t>
            </w:r>
            <w:r>
              <w:rPr>
                <w:rFonts w:hint="eastAsia" w:ascii="宋体" w:hAnsi="宋体" w:eastAsia="宋体" w:cs="宋体"/>
                <w:color w:val="auto"/>
                <w:sz w:val="21"/>
                <w:szCs w:val="21"/>
                <w:highlight w:val="none"/>
                <w:lang w:val="en-US" w:eastAsia="zh-CN"/>
              </w:rPr>
              <w:t>政策</w:t>
            </w:r>
          </w:p>
          <w:p>
            <w:pPr>
              <w:pStyle w:val="41"/>
              <w:keepNext w:val="0"/>
              <w:keepLines w:val="0"/>
              <w:pageBreakBefore w:val="0"/>
              <w:widowControl w:val="0"/>
              <w:numPr>
                <w:ilvl w:val="0"/>
                <w:numId w:val="11"/>
              </w:numPr>
              <w:tabs>
                <w:tab w:val="clear" w:pos="312"/>
              </w:tabs>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定义：</w:t>
            </w:r>
            <w:r>
              <w:rPr>
                <w:rFonts w:hint="eastAsia" w:ascii="宋体" w:hAnsi="宋体" w:eastAsia="宋体" w:cs="宋体"/>
                <w:color w:val="auto"/>
                <w:sz w:val="21"/>
                <w:szCs w:val="21"/>
                <w:highlight w:val="none"/>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采购活动中视同中小企业。</w:t>
            </w:r>
          </w:p>
          <w:p>
            <w:pPr>
              <w:pStyle w:val="41"/>
              <w:keepNext w:val="0"/>
              <w:keepLines w:val="0"/>
              <w:pageBreakBefore w:val="0"/>
              <w:widowControl w:val="0"/>
              <w:numPr>
                <w:ilvl w:val="0"/>
                <w:numId w:val="11"/>
              </w:numPr>
              <w:tabs>
                <w:tab w:val="clear" w:pos="312"/>
              </w:tabs>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适用情形：</w:t>
            </w:r>
            <w:r>
              <w:rPr>
                <w:rFonts w:hint="eastAsia" w:ascii="宋体" w:hAnsi="宋体" w:eastAsia="宋体" w:cs="宋体"/>
                <w:color w:val="auto"/>
                <w:sz w:val="21"/>
                <w:szCs w:val="21"/>
                <w:highlight w:val="none"/>
                <w:lang w:val="en-US" w:eastAsia="zh-CN"/>
              </w:rPr>
              <w:t>(1)在货物采购项目中，货物由中小企业制造，即货物由中小企业生产且使用该中小企业商号或者注册商标；</w:t>
            </w:r>
          </w:p>
          <w:p>
            <w:pPr>
              <w:pStyle w:val="41"/>
              <w:keepNext w:val="0"/>
              <w:keepLines w:val="0"/>
              <w:pageBreakBefore w:val="0"/>
              <w:widowControl w:val="0"/>
              <w:numPr>
                <w:ilvl w:val="0"/>
                <w:numId w:val="0"/>
              </w:numPr>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(2)在货物采购项目中，供应商提供的货物既有中小企业制造货物，也有大型企业制造货物的，不享受本办法规定的中小企业扶持政策。</w:t>
            </w:r>
          </w:p>
          <w:p>
            <w:pPr>
              <w:pStyle w:val="41"/>
              <w:keepNext w:val="0"/>
              <w:keepLines w:val="0"/>
              <w:pageBreakBefore w:val="0"/>
              <w:widowControl w:val="0"/>
              <w:numPr>
                <w:ilvl w:val="0"/>
                <w:numId w:val="0"/>
              </w:numPr>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注：关于中小微型企业划分标准详见附件。</w:t>
            </w:r>
          </w:p>
          <w:p>
            <w:pPr>
              <w:pStyle w:val="41"/>
              <w:keepNext w:val="0"/>
              <w:keepLines w:val="0"/>
              <w:pageBreakBefore w:val="0"/>
              <w:widowControl w:val="0"/>
              <w:numPr>
                <w:ilvl w:val="0"/>
                <w:numId w:val="11"/>
              </w:numPr>
              <w:tabs>
                <w:tab w:val="clear" w:pos="312"/>
              </w:tabs>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执行方式：</w:t>
            </w:r>
          </w:p>
          <w:p>
            <w:pPr>
              <w:pStyle w:val="41"/>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pacing w:val="-8"/>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参照</w:t>
            </w:r>
            <w:r>
              <w:rPr>
                <w:rFonts w:hint="eastAsia" w:ascii="宋体" w:hAnsi="宋体" w:eastAsia="宋体" w:cs="宋体"/>
                <w:color w:val="auto"/>
                <w:sz w:val="21"/>
                <w:szCs w:val="21"/>
                <w:highlight w:val="none"/>
              </w:rPr>
              <w:t>关于印发《政府采购促进中小企业发展管理办法》的通知</w:t>
            </w:r>
            <w:r>
              <w:rPr>
                <w:rFonts w:hint="eastAsia" w:ascii="宋体" w:hAnsi="宋体" w:eastAsia="宋体" w:cs="宋体"/>
                <w:color w:val="auto"/>
                <w:sz w:val="21"/>
                <w:szCs w:val="21"/>
                <w:highlight w:val="none"/>
                <w:lang w:eastAsia="zh-CN"/>
              </w:rPr>
              <w:t>(财库〔2020〕46号)、财政部《关于进一步加大政府采购支持中小企业力度的通知》(财库〔2022〕19号)、四川省财政厅关于转发财政部 《关于进一步加大政府采购支持中小企业力度的通知》的通知</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川财采〔2022〕78号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成都市财政局关于转发财政部《关于进一步加大政府采购支持中小企业力度的通知》的通知(成财采发〔2022〕19号)</w:t>
            </w:r>
            <w:r>
              <w:rPr>
                <w:rFonts w:hint="eastAsia" w:ascii="宋体" w:hAnsi="宋体" w:eastAsia="宋体" w:cs="宋体"/>
                <w:color w:val="auto"/>
                <w:sz w:val="21"/>
                <w:szCs w:val="21"/>
                <w:highlight w:val="none"/>
              </w:rPr>
              <w:t>的规定，对小型和微型企业的价格给予</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的价格扣除，用扣除后的价格参与评审</w:t>
            </w:r>
            <w:r>
              <w:rPr>
                <w:rFonts w:hint="eastAsia" w:ascii="宋体" w:hAnsi="宋体" w:eastAsia="宋体" w:cs="宋体"/>
                <w:color w:val="auto"/>
                <w:spacing w:val="-8"/>
                <w:sz w:val="21"/>
                <w:szCs w:val="21"/>
                <w:highlight w:val="none"/>
              </w:rPr>
              <w:t>。</w:t>
            </w:r>
          </w:p>
          <w:p>
            <w:pPr>
              <w:pStyle w:val="41"/>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lang w:val="en-US" w:eastAsia="zh-CN"/>
              </w:rPr>
              <w:t>2</w:t>
            </w:r>
            <w:r>
              <w:rPr>
                <w:rFonts w:hint="eastAsia" w:ascii="宋体" w:hAnsi="宋体" w:eastAsia="宋体" w:cs="宋体"/>
                <w:color w:val="auto"/>
                <w:spacing w:val="-8"/>
                <w:sz w:val="21"/>
                <w:szCs w:val="21"/>
                <w:highlight w:val="none"/>
                <w:lang w:eastAsia="zh-CN"/>
              </w:rPr>
              <w:t>)中小企业参加采购活动，应当出具《中小企业声明函》(</w:t>
            </w:r>
            <w:r>
              <w:rPr>
                <w:rFonts w:hint="eastAsia" w:ascii="宋体" w:hAnsi="宋体" w:eastAsia="宋体" w:cs="宋体"/>
                <w:color w:val="auto"/>
                <w:spacing w:val="-8"/>
                <w:sz w:val="21"/>
                <w:szCs w:val="21"/>
                <w:highlight w:val="none"/>
                <w:lang w:val="en-US" w:eastAsia="zh-CN"/>
              </w:rPr>
              <w:t>格式详见招标文件</w:t>
            </w:r>
            <w:r>
              <w:rPr>
                <w:rFonts w:hint="eastAsia" w:ascii="宋体" w:hAnsi="宋体" w:eastAsia="宋体" w:cs="宋体"/>
                <w:color w:val="auto"/>
                <w:spacing w:val="-8"/>
                <w:sz w:val="21"/>
                <w:szCs w:val="21"/>
                <w:highlight w:val="none"/>
                <w:lang w:eastAsia="zh-CN"/>
              </w:rPr>
              <w:t>)，否则不得享受相关中小企业扶持政策</w:t>
            </w:r>
            <w:r>
              <w:rPr>
                <w:rFonts w:hint="eastAsia" w:ascii="宋体" w:hAnsi="宋体" w:eastAsia="宋体" w:cs="宋体"/>
                <w:color w:val="auto"/>
                <w:spacing w:val="-8"/>
                <w:sz w:val="21"/>
                <w:szCs w:val="21"/>
                <w:highlight w:val="none"/>
              </w:rPr>
              <w:t>。</w:t>
            </w:r>
          </w:p>
          <w:p>
            <w:pPr>
              <w:pStyle w:val="41"/>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(3)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pPr>
              <w:pStyle w:val="41"/>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二、监狱企业价格扣除</w:t>
            </w:r>
          </w:p>
          <w:p>
            <w:pPr>
              <w:pStyle w:val="41"/>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参照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财政部</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司法部关于政府采购支持监狱企业发展有关问题的通知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财库〔2014〕68号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的规定，在</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活动中，监狱企业视同小型、微型企业，享受预留份额、评审中价格扣除等促进中小企业发展的政策。</w:t>
            </w:r>
          </w:p>
          <w:p>
            <w:pPr>
              <w:pStyle w:val="41"/>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2.本项目对监狱企业</w:t>
            </w:r>
            <w:r>
              <w:rPr>
                <w:rFonts w:hint="eastAsia" w:ascii="宋体" w:hAnsi="宋体" w:eastAsia="宋体" w:cs="宋体"/>
                <w:color w:val="auto"/>
                <w:sz w:val="21"/>
                <w:szCs w:val="21"/>
                <w:highlight w:val="none"/>
                <w:lang w:eastAsia="zh-CN"/>
              </w:rPr>
              <w:t>参与投标</w:t>
            </w:r>
            <w:r>
              <w:rPr>
                <w:rFonts w:hint="eastAsia" w:ascii="宋体" w:hAnsi="宋体" w:eastAsia="宋体" w:cs="宋体"/>
                <w:color w:val="auto"/>
                <w:sz w:val="21"/>
                <w:szCs w:val="21"/>
                <w:highlight w:val="none"/>
              </w:rPr>
              <w:t>的价格给予</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的扣除，用扣除后的价格参与评审。</w:t>
            </w:r>
          </w:p>
          <w:p>
            <w:pPr>
              <w:pStyle w:val="41"/>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3.监狱企业参加</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活动时，应当提供由省级以上监狱管理局、戒毒管理局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含新疆生产建设兵团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出具的属于监狱企业的证明文件。</w:t>
            </w:r>
          </w:p>
          <w:p>
            <w:pPr>
              <w:pStyle w:val="41"/>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监狱企业视同小型、微型企业</w:t>
            </w:r>
            <w:r>
              <w:rPr>
                <w:rFonts w:hint="eastAsia" w:ascii="宋体" w:hAnsi="宋体" w:eastAsia="宋体" w:cs="宋体"/>
                <w:color w:val="auto"/>
                <w:sz w:val="21"/>
                <w:szCs w:val="21"/>
                <w:highlight w:val="none"/>
                <w:lang w:val="en-US" w:eastAsia="zh-CN"/>
              </w:rPr>
              <w:t>，不重复享受政策。</w:t>
            </w:r>
          </w:p>
          <w:p>
            <w:pPr>
              <w:pStyle w:val="41"/>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三、残疾人福利性单位</w:t>
            </w:r>
            <w:r>
              <w:rPr>
                <w:rFonts w:hint="eastAsia" w:ascii="宋体" w:hAnsi="宋体" w:eastAsia="宋体" w:cs="宋体"/>
                <w:color w:val="auto"/>
                <w:sz w:val="21"/>
                <w:szCs w:val="21"/>
                <w:highlight w:val="none"/>
              </w:rPr>
              <w:t>价格扣除</w:t>
            </w:r>
          </w:p>
          <w:p>
            <w:pPr>
              <w:pStyle w:val="41"/>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参照《三部门联合发布关于促进残疾人就业政府采购政策的通知》(财库〔2017〕141号)的要求，在采购活动中，残疾人福利性单位视同小型、微型企业，享受预留份额、评审中价格扣除等促进中小企业发展的政策。</w:t>
            </w:r>
          </w:p>
          <w:p>
            <w:pPr>
              <w:pStyle w:val="41"/>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2.本项目对残疾人福利性单位参与投标的价格给予</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lang w:val="en-US" w:eastAsia="zh-CN"/>
              </w:rPr>
              <w:t>的扣除，用扣除后的价格参与评审。</w:t>
            </w:r>
          </w:p>
          <w:p>
            <w:pPr>
              <w:pStyle w:val="41"/>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3.残疾人福利性单位参加采购活动时，应当提供本通知规定的《残疾人福利性单位声明函》。</w:t>
            </w:r>
          </w:p>
          <w:p>
            <w:pPr>
              <w:pStyle w:val="41"/>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4.供应商提供的《残疾人福利性单位声明函》与事实不符的，参照《政府采购法》第七十七条第一款的规定追究法律责任。</w:t>
            </w:r>
          </w:p>
          <w:p>
            <w:pPr>
              <w:pStyle w:val="41"/>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5.残疾人福利性单位</w:t>
            </w:r>
            <w:r>
              <w:rPr>
                <w:rFonts w:hint="eastAsia" w:ascii="宋体" w:hAnsi="宋体" w:eastAsia="宋体" w:cs="宋体"/>
                <w:color w:val="auto"/>
                <w:sz w:val="21"/>
                <w:szCs w:val="21"/>
                <w:highlight w:val="none"/>
              </w:rPr>
              <w:t>视同</w:t>
            </w:r>
            <w:r>
              <w:rPr>
                <w:rFonts w:hint="eastAsia" w:ascii="宋体" w:hAnsi="宋体" w:eastAsia="宋体" w:cs="宋体"/>
                <w:color w:val="auto"/>
                <w:sz w:val="21"/>
                <w:szCs w:val="21"/>
                <w:highlight w:val="none"/>
                <w:lang w:val="en-US" w:eastAsia="zh-CN"/>
              </w:rPr>
              <w:t>小型、微型企业，不重复享受政策。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5"/>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lang w:val="zh-CN" w:eastAsia="zh-CN"/>
              </w:rPr>
            </w:pPr>
          </w:p>
        </w:tc>
        <w:tc>
          <w:tcPr>
            <w:tcW w:w="2009"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品牌或者供应商</w:t>
            </w:r>
          </w:p>
          <w:p>
            <w:pPr>
              <w:pStyle w:val="45"/>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(如涉及)</w:t>
            </w:r>
          </w:p>
        </w:tc>
        <w:tc>
          <w:tcPr>
            <w:tcW w:w="7171"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若采购文件涉及品牌或者供应商，其目的是为了准确清楚说明采购项目的技术标准和要求，其意思表示为“参照或相当于”该品牌或者供应商，其品牌或供应商具有可替代性。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5"/>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lang w:val="zh-CN" w:eastAsia="zh-CN"/>
              </w:rPr>
            </w:pPr>
          </w:p>
        </w:tc>
        <w:tc>
          <w:tcPr>
            <w:tcW w:w="2009"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节能产品、环境标志产品、无线局域网产品采购政策</w:t>
            </w:r>
          </w:p>
        </w:tc>
        <w:tc>
          <w:tcPr>
            <w:tcW w:w="7171"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本项目不涉及节能产品、环境标志产品、无线局域网产品，故不在招标文件中体现相关政策。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5"/>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lang w:val="zh-CN" w:eastAsia="zh-CN"/>
              </w:rPr>
            </w:pPr>
          </w:p>
        </w:tc>
        <w:tc>
          <w:tcPr>
            <w:tcW w:w="2009"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其他强制性规定</w:t>
            </w:r>
          </w:p>
          <w:p>
            <w:pPr>
              <w:pStyle w:val="45"/>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(如涉及时作为实质性要求)</w:t>
            </w:r>
          </w:p>
        </w:tc>
        <w:tc>
          <w:tcPr>
            <w:tcW w:w="7171"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国家或行业主管部门对采购产品的技术标准、质量标准和资格资质条件等有强制性规定的，必须符合其要求。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5"/>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lang w:val="zh-CN" w:eastAsia="zh-CN"/>
              </w:rPr>
            </w:pPr>
          </w:p>
        </w:tc>
        <w:tc>
          <w:tcPr>
            <w:tcW w:w="2009"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评</w:t>
            </w:r>
            <w:r>
              <w:rPr>
                <w:rFonts w:hint="eastAsia" w:ascii="宋体" w:hAnsi="宋体" w:eastAsia="宋体" w:cs="宋体"/>
                <w:color w:val="auto"/>
                <w:sz w:val="21"/>
                <w:szCs w:val="21"/>
                <w:highlight w:val="none"/>
              </w:rPr>
              <w:t>审</w:t>
            </w:r>
            <w:r>
              <w:rPr>
                <w:rFonts w:hint="eastAsia" w:ascii="宋体" w:hAnsi="宋体" w:eastAsia="宋体" w:cs="宋体"/>
                <w:color w:val="auto"/>
                <w:sz w:val="21"/>
                <w:szCs w:val="21"/>
                <w:highlight w:val="none"/>
                <w:lang w:val="en-US" w:eastAsia="zh-CN"/>
              </w:rPr>
              <w:t>结果</w:t>
            </w:r>
            <w:r>
              <w:rPr>
                <w:rFonts w:hint="eastAsia" w:ascii="宋体" w:hAnsi="宋体" w:eastAsia="宋体" w:cs="宋体"/>
                <w:color w:val="auto"/>
                <w:sz w:val="21"/>
                <w:szCs w:val="21"/>
                <w:highlight w:val="none"/>
                <w:lang w:val="zh-CN"/>
              </w:rPr>
              <w:t>的公告</w:t>
            </w:r>
          </w:p>
        </w:tc>
        <w:tc>
          <w:tcPr>
            <w:tcW w:w="7171"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评审结果将在</w:t>
            </w:r>
            <w:r>
              <w:rPr>
                <w:rFonts w:hint="eastAsia" w:ascii="宋体" w:hAnsi="宋体" w:eastAsia="宋体" w:cs="宋体"/>
                <w:color w:val="auto"/>
                <w:sz w:val="21"/>
                <w:szCs w:val="21"/>
                <w:highlight w:val="none"/>
                <w:lang w:eastAsia="zh-CN"/>
              </w:rPr>
              <w:t>“中国招标投标公共服务平台”</w:t>
            </w:r>
            <w:r>
              <w:rPr>
                <w:rFonts w:hint="eastAsia" w:ascii="宋体" w:hAnsi="宋体" w:eastAsia="宋体" w:cs="宋体"/>
                <w:color w:val="auto"/>
                <w:sz w:val="21"/>
                <w:szCs w:val="21"/>
                <w:highlight w:val="none"/>
              </w:rPr>
              <w:t>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5"/>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lang w:val="zh-CN" w:eastAsia="zh-CN"/>
              </w:rPr>
            </w:pPr>
          </w:p>
        </w:tc>
        <w:tc>
          <w:tcPr>
            <w:tcW w:w="2009"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中标通知书领取</w:t>
            </w:r>
          </w:p>
        </w:tc>
        <w:tc>
          <w:tcPr>
            <w:tcW w:w="7171"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采购代理机构在中标人确定后2个工作日内，在“中国招标投标公共服务平台”发布中标公告，同时采购代理机构将中标通知书发至中标人。</w:t>
            </w:r>
          </w:p>
          <w:p>
            <w:pPr>
              <w:pStyle w:val="41"/>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联系人：</w:t>
            </w:r>
            <w:r>
              <w:rPr>
                <w:rFonts w:hint="eastAsia" w:ascii="宋体" w:hAnsi="宋体" w:eastAsia="宋体" w:cs="宋体"/>
                <w:color w:val="auto"/>
                <w:sz w:val="21"/>
                <w:szCs w:val="21"/>
                <w:highlight w:val="none"/>
                <w:lang w:val="en-US" w:eastAsia="zh-CN"/>
              </w:rPr>
              <w:t>张虹</w:t>
            </w:r>
          </w:p>
          <w:p>
            <w:pPr>
              <w:pStyle w:val="41"/>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联系电话：028-61375575、62600820、62630990转601或602</w:t>
            </w:r>
          </w:p>
          <w:p>
            <w:pPr>
              <w:pStyle w:val="41"/>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地址：</w:t>
            </w:r>
            <w:r>
              <w:rPr>
                <w:rFonts w:hint="eastAsia" w:ascii="宋体" w:hAnsi="宋体" w:eastAsia="宋体" w:cs="宋体"/>
                <w:color w:val="auto"/>
                <w:sz w:val="21"/>
                <w:szCs w:val="21"/>
                <w:highlight w:val="none"/>
                <w:lang w:eastAsia="zh-CN"/>
              </w:rPr>
              <w:t>成都市高新区吉庆三路333号蜀都中心二期一号楼一单元401号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9" w:hRule="atLeast"/>
          <w:jc w:val="center"/>
        </w:trPr>
        <w:tc>
          <w:tcPr>
            <w:tcW w:w="570" w:type="dxa"/>
            <w:vAlign w:val="center"/>
          </w:tcPr>
          <w:p>
            <w:pPr>
              <w:pStyle w:val="45"/>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lang w:val="zh-CN" w:eastAsia="zh-CN"/>
              </w:rPr>
            </w:pPr>
          </w:p>
        </w:tc>
        <w:tc>
          <w:tcPr>
            <w:tcW w:w="2009"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代理</w:t>
            </w:r>
          </w:p>
          <w:p>
            <w:pPr>
              <w:pStyle w:val="45"/>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服务费</w:t>
            </w:r>
          </w:p>
        </w:tc>
        <w:tc>
          <w:tcPr>
            <w:tcW w:w="7171" w:type="dxa"/>
            <w:vAlign w:val="center"/>
          </w:tcPr>
          <w:p>
            <w:pPr>
              <w:pStyle w:val="41"/>
              <w:keepNext w:val="0"/>
              <w:keepLines w:val="0"/>
              <w:pageBreakBefore w:val="0"/>
              <w:widowControl w:val="0"/>
              <w:kinsoku/>
              <w:overflowPunct/>
              <w:autoSpaceDE/>
              <w:autoSpaceDN/>
              <w:bidi w:val="0"/>
              <w:spacing w:line="360" w:lineRule="exact"/>
              <w:ind w:left="24" w:leftChars="10" w:right="24" w:rightChars="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1.招标代理服务费以成本加合理利润为原则，以实际中标金额为计费基数，按照下列收费标准计算出收费基准价格后下浮20%收取。</w:t>
            </w:r>
          </w:p>
          <w:p>
            <w:pPr>
              <w:pStyle w:val="41"/>
              <w:keepNext w:val="0"/>
              <w:keepLines w:val="0"/>
              <w:pageBreakBefore w:val="0"/>
              <w:widowControl w:val="0"/>
              <w:kinsoku/>
              <w:overflowPunct/>
              <w:autoSpaceDE/>
              <w:autoSpaceDN/>
              <w:bidi w:val="0"/>
              <w:spacing w:line="360" w:lineRule="exact"/>
              <w:ind w:left="24" w:leftChars="10" w:right="24" w:rightChars="1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.代理服务费率标准和代理服务费计算方法</w:t>
            </w:r>
          </w:p>
          <w:tbl>
            <w:tblPr>
              <w:tblStyle w:val="21"/>
              <w:tblW w:w="5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90"/>
              <w:gridCol w:w="1180"/>
              <w:gridCol w:w="118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1"/>
                    <w:keepNext w:val="0"/>
                    <w:keepLines w:val="0"/>
                    <w:pageBreakBefore w:val="0"/>
                    <w:widowControl w:val="0"/>
                    <w:kinsoku/>
                    <w:overflowPunct/>
                    <w:autoSpaceDE/>
                    <w:autoSpaceDN/>
                    <w:bidi w:val="0"/>
                    <w:spacing w:line="360" w:lineRule="exact"/>
                    <w:ind w:left="24" w:leftChars="10" w:right="24" w:rightChars="1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金额(万元)</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类型</w:t>
                  </w:r>
                </w:p>
              </w:tc>
              <w:tc>
                <w:tcPr>
                  <w:tcW w:w="1180" w:type="dxa"/>
                  <w:vAlign w:val="center"/>
                </w:tcPr>
                <w:p>
                  <w:pPr>
                    <w:pStyle w:val="41"/>
                    <w:keepNext w:val="0"/>
                    <w:keepLines w:val="0"/>
                    <w:pageBreakBefore w:val="0"/>
                    <w:widowControl w:val="0"/>
                    <w:kinsoku/>
                    <w:overflowPunct/>
                    <w:autoSpaceDE/>
                    <w:autoSpaceDN/>
                    <w:bidi w:val="0"/>
                    <w:spacing w:line="360" w:lineRule="exact"/>
                    <w:ind w:left="24" w:leftChars="10" w:right="24" w:rightChars="1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货物类</w:t>
                  </w:r>
                </w:p>
              </w:tc>
              <w:tc>
                <w:tcPr>
                  <w:tcW w:w="1180" w:type="dxa"/>
                  <w:vAlign w:val="center"/>
                </w:tcPr>
                <w:p>
                  <w:pPr>
                    <w:pStyle w:val="41"/>
                    <w:keepNext w:val="0"/>
                    <w:keepLines w:val="0"/>
                    <w:pageBreakBefore w:val="0"/>
                    <w:widowControl w:val="0"/>
                    <w:kinsoku/>
                    <w:overflowPunct/>
                    <w:autoSpaceDE/>
                    <w:autoSpaceDN/>
                    <w:bidi w:val="0"/>
                    <w:spacing w:line="360" w:lineRule="exact"/>
                    <w:ind w:left="24" w:leftChars="10" w:right="24" w:rightChars="1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服务类</w:t>
                  </w:r>
                </w:p>
              </w:tc>
              <w:tc>
                <w:tcPr>
                  <w:tcW w:w="1180" w:type="dxa"/>
                  <w:vAlign w:val="center"/>
                </w:tcPr>
                <w:p>
                  <w:pPr>
                    <w:pStyle w:val="41"/>
                    <w:keepNext w:val="0"/>
                    <w:keepLines w:val="0"/>
                    <w:pageBreakBefore w:val="0"/>
                    <w:widowControl w:val="0"/>
                    <w:kinsoku/>
                    <w:overflowPunct/>
                    <w:autoSpaceDE/>
                    <w:autoSpaceDN/>
                    <w:bidi w:val="0"/>
                    <w:spacing w:line="360" w:lineRule="exact"/>
                    <w:ind w:left="24" w:leftChars="10" w:right="24" w:rightChars="1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1"/>
                    <w:keepNext w:val="0"/>
                    <w:keepLines w:val="0"/>
                    <w:pageBreakBefore w:val="0"/>
                    <w:widowControl w:val="0"/>
                    <w:kinsoku/>
                    <w:overflowPunct/>
                    <w:autoSpaceDE/>
                    <w:autoSpaceDN/>
                    <w:bidi w:val="0"/>
                    <w:spacing w:line="360" w:lineRule="exact"/>
                    <w:ind w:left="24" w:leftChars="10" w:right="24" w:rightChars="1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100以下</w:t>
                  </w:r>
                </w:p>
              </w:tc>
              <w:tc>
                <w:tcPr>
                  <w:tcW w:w="1180" w:type="dxa"/>
                  <w:vAlign w:val="center"/>
                </w:tcPr>
                <w:p>
                  <w:pPr>
                    <w:pStyle w:val="41"/>
                    <w:keepNext w:val="0"/>
                    <w:keepLines w:val="0"/>
                    <w:pageBreakBefore w:val="0"/>
                    <w:widowControl w:val="0"/>
                    <w:kinsoku/>
                    <w:overflowPunct/>
                    <w:autoSpaceDE/>
                    <w:autoSpaceDN/>
                    <w:bidi w:val="0"/>
                    <w:spacing w:line="360" w:lineRule="exact"/>
                    <w:ind w:left="24" w:leftChars="10" w:right="24" w:rightChars="1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1.5%</w:t>
                  </w:r>
                </w:p>
              </w:tc>
              <w:tc>
                <w:tcPr>
                  <w:tcW w:w="1180" w:type="dxa"/>
                  <w:vAlign w:val="center"/>
                </w:tcPr>
                <w:p>
                  <w:pPr>
                    <w:pStyle w:val="41"/>
                    <w:keepNext w:val="0"/>
                    <w:keepLines w:val="0"/>
                    <w:pageBreakBefore w:val="0"/>
                    <w:widowControl w:val="0"/>
                    <w:kinsoku/>
                    <w:overflowPunct/>
                    <w:autoSpaceDE/>
                    <w:autoSpaceDN/>
                    <w:bidi w:val="0"/>
                    <w:spacing w:line="360" w:lineRule="exact"/>
                    <w:ind w:left="24" w:leftChars="10" w:right="24" w:rightChars="1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1.5%</w:t>
                  </w:r>
                </w:p>
              </w:tc>
              <w:tc>
                <w:tcPr>
                  <w:tcW w:w="1180" w:type="dxa"/>
                  <w:vAlign w:val="center"/>
                </w:tcPr>
                <w:p>
                  <w:pPr>
                    <w:pStyle w:val="41"/>
                    <w:keepNext w:val="0"/>
                    <w:keepLines w:val="0"/>
                    <w:pageBreakBefore w:val="0"/>
                    <w:widowControl w:val="0"/>
                    <w:kinsoku/>
                    <w:overflowPunct/>
                    <w:autoSpaceDE/>
                    <w:autoSpaceDN/>
                    <w:bidi w:val="0"/>
                    <w:spacing w:line="360" w:lineRule="exact"/>
                    <w:ind w:left="24" w:leftChars="10" w:right="24" w:rightChars="1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1"/>
                    <w:keepNext w:val="0"/>
                    <w:keepLines w:val="0"/>
                    <w:pageBreakBefore w:val="0"/>
                    <w:widowControl w:val="0"/>
                    <w:kinsoku/>
                    <w:overflowPunct/>
                    <w:autoSpaceDE/>
                    <w:autoSpaceDN/>
                    <w:bidi w:val="0"/>
                    <w:spacing w:line="360" w:lineRule="exact"/>
                    <w:ind w:left="24" w:leftChars="10" w:right="24" w:rightChars="1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100－500</w:t>
                  </w:r>
                </w:p>
              </w:tc>
              <w:tc>
                <w:tcPr>
                  <w:tcW w:w="1180" w:type="dxa"/>
                  <w:vAlign w:val="center"/>
                </w:tcPr>
                <w:p>
                  <w:pPr>
                    <w:pStyle w:val="41"/>
                    <w:keepNext w:val="0"/>
                    <w:keepLines w:val="0"/>
                    <w:pageBreakBefore w:val="0"/>
                    <w:widowControl w:val="0"/>
                    <w:kinsoku/>
                    <w:overflowPunct/>
                    <w:autoSpaceDE/>
                    <w:autoSpaceDN/>
                    <w:bidi w:val="0"/>
                    <w:spacing w:line="360" w:lineRule="exact"/>
                    <w:ind w:left="24" w:leftChars="10" w:right="24" w:rightChars="1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1.1%</w:t>
                  </w:r>
                </w:p>
              </w:tc>
              <w:tc>
                <w:tcPr>
                  <w:tcW w:w="1180" w:type="dxa"/>
                  <w:vAlign w:val="center"/>
                </w:tcPr>
                <w:p>
                  <w:pPr>
                    <w:pStyle w:val="41"/>
                    <w:keepNext w:val="0"/>
                    <w:keepLines w:val="0"/>
                    <w:pageBreakBefore w:val="0"/>
                    <w:widowControl w:val="0"/>
                    <w:kinsoku/>
                    <w:overflowPunct/>
                    <w:autoSpaceDE/>
                    <w:autoSpaceDN/>
                    <w:bidi w:val="0"/>
                    <w:spacing w:line="360" w:lineRule="exact"/>
                    <w:ind w:left="24" w:leftChars="10" w:right="24" w:rightChars="1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0.8%</w:t>
                  </w:r>
                </w:p>
              </w:tc>
              <w:tc>
                <w:tcPr>
                  <w:tcW w:w="1180" w:type="dxa"/>
                  <w:vAlign w:val="center"/>
                </w:tcPr>
                <w:p>
                  <w:pPr>
                    <w:pStyle w:val="41"/>
                    <w:keepNext w:val="0"/>
                    <w:keepLines w:val="0"/>
                    <w:pageBreakBefore w:val="0"/>
                    <w:widowControl w:val="0"/>
                    <w:kinsoku/>
                    <w:overflowPunct/>
                    <w:autoSpaceDE/>
                    <w:autoSpaceDN/>
                    <w:bidi w:val="0"/>
                    <w:spacing w:line="360" w:lineRule="exact"/>
                    <w:ind w:left="24" w:leftChars="10" w:right="24" w:rightChars="1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1"/>
                    <w:keepNext w:val="0"/>
                    <w:keepLines w:val="0"/>
                    <w:pageBreakBefore w:val="0"/>
                    <w:widowControl w:val="0"/>
                    <w:kinsoku/>
                    <w:overflowPunct/>
                    <w:autoSpaceDE/>
                    <w:autoSpaceDN/>
                    <w:bidi w:val="0"/>
                    <w:spacing w:line="360" w:lineRule="exact"/>
                    <w:ind w:left="24" w:leftChars="10" w:right="24" w:rightChars="1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500－1000</w:t>
                  </w:r>
                </w:p>
              </w:tc>
              <w:tc>
                <w:tcPr>
                  <w:tcW w:w="1180" w:type="dxa"/>
                  <w:vAlign w:val="center"/>
                </w:tcPr>
                <w:p>
                  <w:pPr>
                    <w:pStyle w:val="41"/>
                    <w:keepNext w:val="0"/>
                    <w:keepLines w:val="0"/>
                    <w:pageBreakBefore w:val="0"/>
                    <w:widowControl w:val="0"/>
                    <w:kinsoku/>
                    <w:overflowPunct/>
                    <w:autoSpaceDE/>
                    <w:autoSpaceDN/>
                    <w:bidi w:val="0"/>
                    <w:spacing w:line="360" w:lineRule="exact"/>
                    <w:ind w:left="24" w:leftChars="10" w:right="24" w:rightChars="1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0.8%</w:t>
                  </w:r>
                </w:p>
              </w:tc>
              <w:tc>
                <w:tcPr>
                  <w:tcW w:w="1180" w:type="dxa"/>
                  <w:vAlign w:val="center"/>
                </w:tcPr>
                <w:p>
                  <w:pPr>
                    <w:pStyle w:val="41"/>
                    <w:keepNext w:val="0"/>
                    <w:keepLines w:val="0"/>
                    <w:pageBreakBefore w:val="0"/>
                    <w:widowControl w:val="0"/>
                    <w:kinsoku/>
                    <w:overflowPunct/>
                    <w:autoSpaceDE/>
                    <w:autoSpaceDN/>
                    <w:bidi w:val="0"/>
                    <w:spacing w:line="360" w:lineRule="exact"/>
                    <w:ind w:left="24" w:leftChars="10" w:right="24" w:rightChars="1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0.45%</w:t>
                  </w:r>
                </w:p>
              </w:tc>
              <w:tc>
                <w:tcPr>
                  <w:tcW w:w="1180" w:type="dxa"/>
                  <w:vAlign w:val="center"/>
                </w:tcPr>
                <w:p>
                  <w:pPr>
                    <w:pStyle w:val="41"/>
                    <w:keepNext w:val="0"/>
                    <w:keepLines w:val="0"/>
                    <w:pageBreakBefore w:val="0"/>
                    <w:widowControl w:val="0"/>
                    <w:kinsoku/>
                    <w:overflowPunct/>
                    <w:autoSpaceDE/>
                    <w:autoSpaceDN/>
                    <w:bidi w:val="0"/>
                    <w:spacing w:line="360" w:lineRule="exact"/>
                    <w:ind w:left="24" w:leftChars="10" w:right="24" w:rightChars="1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1"/>
                    <w:keepNext w:val="0"/>
                    <w:keepLines w:val="0"/>
                    <w:pageBreakBefore w:val="0"/>
                    <w:widowControl w:val="0"/>
                    <w:kinsoku/>
                    <w:overflowPunct/>
                    <w:autoSpaceDE/>
                    <w:autoSpaceDN/>
                    <w:bidi w:val="0"/>
                    <w:spacing w:line="360" w:lineRule="exact"/>
                    <w:ind w:left="24" w:leftChars="10" w:right="24" w:rightChars="1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1000－5000</w:t>
                  </w:r>
                </w:p>
              </w:tc>
              <w:tc>
                <w:tcPr>
                  <w:tcW w:w="1180" w:type="dxa"/>
                  <w:vAlign w:val="center"/>
                </w:tcPr>
                <w:p>
                  <w:pPr>
                    <w:pStyle w:val="41"/>
                    <w:keepNext w:val="0"/>
                    <w:keepLines w:val="0"/>
                    <w:pageBreakBefore w:val="0"/>
                    <w:widowControl w:val="0"/>
                    <w:kinsoku/>
                    <w:overflowPunct/>
                    <w:autoSpaceDE/>
                    <w:autoSpaceDN/>
                    <w:bidi w:val="0"/>
                    <w:spacing w:line="360" w:lineRule="exact"/>
                    <w:ind w:left="24" w:leftChars="10" w:right="24" w:rightChars="1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0.5%</w:t>
                  </w:r>
                </w:p>
              </w:tc>
              <w:tc>
                <w:tcPr>
                  <w:tcW w:w="1180" w:type="dxa"/>
                  <w:vAlign w:val="center"/>
                </w:tcPr>
                <w:p>
                  <w:pPr>
                    <w:pStyle w:val="41"/>
                    <w:keepNext w:val="0"/>
                    <w:keepLines w:val="0"/>
                    <w:pageBreakBefore w:val="0"/>
                    <w:widowControl w:val="0"/>
                    <w:kinsoku/>
                    <w:overflowPunct/>
                    <w:autoSpaceDE/>
                    <w:autoSpaceDN/>
                    <w:bidi w:val="0"/>
                    <w:spacing w:line="360" w:lineRule="exact"/>
                    <w:ind w:left="24" w:leftChars="10" w:right="24" w:rightChars="1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0.25%</w:t>
                  </w:r>
                </w:p>
              </w:tc>
              <w:tc>
                <w:tcPr>
                  <w:tcW w:w="1180" w:type="dxa"/>
                  <w:vAlign w:val="center"/>
                </w:tcPr>
                <w:p>
                  <w:pPr>
                    <w:pStyle w:val="41"/>
                    <w:keepNext w:val="0"/>
                    <w:keepLines w:val="0"/>
                    <w:pageBreakBefore w:val="0"/>
                    <w:widowControl w:val="0"/>
                    <w:kinsoku/>
                    <w:overflowPunct/>
                    <w:autoSpaceDE/>
                    <w:autoSpaceDN/>
                    <w:bidi w:val="0"/>
                    <w:spacing w:line="360" w:lineRule="exact"/>
                    <w:ind w:left="24" w:leftChars="10" w:right="24" w:rightChars="1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1"/>
                    <w:keepNext w:val="0"/>
                    <w:keepLines w:val="0"/>
                    <w:pageBreakBefore w:val="0"/>
                    <w:widowControl w:val="0"/>
                    <w:kinsoku/>
                    <w:overflowPunct/>
                    <w:autoSpaceDE/>
                    <w:autoSpaceDN/>
                    <w:bidi w:val="0"/>
                    <w:spacing w:line="360" w:lineRule="exact"/>
                    <w:ind w:left="24" w:leftChars="10" w:right="24" w:rightChars="1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5000－10000</w:t>
                  </w:r>
                </w:p>
              </w:tc>
              <w:tc>
                <w:tcPr>
                  <w:tcW w:w="1180" w:type="dxa"/>
                  <w:vAlign w:val="center"/>
                </w:tcPr>
                <w:p>
                  <w:pPr>
                    <w:pStyle w:val="41"/>
                    <w:keepNext w:val="0"/>
                    <w:keepLines w:val="0"/>
                    <w:pageBreakBefore w:val="0"/>
                    <w:widowControl w:val="0"/>
                    <w:kinsoku/>
                    <w:overflowPunct/>
                    <w:autoSpaceDE/>
                    <w:autoSpaceDN/>
                    <w:bidi w:val="0"/>
                    <w:spacing w:line="360" w:lineRule="exact"/>
                    <w:ind w:left="24" w:leftChars="10" w:right="24" w:rightChars="1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0.25%</w:t>
                  </w:r>
                </w:p>
              </w:tc>
              <w:tc>
                <w:tcPr>
                  <w:tcW w:w="1180" w:type="dxa"/>
                  <w:vAlign w:val="center"/>
                </w:tcPr>
                <w:p>
                  <w:pPr>
                    <w:pStyle w:val="41"/>
                    <w:keepNext w:val="0"/>
                    <w:keepLines w:val="0"/>
                    <w:pageBreakBefore w:val="0"/>
                    <w:widowControl w:val="0"/>
                    <w:kinsoku/>
                    <w:overflowPunct/>
                    <w:autoSpaceDE/>
                    <w:autoSpaceDN/>
                    <w:bidi w:val="0"/>
                    <w:spacing w:line="360" w:lineRule="exact"/>
                    <w:ind w:left="24" w:leftChars="10" w:right="24" w:rightChars="1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0.1%</w:t>
                  </w:r>
                </w:p>
              </w:tc>
              <w:tc>
                <w:tcPr>
                  <w:tcW w:w="1180" w:type="dxa"/>
                  <w:vAlign w:val="center"/>
                </w:tcPr>
                <w:p>
                  <w:pPr>
                    <w:pStyle w:val="41"/>
                    <w:keepNext w:val="0"/>
                    <w:keepLines w:val="0"/>
                    <w:pageBreakBefore w:val="0"/>
                    <w:widowControl w:val="0"/>
                    <w:kinsoku/>
                    <w:overflowPunct/>
                    <w:autoSpaceDE/>
                    <w:autoSpaceDN/>
                    <w:bidi w:val="0"/>
                    <w:spacing w:line="360" w:lineRule="exact"/>
                    <w:ind w:left="24" w:leftChars="10" w:right="24" w:rightChars="1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1"/>
                    <w:keepNext w:val="0"/>
                    <w:keepLines w:val="0"/>
                    <w:pageBreakBefore w:val="0"/>
                    <w:widowControl w:val="0"/>
                    <w:kinsoku/>
                    <w:overflowPunct/>
                    <w:autoSpaceDE/>
                    <w:autoSpaceDN/>
                    <w:bidi w:val="0"/>
                    <w:spacing w:line="360" w:lineRule="exact"/>
                    <w:ind w:left="24" w:leftChars="10" w:right="24" w:rightChars="1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10000－100000</w:t>
                  </w:r>
                </w:p>
              </w:tc>
              <w:tc>
                <w:tcPr>
                  <w:tcW w:w="1180" w:type="dxa"/>
                  <w:vAlign w:val="center"/>
                </w:tcPr>
                <w:p>
                  <w:pPr>
                    <w:pStyle w:val="41"/>
                    <w:keepNext w:val="0"/>
                    <w:keepLines w:val="0"/>
                    <w:pageBreakBefore w:val="0"/>
                    <w:widowControl w:val="0"/>
                    <w:kinsoku/>
                    <w:overflowPunct/>
                    <w:autoSpaceDE/>
                    <w:autoSpaceDN/>
                    <w:bidi w:val="0"/>
                    <w:spacing w:line="360" w:lineRule="exact"/>
                    <w:ind w:left="24" w:leftChars="10" w:right="24" w:rightChars="1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0.05%</w:t>
                  </w:r>
                </w:p>
              </w:tc>
              <w:tc>
                <w:tcPr>
                  <w:tcW w:w="1180" w:type="dxa"/>
                  <w:vAlign w:val="center"/>
                </w:tcPr>
                <w:p>
                  <w:pPr>
                    <w:pStyle w:val="41"/>
                    <w:keepNext w:val="0"/>
                    <w:keepLines w:val="0"/>
                    <w:pageBreakBefore w:val="0"/>
                    <w:widowControl w:val="0"/>
                    <w:kinsoku/>
                    <w:overflowPunct/>
                    <w:autoSpaceDE/>
                    <w:autoSpaceDN/>
                    <w:bidi w:val="0"/>
                    <w:spacing w:line="360" w:lineRule="exact"/>
                    <w:ind w:left="24" w:leftChars="10" w:right="24" w:rightChars="1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0.05%</w:t>
                  </w:r>
                </w:p>
              </w:tc>
              <w:tc>
                <w:tcPr>
                  <w:tcW w:w="1180" w:type="dxa"/>
                  <w:vAlign w:val="center"/>
                </w:tcPr>
                <w:p>
                  <w:pPr>
                    <w:pStyle w:val="41"/>
                    <w:keepNext w:val="0"/>
                    <w:keepLines w:val="0"/>
                    <w:pageBreakBefore w:val="0"/>
                    <w:widowControl w:val="0"/>
                    <w:kinsoku/>
                    <w:overflowPunct/>
                    <w:autoSpaceDE/>
                    <w:autoSpaceDN/>
                    <w:bidi w:val="0"/>
                    <w:spacing w:line="360" w:lineRule="exact"/>
                    <w:ind w:left="24" w:leftChars="10" w:right="24" w:rightChars="1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1"/>
                    <w:keepNext w:val="0"/>
                    <w:keepLines w:val="0"/>
                    <w:pageBreakBefore w:val="0"/>
                    <w:widowControl w:val="0"/>
                    <w:kinsoku/>
                    <w:overflowPunct/>
                    <w:autoSpaceDE/>
                    <w:autoSpaceDN/>
                    <w:bidi w:val="0"/>
                    <w:spacing w:line="360" w:lineRule="exact"/>
                    <w:ind w:left="24" w:leftChars="10" w:right="24" w:rightChars="1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1000000以上</w:t>
                  </w:r>
                </w:p>
              </w:tc>
              <w:tc>
                <w:tcPr>
                  <w:tcW w:w="1180" w:type="dxa"/>
                  <w:vAlign w:val="center"/>
                </w:tcPr>
                <w:p>
                  <w:pPr>
                    <w:pStyle w:val="41"/>
                    <w:keepNext w:val="0"/>
                    <w:keepLines w:val="0"/>
                    <w:pageBreakBefore w:val="0"/>
                    <w:widowControl w:val="0"/>
                    <w:kinsoku/>
                    <w:overflowPunct/>
                    <w:autoSpaceDE/>
                    <w:autoSpaceDN/>
                    <w:bidi w:val="0"/>
                    <w:spacing w:line="360" w:lineRule="exact"/>
                    <w:ind w:left="24" w:leftChars="10" w:right="24" w:rightChars="1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0.01%</w:t>
                  </w:r>
                </w:p>
              </w:tc>
              <w:tc>
                <w:tcPr>
                  <w:tcW w:w="1180" w:type="dxa"/>
                  <w:vAlign w:val="center"/>
                </w:tcPr>
                <w:p>
                  <w:pPr>
                    <w:pStyle w:val="41"/>
                    <w:keepNext w:val="0"/>
                    <w:keepLines w:val="0"/>
                    <w:pageBreakBefore w:val="0"/>
                    <w:widowControl w:val="0"/>
                    <w:kinsoku/>
                    <w:overflowPunct/>
                    <w:autoSpaceDE/>
                    <w:autoSpaceDN/>
                    <w:bidi w:val="0"/>
                    <w:spacing w:line="360" w:lineRule="exact"/>
                    <w:ind w:left="24" w:leftChars="10" w:right="24" w:rightChars="1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0.01%</w:t>
                  </w:r>
                </w:p>
              </w:tc>
              <w:tc>
                <w:tcPr>
                  <w:tcW w:w="1180" w:type="dxa"/>
                  <w:vAlign w:val="center"/>
                </w:tcPr>
                <w:p>
                  <w:pPr>
                    <w:pStyle w:val="41"/>
                    <w:keepNext w:val="0"/>
                    <w:keepLines w:val="0"/>
                    <w:pageBreakBefore w:val="0"/>
                    <w:widowControl w:val="0"/>
                    <w:kinsoku/>
                    <w:overflowPunct/>
                    <w:autoSpaceDE/>
                    <w:autoSpaceDN/>
                    <w:bidi w:val="0"/>
                    <w:spacing w:line="360" w:lineRule="exact"/>
                    <w:ind w:left="24" w:leftChars="10" w:right="24" w:rightChars="1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0.01%</w:t>
                  </w:r>
                </w:p>
              </w:tc>
            </w:tr>
          </w:tbl>
          <w:p>
            <w:pPr>
              <w:pStyle w:val="41"/>
              <w:keepNext w:val="0"/>
              <w:keepLines w:val="0"/>
              <w:pageBreakBefore w:val="0"/>
              <w:widowControl w:val="0"/>
              <w:kinsoku/>
              <w:overflowPunct/>
              <w:autoSpaceDE/>
              <w:autoSpaceDN/>
              <w:bidi w:val="0"/>
              <w:spacing w:line="360" w:lineRule="exact"/>
              <w:ind w:left="24" w:leftChars="10" w:right="24" w:rightChars="1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w:t>
            </w:r>
          </w:p>
          <w:p>
            <w:pPr>
              <w:pStyle w:val="41"/>
              <w:keepNext w:val="0"/>
              <w:keepLines w:val="0"/>
              <w:pageBreakBefore w:val="0"/>
              <w:widowControl w:val="0"/>
              <w:kinsoku/>
              <w:overflowPunct/>
              <w:autoSpaceDE/>
              <w:autoSpaceDN/>
              <w:bidi w:val="0"/>
              <w:spacing w:line="360" w:lineRule="exact"/>
              <w:ind w:left="24" w:leftChars="10" w:right="24" w:rightChars="1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(1)按本表费率计算的收费为代理服务全过程的收费基准价格。</w:t>
            </w:r>
          </w:p>
          <w:p>
            <w:pPr>
              <w:pStyle w:val="41"/>
              <w:keepNext w:val="0"/>
              <w:keepLines w:val="0"/>
              <w:pageBreakBefore w:val="0"/>
              <w:widowControl w:val="0"/>
              <w:kinsoku/>
              <w:overflowPunct/>
              <w:autoSpaceDE/>
              <w:autoSpaceDN/>
              <w:bidi w:val="0"/>
              <w:spacing w:line="360" w:lineRule="exact"/>
              <w:ind w:left="24" w:leftChars="10" w:right="24" w:rightChars="1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(2)本收费以单个项目为计算基础，凡单个项目收费金额低于人民币3000元，按3000元收取。</w:t>
            </w:r>
          </w:p>
          <w:p>
            <w:pPr>
              <w:pStyle w:val="41"/>
              <w:keepNext w:val="0"/>
              <w:keepLines w:val="0"/>
              <w:pageBreakBefore w:val="0"/>
              <w:widowControl w:val="0"/>
              <w:kinsoku/>
              <w:overflowPunct/>
              <w:autoSpaceDE/>
              <w:autoSpaceDN/>
              <w:bidi w:val="0"/>
              <w:spacing w:line="360" w:lineRule="exact"/>
              <w:ind w:left="24" w:leftChars="10" w:right="24" w:rightChars="1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(3)采购代理机构下浮比例为20%。</w:t>
            </w:r>
          </w:p>
          <w:p>
            <w:pPr>
              <w:pStyle w:val="41"/>
              <w:keepNext w:val="0"/>
              <w:keepLines w:val="0"/>
              <w:pageBreakBefore w:val="0"/>
              <w:widowControl w:val="0"/>
              <w:kinsoku/>
              <w:overflowPunct/>
              <w:autoSpaceDE/>
              <w:autoSpaceDN/>
              <w:bidi w:val="0"/>
              <w:spacing w:line="360" w:lineRule="exact"/>
              <w:ind w:left="24" w:leftChars="10" w:right="24" w:rightChars="1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zh-CN"/>
              </w:rPr>
              <w:t>)代理服务收费按差额定率累进法计算。</w:t>
            </w:r>
          </w:p>
          <w:p>
            <w:pPr>
              <w:pStyle w:val="41"/>
              <w:keepNext w:val="0"/>
              <w:keepLines w:val="0"/>
              <w:pageBreakBefore w:val="0"/>
              <w:widowControl w:val="0"/>
              <w:kinsoku/>
              <w:overflowPunct/>
              <w:autoSpaceDE/>
              <w:autoSpaceDN/>
              <w:bidi w:val="0"/>
              <w:spacing w:line="360" w:lineRule="exact"/>
              <w:ind w:left="24" w:leftChars="10" w:right="24" w:rightChars="1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例如：某工程代理业务中标金额为6000万元，计算代理服务收费额如下：</w:t>
            </w:r>
          </w:p>
          <w:p>
            <w:pPr>
              <w:pStyle w:val="41"/>
              <w:keepNext w:val="0"/>
              <w:keepLines w:val="0"/>
              <w:pageBreakBefore w:val="0"/>
              <w:widowControl w:val="0"/>
              <w:kinsoku/>
              <w:overflowPunct/>
              <w:autoSpaceDE/>
              <w:autoSpaceDN/>
              <w:bidi w:val="0"/>
              <w:spacing w:line="360" w:lineRule="exact"/>
              <w:ind w:left="24" w:leftChars="10" w:right="24" w:rightChars="1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100万元×1.00%=1万元</w:t>
            </w:r>
          </w:p>
          <w:p>
            <w:pPr>
              <w:pStyle w:val="41"/>
              <w:keepNext w:val="0"/>
              <w:keepLines w:val="0"/>
              <w:pageBreakBefore w:val="0"/>
              <w:widowControl w:val="0"/>
              <w:kinsoku/>
              <w:overflowPunct/>
              <w:autoSpaceDE/>
              <w:autoSpaceDN/>
              <w:bidi w:val="0"/>
              <w:spacing w:line="360" w:lineRule="exact"/>
              <w:ind w:left="24" w:leftChars="10" w:right="24" w:rightChars="1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(500－100)万元×0.70%=2.8万元</w:t>
            </w:r>
          </w:p>
          <w:p>
            <w:pPr>
              <w:pStyle w:val="41"/>
              <w:keepNext w:val="0"/>
              <w:keepLines w:val="0"/>
              <w:pageBreakBefore w:val="0"/>
              <w:widowControl w:val="0"/>
              <w:kinsoku/>
              <w:overflowPunct/>
              <w:autoSpaceDE/>
              <w:autoSpaceDN/>
              <w:bidi w:val="0"/>
              <w:spacing w:line="360" w:lineRule="exact"/>
              <w:ind w:left="24" w:leftChars="10" w:right="24" w:rightChars="1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(1000－500)万元×0.55%=2.75万元</w:t>
            </w:r>
          </w:p>
          <w:p>
            <w:pPr>
              <w:pStyle w:val="41"/>
              <w:keepNext w:val="0"/>
              <w:keepLines w:val="0"/>
              <w:pageBreakBefore w:val="0"/>
              <w:widowControl w:val="0"/>
              <w:kinsoku/>
              <w:overflowPunct/>
              <w:autoSpaceDE/>
              <w:autoSpaceDN/>
              <w:bidi w:val="0"/>
              <w:spacing w:line="360" w:lineRule="exact"/>
              <w:ind w:left="24" w:leftChars="10" w:right="24" w:rightChars="1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(5000－1000)万元×0.35%=14万元</w:t>
            </w:r>
          </w:p>
          <w:p>
            <w:pPr>
              <w:pStyle w:val="41"/>
              <w:keepNext w:val="0"/>
              <w:keepLines w:val="0"/>
              <w:pageBreakBefore w:val="0"/>
              <w:widowControl w:val="0"/>
              <w:kinsoku/>
              <w:overflowPunct/>
              <w:autoSpaceDE/>
              <w:autoSpaceDN/>
              <w:bidi w:val="0"/>
              <w:spacing w:line="360" w:lineRule="exact"/>
              <w:ind w:left="24" w:leftChars="10" w:right="24" w:rightChars="1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(6000－5000)万元×0.20%=2万元</w:t>
            </w:r>
          </w:p>
          <w:p>
            <w:pPr>
              <w:pStyle w:val="41"/>
              <w:keepNext w:val="0"/>
              <w:keepLines w:val="0"/>
              <w:pageBreakBefore w:val="0"/>
              <w:widowControl w:val="0"/>
              <w:kinsoku/>
              <w:overflowPunct/>
              <w:autoSpaceDE/>
              <w:autoSpaceDN/>
              <w:bidi w:val="0"/>
              <w:spacing w:line="360" w:lineRule="exact"/>
              <w:ind w:left="24" w:leftChars="10" w:right="24" w:rightChars="1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最终代理服务=(1+2.8+2.75+14+2)*(1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20%)=18.04(万元)</w:t>
            </w:r>
          </w:p>
          <w:p>
            <w:pPr>
              <w:pStyle w:val="41"/>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收取方式：中标</w:t>
            </w:r>
            <w:r>
              <w:rPr>
                <w:rFonts w:hint="eastAsia" w:ascii="宋体" w:hAnsi="宋体" w:eastAsia="宋体" w:cs="宋体"/>
                <w:color w:val="auto"/>
                <w:sz w:val="21"/>
                <w:szCs w:val="21"/>
                <w:highlight w:val="none"/>
                <w:lang w:val="zh-CN"/>
              </w:rPr>
              <w:t>通知发出后二个工作日内由</w:t>
            </w:r>
            <w:r>
              <w:rPr>
                <w:rFonts w:hint="eastAsia" w:ascii="宋体" w:hAnsi="宋体" w:eastAsia="宋体" w:cs="宋体"/>
                <w:color w:val="auto"/>
                <w:sz w:val="21"/>
                <w:szCs w:val="21"/>
                <w:highlight w:val="none"/>
              </w:rPr>
              <w:t>中标供应商</w:t>
            </w:r>
            <w:r>
              <w:rPr>
                <w:rFonts w:hint="eastAsia" w:ascii="宋体" w:hAnsi="宋体" w:eastAsia="宋体" w:cs="宋体"/>
                <w:color w:val="auto"/>
                <w:sz w:val="21"/>
                <w:szCs w:val="21"/>
                <w:highlight w:val="none"/>
                <w:lang w:val="zh-CN"/>
              </w:rPr>
              <w:t>一次性支付</w:t>
            </w:r>
            <w:r>
              <w:rPr>
                <w:rFonts w:hint="eastAsia" w:ascii="宋体" w:hAnsi="宋体" w:eastAsia="宋体" w:cs="宋体"/>
                <w:color w:val="auto"/>
                <w:sz w:val="21"/>
                <w:szCs w:val="21"/>
                <w:highlight w:val="none"/>
              </w:rPr>
              <w:t>至采购代理机构。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570" w:type="dxa"/>
            <w:vAlign w:val="center"/>
          </w:tcPr>
          <w:p>
            <w:pPr>
              <w:pStyle w:val="45"/>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lang w:eastAsia="zh-CN"/>
              </w:rPr>
            </w:pPr>
          </w:p>
        </w:tc>
        <w:tc>
          <w:tcPr>
            <w:tcW w:w="2009"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履约保证金</w:t>
            </w:r>
          </w:p>
          <w:p>
            <w:pPr>
              <w:pStyle w:val="45"/>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实质性要求</w:t>
            </w:r>
            <w:r>
              <w:rPr>
                <w:rFonts w:hint="eastAsia" w:ascii="宋体" w:hAnsi="宋体" w:eastAsia="宋体" w:cs="宋体"/>
                <w:color w:val="auto"/>
                <w:sz w:val="21"/>
                <w:szCs w:val="21"/>
                <w:highlight w:val="none"/>
                <w:lang w:eastAsia="zh-CN"/>
              </w:rPr>
              <w:t>)</w:t>
            </w:r>
          </w:p>
        </w:tc>
        <w:tc>
          <w:tcPr>
            <w:tcW w:w="7171" w:type="dxa"/>
            <w:vAlign w:val="center"/>
          </w:tcPr>
          <w:p>
            <w:pPr>
              <w:keepNext w:val="0"/>
              <w:keepLines w:val="0"/>
              <w:pageBreakBefore w:val="0"/>
              <w:widowControl w:val="0"/>
              <w:numPr>
                <w:ilvl w:val="0"/>
                <w:numId w:val="0"/>
              </w:numPr>
              <w:tabs>
                <w:tab w:val="left" w:pos="312"/>
                <w:tab w:val="clear" w:pos="0"/>
              </w:tabs>
              <w:kinsoku/>
              <w:wordWrap/>
              <w:overflowPunct/>
              <w:topLinePunct w:val="0"/>
              <w:autoSpaceDE/>
              <w:autoSpaceDN/>
              <w:bidi w:val="0"/>
              <w:adjustRightInd/>
              <w:snapToGrid/>
              <w:spacing w:line="360" w:lineRule="exact"/>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详见招标文件第六章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570" w:type="dxa"/>
            <w:vAlign w:val="center"/>
          </w:tcPr>
          <w:p>
            <w:pPr>
              <w:pStyle w:val="45"/>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lang w:eastAsia="zh-CN"/>
              </w:rPr>
            </w:pPr>
          </w:p>
        </w:tc>
        <w:tc>
          <w:tcPr>
            <w:tcW w:w="2009" w:type="dxa"/>
            <w:vAlign w:val="center"/>
          </w:tcPr>
          <w:p>
            <w:pPr>
              <w:pStyle w:val="45"/>
              <w:keepNext w:val="0"/>
              <w:keepLines w:val="0"/>
              <w:pageBreakBefore w:val="0"/>
              <w:widowControl w:val="0"/>
              <w:kinsoku/>
              <w:overflowPunct/>
              <w:autoSpaceDE/>
              <w:autoSpaceDN/>
              <w:bidi w:val="0"/>
              <w:spacing w:line="360" w:lineRule="exact"/>
              <w:ind w:left="24" w:leftChars="10" w:right="24" w:rightChars="1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供应商询问</w:t>
            </w:r>
          </w:p>
        </w:tc>
        <w:tc>
          <w:tcPr>
            <w:tcW w:w="7171" w:type="dxa"/>
            <w:vAlign w:val="top"/>
          </w:tcPr>
          <w:p>
            <w:pPr>
              <w:pStyle w:val="41"/>
              <w:keepNext w:val="0"/>
              <w:keepLines w:val="0"/>
              <w:pageBreakBefore w:val="0"/>
              <w:widowControl w:val="0"/>
              <w:numPr>
                <w:ilvl w:val="0"/>
                <w:numId w:val="12"/>
              </w:numPr>
              <w:kinsoku/>
              <w:overflowPunct/>
              <w:autoSpaceDE/>
              <w:autoSpaceDN/>
              <w:bidi w:val="0"/>
              <w:spacing w:line="360" w:lineRule="exact"/>
              <w:ind w:left="24" w:leftChars="10" w:right="24" w:rightChars="1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根据委托代理协议约定，采购人负责对采购文件技术参数部分的询问解释，四川乾新招投标代理有限公司负责答复，四川乾新招投标代理有限公司负责采购文件技术参数部分以外的询问解释和答复。</w:t>
            </w:r>
          </w:p>
          <w:p>
            <w:pPr>
              <w:pStyle w:val="41"/>
              <w:keepNext w:val="0"/>
              <w:keepLines w:val="0"/>
              <w:pageBreakBefore w:val="0"/>
              <w:widowControl w:val="0"/>
              <w:numPr>
                <w:ilvl w:val="0"/>
                <w:numId w:val="12"/>
              </w:numPr>
              <w:kinsoku/>
              <w:overflowPunct/>
              <w:autoSpaceDE/>
              <w:autoSpaceDN/>
              <w:bidi w:val="0"/>
              <w:spacing w:line="360" w:lineRule="exact"/>
              <w:ind w:left="24" w:leftChars="10" w:right="24" w:rightChars="1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询问内容不得涉及评审秘密、国家机密和商业秘密等保密内容。</w:t>
            </w:r>
          </w:p>
          <w:p>
            <w:pPr>
              <w:pStyle w:val="41"/>
              <w:keepNext w:val="0"/>
              <w:keepLines w:val="0"/>
              <w:pageBreakBefore w:val="0"/>
              <w:widowControl w:val="0"/>
              <w:numPr>
                <w:ilvl w:val="0"/>
                <w:numId w:val="12"/>
              </w:numPr>
              <w:kinsoku/>
              <w:overflowPunct/>
              <w:autoSpaceDE/>
              <w:autoSpaceDN/>
              <w:bidi w:val="0"/>
              <w:spacing w:line="360" w:lineRule="exact"/>
              <w:ind w:left="24" w:leftChars="10" w:right="24" w:rightChars="1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询问方式：询问可以采用邮寄、在线、现场书面或电子邮件等方式向四川乾新招投标代理有限公司提出；询问必须提供询问人基本信息(包含具体询问内容、询问人名称或姓名、联系人及联系电话、电子邮件)。</w:t>
            </w:r>
          </w:p>
          <w:p>
            <w:pPr>
              <w:pStyle w:val="41"/>
              <w:keepNext w:val="0"/>
              <w:keepLines w:val="0"/>
              <w:pageBreakBefore w:val="0"/>
              <w:widowControl w:val="0"/>
              <w:kinsoku/>
              <w:overflowPunct/>
              <w:autoSpaceDE/>
              <w:autoSpaceDN/>
              <w:bidi w:val="0"/>
              <w:spacing w:line="360" w:lineRule="exact"/>
              <w:ind w:left="24" w:leftChars="10" w:right="24" w:rightChars="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联系人：</w:t>
            </w:r>
            <w:r>
              <w:rPr>
                <w:rFonts w:hint="eastAsia" w:ascii="宋体" w:hAnsi="宋体" w:eastAsia="宋体" w:cs="宋体"/>
                <w:color w:val="auto"/>
                <w:sz w:val="21"/>
                <w:szCs w:val="21"/>
                <w:highlight w:val="none"/>
              </w:rPr>
              <w:t>王朝钢</w:t>
            </w:r>
          </w:p>
          <w:p>
            <w:pPr>
              <w:pStyle w:val="41"/>
              <w:keepNext w:val="0"/>
              <w:keepLines w:val="0"/>
              <w:pageBreakBefore w:val="0"/>
              <w:widowControl w:val="0"/>
              <w:kinsoku/>
              <w:overflowPunct/>
              <w:autoSpaceDE/>
              <w:autoSpaceDN/>
              <w:bidi w:val="0"/>
              <w:spacing w:line="360" w:lineRule="exact"/>
              <w:ind w:left="24" w:leftChars="10" w:right="24" w:rightChars="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联系电话：</w:t>
            </w:r>
            <w:r>
              <w:rPr>
                <w:rFonts w:hint="eastAsia" w:ascii="宋体" w:hAnsi="宋体" w:eastAsia="宋体" w:cs="宋体"/>
                <w:color w:val="auto"/>
                <w:sz w:val="21"/>
                <w:szCs w:val="21"/>
                <w:highlight w:val="none"/>
              </w:rPr>
              <w:t>028-</w:t>
            </w:r>
            <w:r>
              <w:rPr>
                <w:rFonts w:hint="eastAsia" w:ascii="宋体" w:hAnsi="宋体" w:eastAsia="宋体" w:cs="宋体"/>
                <w:color w:val="auto"/>
                <w:sz w:val="21"/>
                <w:szCs w:val="21"/>
                <w:highlight w:val="none"/>
                <w:lang w:val="zh-CN"/>
              </w:rPr>
              <w:t>84638556、84882960</w:t>
            </w:r>
            <w:r>
              <w:rPr>
                <w:rFonts w:hint="eastAsia" w:ascii="宋体" w:hAnsi="宋体" w:eastAsia="宋体" w:cs="宋体"/>
                <w:color w:val="auto"/>
                <w:sz w:val="21"/>
                <w:szCs w:val="21"/>
                <w:highlight w:val="none"/>
              </w:rPr>
              <w:t>转663</w:t>
            </w:r>
          </w:p>
          <w:p>
            <w:pPr>
              <w:pStyle w:val="41"/>
              <w:keepNext w:val="0"/>
              <w:keepLines w:val="0"/>
              <w:pageBreakBefore w:val="0"/>
              <w:widowControl w:val="0"/>
              <w:kinsoku/>
              <w:overflowPunct/>
              <w:autoSpaceDE/>
              <w:autoSpaceDN/>
              <w:bidi w:val="0"/>
              <w:spacing w:line="360" w:lineRule="exact"/>
              <w:ind w:left="24" w:leftChars="10" w:right="24" w:rightChars="1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地址：成都市高新区吉庆三路333号蜀都中心二期一号楼一单元401号</w:t>
            </w:r>
          </w:p>
          <w:p>
            <w:pPr>
              <w:pStyle w:val="41"/>
              <w:keepNext w:val="0"/>
              <w:keepLines w:val="0"/>
              <w:pageBreakBefore w:val="0"/>
              <w:widowControl w:val="0"/>
              <w:kinsoku/>
              <w:overflowPunct/>
              <w:autoSpaceDE/>
              <w:autoSpaceDN/>
              <w:bidi w:val="0"/>
              <w:spacing w:line="360" w:lineRule="exact"/>
              <w:ind w:left="24" w:leftChars="10" w:right="24" w:rightChars="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邮编：610041</w:t>
            </w:r>
          </w:p>
          <w:p>
            <w:pPr>
              <w:pStyle w:val="41"/>
              <w:keepNext w:val="0"/>
              <w:keepLines w:val="0"/>
              <w:pageBreakBefore w:val="0"/>
              <w:widowControl w:val="0"/>
              <w:numPr>
                <w:ilvl w:val="0"/>
                <w:numId w:val="12"/>
              </w:numPr>
              <w:kinsoku/>
              <w:overflowPunct/>
              <w:autoSpaceDE/>
              <w:autoSpaceDN/>
              <w:bidi w:val="0"/>
              <w:spacing w:line="360" w:lineRule="exact"/>
              <w:ind w:left="24" w:leftChars="10" w:right="24" w:rightChars="1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询问提出的范围及主体：①采购文件及采购信息公告环节：依法获取采购文件的潜在供应商可以对采购文件及采购信息公告的内容向四川乾新招投标代理有限公司或采购人提出询问，仅对采购信息公告内容提出询问的，不限制询问主体。②采购过程、采购结果环节：参与采购活动的供应商可以对采购过程、采购结果相关问题向四川乾新招投标代理有限公司提出询问，未参与采购活动的供应商不得对此环节提出询问。③针对中小企业提出的询问将优先加快办理。</w:t>
            </w:r>
          </w:p>
          <w:p>
            <w:pPr>
              <w:pStyle w:val="41"/>
              <w:keepNext w:val="0"/>
              <w:keepLines w:val="0"/>
              <w:pageBreakBefore w:val="0"/>
              <w:widowControl w:val="0"/>
              <w:numPr>
                <w:ilvl w:val="0"/>
                <w:numId w:val="12"/>
              </w:numPr>
              <w:kinsoku/>
              <w:overflowPunct/>
              <w:autoSpaceDE/>
              <w:autoSpaceDN/>
              <w:bidi w:val="0"/>
              <w:spacing w:line="360" w:lineRule="exact"/>
              <w:ind w:left="24" w:leftChars="10" w:right="24" w:rightChars="1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为提高采购效率，降低社会成本，鼓励询问主体对于不损害国家及社会利益或自身合法权益的问题或情形采用询问方式处理解决(包含但不限于文字错误、标点符号、不影响投标文件的编制的情形)。</w:t>
            </w:r>
          </w:p>
          <w:p>
            <w:pPr>
              <w:pStyle w:val="41"/>
              <w:keepNext w:val="0"/>
              <w:keepLines w:val="0"/>
              <w:pageBreakBefore w:val="0"/>
              <w:widowControl w:val="0"/>
              <w:numPr>
                <w:ilvl w:val="0"/>
                <w:numId w:val="12"/>
              </w:numPr>
              <w:kinsoku/>
              <w:overflowPunct/>
              <w:autoSpaceDE/>
              <w:autoSpaceDN/>
              <w:bidi w:val="0"/>
              <w:spacing w:line="360" w:lineRule="exact"/>
              <w:ind w:left="24" w:leftChars="10" w:right="24" w:rightChars="1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为降低时间成本，减少不必要的干扰，四川乾新招投标代理有限公司或采购人可以不接受未按照约定时间提出的询问。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5"/>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lang w:val="en-US" w:eastAsia="zh-CN"/>
              </w:rPr>
            </w:pPr>
          </w:p>
        </w:tc>
        <w:tc>
          <w:tcPr>
            <w:tcW w:w="2009" w:type="dxa"/>
            <w:vAlign w:val="center"/>
          </w:tcPr>
          <w:p>
            <w:pPr>
              <w:pStyle w:val="45"/>
              <w:keepNext w:val="0"/>
              <w:keepLines w:val="0"/>
              <w:pageBreakBefore w:val="0"/>
              <w:widowControl w:val="0"/>
              <w:kinsoku/>
              <w:overflowPunct/>
              <w:autoSpaceDE/>
              <w:autoSpaceDN/>
              <w:bidi w:val="0"/>
              <w:spacing w:line="360" w:lineRule="exact"/>
              <w:ind w:left="24" w:leftChars="10" w:right="24" w:rightChars="10"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供应商质疑</w:t>
            </w:r>
          </w:p>
        </w:tc>
        <w:tc>
          <w:tcPr>
            <w:tcW w:w="7171" w:type="dxa"/>
            <w:vAlign w:val="center"/>
          </w:tcPr>
          <w:p>
            <w:pPr>
              <w:pStyle w:val="41"/>
              <w:keepNext w:val="0"/>
              <w:keepLines w:val="0"/>
              <w:pageBreakBefore w:val="0"/>
              <w:widowControl w:val="0"/>
              <w:kinsoku/>
              <w:overflowPunct/>
              <w:autoSpaceDE/>
              <w:autoSpaceDN/>
              <w:bidi w:val="0"/>
              <w:spacing w:line="360" w:lineRule="exact"/>
              <w:ind w:left="24" w:leftChars="10" w:right="24" w:rightChars="1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1.根据委托代理协议约定，采购人负责对采购文件技术参数部分的质疑解释，四川乾新招投标代理有限公司负责答复，四川乾新招投标代理有限公司负责采购文件技术参数部分以外的质疑解释和答复。</w:t>
            </w:r>
          </w:p>
          <w:p>
            <w:pPr>
              <w:pStyle w:val="41"/>
              <w:keepNext w:val="0"/>
              <w:keepLines w:val="0"/>
              <w:pageBreakBefore w:val="0"/>
              <w:widowControl w:val="0"/>
              <w:kinsoku/>
              <w:overflowPunct/>
              <w:autoSpaceDE/>
              <w:autoSpaceDN/>
              <w:bidi w:val="0"/>
              <w:spacing w:line="360" w:lineRule="exact"/>
              <w:ind w:left="24" w:leftChars="10" w:right="24" w:rightChars="1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2.供应商提出质疑应当坚持依法依规、诚实信用原则；不得超出采购文件、采购过程、采购结果的范围，不得进行虚假、恶意质疑，不得以质疑为手段获取不当得利、实现非法目的。</w:t>
            </w:r>
          </w:p>
          <w:p>
            <w:pPr>
              <w:pStyle w:val="41"/>
              <w:keepNext w:val="0"/>
              <w:keepLines w:val="0"/>
              <w:pageBreakBefore w:val="0"/>
              <w:widowControl w:val="0"/>
              <w:kinsoku/>
              <w:overflowPunct/>
              <w:autoSpaceDE/>
              <w:autoSpaceDN/>
              <w:bidi w:val="0"/>
              <w:spacing w:line="360" w:lineRule="exact"/>
              <w:ind w:left="24" w:leftChars="10" w:right="24" w:rightChars="1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3.提出质疑函的时限要求：供应商认为采购文件、采购过程、中标或者成交结果使其权益受到损害的，</w:t>
            </w:r>
            <w:r>
              <w:rPr>
                <w:rFonts w:hint="eastAsia" w:ascii="宋体" w:hAnsi="宋体" w:eastAsia="宋体" w:cs="宋体"/>
                <w:b/>
                <w:bCs/>
                <w:color w:val="auto"/>
                <w:sz w:val="21"/>
                <w:szCs w:val="21"/>
                <w:highlight w:val="none"/>
              </w:rPr>
              <w:t>可以在知道或者应知其权益受到损害之日起2日内</w:t>
            </w:r>
            <w:r>
              <w:rPr>
                <w:rFonts w:hint="eastAsia" w:ascii="宋体" w:hAnsi="宋体" w:eastAsia="宋体" w:cs="宋体"/>
                <w:color w:val="auto"/>
                <w:sz w:val="21"/>
                <w:szCs w:val="21"/>
                <w:highlight w:val="none"/>
              </w:rPr>
              <w:t>，以书面形式向采购人、采购代理机构提出质疑。</w:t>
            </w:r>
          </w:p>
          <w:p>
            <w:pPr>
              <w:pStyle w:val="41"/>
              <w:keepNext w:val="0"/>
              <w:keepLines w:val="0"/>
              <w:pageBreakBefore w:val="0"/>
              <w:widowControl w:val="0"/>
              <w:kinsoku/>
              <w:overflowPunct/>
              <w:autoSpaceDE/>
              <w:autoSpaceDN/>
              <w:bidi w:val="0"/>
              <w:spacing w:line="360" w:lineRule="exact"/>
              <w:ind w:left="24" w:leftChars="10" w:right="24" w:rightChars="1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接收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④针对中小企业提出的质疑将优先加快办理</w:t>
            </w:r>
          </w:p>
          <w:p>
            <w:pPr>
              <w:pStyle w:val="41"/>
              <w:keepNext w:val="0"/>
              <w:keepLines w:val="0"/>
              <w:pageBreakBefore w:val="0"/>
              <w:widowControl w:val="0"/>
              <w:kinsoku/>
              <w:overflowPunct/>
              <w:autoSpaceDE/>
              <w:autoSpaceDN/>
              <w:bidi w:val="0"/>
              <w:spacing w:line="360" w:lineRule="exact"/>
              <w:ind w:left="24" w:leftChars="10" w:right="24" w:rightChars="1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联系人：王朝钢</w:t>
            </w:r>
          </w:p>
          <w:p>
            <w:pPr>
              <w:pStyle w:val="41"/>
              <w:keepNext w:val="0"/>
              <w:keepLines w:val="0"/>
              <w:pageBreakBefore w:val="0"/>
              <w:widowControl w:val="0"/>
              <w:kinsoku/>
              <w:overflowPunct/>
              <w:autoSpaceDE/>
              <w:autoSpaceDN/>
              <w:bidi w:val="0"/>
              <w:spacing w:line="360" w:lineRule="exact"/>
              <w:ind w:left="24" w:leftChars="10" w:right="24" w:rightChars="1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联系电话：028-</w:t>
            </w:r>
            <w:r>
              <w:rPr>
                <w:rFonts w:hint="eastAsia" w:ascii="宋体" w:hAnsi="宋体" w:eastAsia="宋体" w:cs="宋体"/>
                <w:color w:val="auto"/>
                <w:sz w:val="21"/>
                <w:szCs w:val="21"/>
                <w:highlight w:val="none"/>
                <w:lang w:val="zh-CN"/>
              </w:rPr>
              <w:t>84638556、84882960</w:t>
            </w:r>
            <w:r>
              <w:rPr>
                <w:rFonts w:hint="eastAsia" w:ascii="宋体" w:hAnsi="宋体" w:eastAsia="宋体" w:cs="宋体"/>
                <w:color w:val="auto"/>
                <w:sz w:val="21"/>
                <w:szCs w:val="21"/>
                <w:highlight w:val="none"/>
              </w:rPr>
              <w:t>转663</w:t>
            </w:r>
          </w:p>
          <w:p>
            <w:pPr>
              <w:pStyle w:val="41"/>
              <w:keepNext w:val="0"/>
              <w:keepLines w:val="0"/>
              <w:pageBreakBefore w:val="0"/>
              <w:widowControl w:val="0"/>
              <w:kinsoku/>
              <w:overflowPunct/>
              <w:autoSpaceDE/>
              <w:autoSpaceDN/>
              <w:bidi w:val="0"/>
              <w:spacing w:line="360" w:lineRule="exact"/>
              <w:ind w:left="24" w:leftChars="10" w:right="24" w:rightChars="1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通讯地址：</w:t>
            </w:r>
            <w:r>
              <w:rPr>
                <w:rFonts w:hint="eastAsia" w:ascii="宋体" w:hAnsi="宋体" w:eastAsia="宋体" w:cs="宋体"/>
                <w:color w:val="auto"/>
                <w:sz w:val="21"/>
                <w:szCs w:val="21"/>
                <w:highlight w:val="none"/>
                <w:lang w:val="zh-CN"/>
              </w:rPr>
              <w:t>成都市高新区吉庆三路333号蜀都中心二期一号楼一单元401号</w:t>
            </w:r>
          </w:p>
          <w:p>
            <w:pPr>
              <w:pStyle w:val="41"/>
              <w:keepNext w:val="0"/>
              <w:keepLines w:val="0"/>
              <w:pageBreakBefore w:val="0"/>
              <w:widowControl w:val="0"/>
              <w:kinsoku/>
              <w:overflowPunct/>
              <w:autoSpaceDE/>
              <w:autoSpaceDN/>
              <w:bidi w:val="0"/>
              <w:spacing w:line="360" w:lineRule="exact"/>
              <w:ind w:left="24" w:leftChars="10" w:right="24" w:rightChars="1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邮编：610041</w:t>
            </w:r>
          </w:p>
          <w:p>
            <w:pPr>
              <w:pStyle w:val="41"/>
              <w:keepNext w:val="0"/>
              <w:keepLines w:val="0"/>
              <w:pageBreakBefore w:val="0"/>
              <w:widowControl w:val="0"/>
              <w:kinsoku/>
              <w:overflowPunct/>
              <w:autoSpaceDE/>
              <w:autoSpaceDN/>
              <w:bidi w:val="0"/>
              <w:spacing w:line="360" w:lineRule="exact"/>
              <w:ind w:left="24" w:leftChars="10" w:right="24" w:rightChars="1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注：①参照《中华人民共和国政府采购法》等法律法规规定，供应商质疑应当有明确的请求和必要的证明材料，须符合《政府采购质疑和投诉办法》(财政部第94号令)规定，并使用财政部下发《质疑函》范本。</w:t>
            </w:r>
          </w:p>
          <w:p>
            <w:pPr>
              <w:pStyle w:val="41"/>
              <w:keepNext w:val="0"/>
              <w:keepLines w:val="0"/>
              <w:pageBreakBefore w:val="0"/>
              <w:widowControl w:val="0"/>
              <w:kinsoku/>
              <w:overflowPunct/>
              <w:autoSpaceDE/>
              <w:autoSpaceDN/>
              <w:bidi w:val="0"/>
              <w:spacing w:line="360" w:lineRule="exact"/>
              <w:ind w:left="24" w:leftChars="10" w:right="24" w:rightChars="1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明确的请求是指：供应商对采购文件还是对采购过程还是对中标、成交结果提出质疑；想要达到的结果，如中标成交无效、废标、重新组织采购、赔偿、追究法律责任等；</w:t>
            </w:r>
          </w:p>
          <w:p>
            <w:pPr>
              <w:pStyle w:val="41"/>
              <w:keepNext w:val="0"/>
              <w:keepLines w:val="0"/>
              <w:pageBreakBefore w:val="0"/>
              <w:widowControl w:val="0"/>
              <w:kinsoku/>
              <w:overflowPunct/>
              <w:autoSpaceDE/>
              <w:autoSpaceDN/>
              <w:bidi w:val="0"/>
              <w:spacing w:line="360" w:lineRule="exact"/>
              <w:ind w:left="24" w:leftChars="10" w:right="24" w:rightChars="1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必要的证明材料是指：包含供应商的营业执照、授权委托书(法定代表人质疑时无需提供)、委托代理人身份证明、参加采购项目的证明、权益受到损害的证明材料、证明提出质疑的事实存在的材料等。</w:t>
            </w:r>
          </w:p>
          <w:p>
            <w:pPr>
              <w:pStyle w:val="41"/>
              <w:keepNext w:val="0"/>
              <w:keepLines w:val="0"/>
              <w:pageBreakBefore w:val="0"/>
              <w:widowControl w:val="0"/>
              <w:kinsoku/>
              <w:overflowPunct/>
              <w:autoSpaceDE/>
              <w:autoSpaceDN/>
              <w:bidi w:val="0"/>
              <w:spacing w:line="360" w:lineRule="exact"/>
              <w:ind w:left="24" w:leftChars="10" w:right="24" w:rightChars="1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因供应商提出的质疑函不符合《政府采购质疑和投诉办法》(财政部令第94号)第十二条的要求，四川乾新招投标代理有限公司或采购人将要求供应商在法定质疑期内进行质疑函补正，未进行补正或在法定质疑期内未进行补正的，其所有不利后果由供应商自行承担。</w:t>
            </w:r>
          </w:p>
          <w:p>
            <w:pPr>
              <w:pStyle w:val="41"/>
              <w:keepNext w:val="0"/>
              <w:keepLines w:val="0"/>
              <w:pageBreakBefore w:val="0"/>
              <w:widowControl w:val="0"/>
              <w:kinsoku/>
              <w:overflowPunct/>
              <w:autoSpaceDE/>
              <w:autoSpaceDN/>
              <w:bidi w:val="0"/>
              <w:spacing w:line="360" w:lineRule="exact"/>
              <w:ind w:left="24" w:leftChars="10" w:right="24" w:rightChars="1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val="zh-CN"/>
              </w:rPr>
              <w:t>供应商</w:t>
            </w:r>
            <w:r>
              <w:rPr>
                <w:rFonts w:hint="eastAsia" w:ascii="宋体" w:hAnsi="宋体" w:eastAsia="宋体" w:cs="宋体"/>
                <w:color w:val="auto"/>
                <w:sz w:val="21"/>
                <w:szCs w:val="21"/>
                <w:highlight w:val="none"/>
              </w:rPr>
              <w:t>应当在法定质疑期内一次性提出针对同一采购程序环节的质疑。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5"/>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lang w:val="en-US" w:eastAsia="zh-CN"/>
              </w:rPr>
            </w:pPr>
          </w:p>
        </w:tc>
        <w:tc>
          <w:tcPr>
            <w:tcW w:w="2009" w:type="dxa"/>
            <w:vAlign w:val="center"/>
          </w:tcPr>
          <w:p>
            <w:pPr>
              <w:pStyle w:val="45"/>
              <w:keepNext w:val="0"/>
              <w:keepLines w:val="0"/>
              <w:pageBreakBefore w:val="0"/>
              <w:widowControl w:val="0"/>
              <w:kinsoku/>
              <w:overflowPunct/>
              <w:autoSpaceDE/>
              <w:autoSpaceDN/>
              <w:bidi w:val="0"/>
              <w:spacing w:line="360" w:lineRule="exact"/>
              <w:ind w:left="24" w:leftChars="10" w:right="24" w:rightChars="10"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供应商投诉</w:t>
            </w:r>
          </w:p>
        </w:tc>
        <w:tc>
          <w:tcPr>
            <w:tcW w:w="7171" w:type="dxa"/>
            <w:vAlign w:val="top"/>
          </w:tcPr>
          <w:p>
            <w:pPr>
              <w:pStyle w:val="41"/>
              <w:keepNext w:val="0"/>
              <w:keepLines w:val="0"/>
              <w:pageBreakBefore w:val="0"/>
              <w:widowControl w:val="0"/>
              <w:kinsoku/>
              <w:overflowPunct/>
              <w:autoSpaceDE/>
              <w:autoSpaceDN/>
              <w:bidi w:val="0"/>
              <w:spacing w:line="360" w:lineRule="exact"/>
              <w:ind w:left="24" w:leftChars="10" w:right="24" w:rightChars="1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投诉受理部门：成都市技师学院纪检监察处</w:t>
            </w:r>
          </w:p>
          <w:p>
            <w:pPr>
              <w:pStyle w:val="41"/>
              <w:keepNext w:val="0"/>
              <w:keepLines w:val="0"/>
              <w:pageBreakBefore w:val="0"/>
              <w:widowControl w:val="0"/>
              <w:kinsoku/>
              <w:overflowPunct/>
              <w:autoSpaceDE/>
              <w:autoSpaceDN/>
              <w:bidi w:val="0"/>
              <w:spacing w:line="360" w:lineRule="exact"/>
              <w:ind w:left="24" w:leftChars="10" w:right="24" w:rightChars="1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联系电话：028-64907543</w:t>
            </w:r>
          </w:p>
          <w:p>
            <w:pPr>
              <w:pStyle w:val="41"/>
              <w:keepNext w:val="0"/>
              <w:keepLines w:val="0"/>
              <w:pageBreakBefore w:val="0"/>
              <w:widowControl w:val="0"/>
              <w:kinsoku/>
              <w:overflowPunct/>
              <w:autoSpaceDE/>
              <w:autoSpaceDN/>
              <w:bidi w:val="0"/>
              <w:spacing w:line="360" w:lineRule="exact"/>
              <w:ind w:left="24" w:leftChars="10" w:right="24" w:rightChars="1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地址：成都市郫都区红光街道港通北3路1899号</w:t>
            </w:r>
          </w:p>
          <w:p>
            <w:pPr>
              <w:pStyle w:val="41"/>
              <w:keepNext w:val="0"/>
              <w:keepLines w:val="0"/>
              <w:pageBreakBefore w:val="0"/>
              <w:widowControl w:val="0"/>
              <w:kinsoku/>
              <w:overflowPunct/>
              <w:autoSpaceDE/>
              <w:autoSpaceDN/>
              <w:bidi w:val="0"/>
              <w:spacing w:line="360" w:lineRule="exact"/>
              <w:ind w:left="24" w:leftChars="10" w:right="24" w:rightChars="1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邮编：611700</w:t>
            </w:r>
          </w:p>
          <w:p>
            <w:pPr>
              <w:pStyle w:val="41"/>
              <w:keepNext w:val="0"/>
              <w:keepLines w:val="0"/>
              <w:pageBreakBefore w:val="0"/>
              <w:widowControl w:val="0"/>
              <w:kinsoku/>
              <w:overflowPunct/>
              <w:autoSpaceDE/>
              <w:autoSpaceDN/>
              <w:bidi w:val="0"/>
              <w:spacing w:line="360" w:lineRule="exact"/>
              <w:ind w:left="24" w:leftChars="10" w:right="24" w:rightChars="10" w:firstLine="0" w:firstLineChars="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注：供应商投诉应当有明确的请求和必要的证明材料。供应商投诉的事项不得超出已质疑事项的范围，须符合《政府采购质疑和投诉办法》(财政部第94号令)规定，并使用财政部下发《投诉书》范本。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5"/>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lang w:eastAsia="zh-CN"/>
              </w:rPr>
            </w:pPr>
          </w:p>
        </w:tc>
        <w:tc>
          <w:tcPr>
            <w:tcW w:w="2009"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服务质量投诉电话</w:t>
            </w:r>
          </w:p>
        </w:tc>
        <w:tc>
          <w:tcPr>
            <w:tcW w:w="7171"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联系人：万方仪</w:t>
            </w:r>
          </w:p>
          <w:p>
            <w:pPr>
              <w:pStyle w:val="41"/>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联系电话：</w:t>
            </w:r>
            <w:r>
              <w:rPr>
                <w:rFonts w:hint="eastAsia" w:ascii="宋体" w:hAnsi="宋体" w:eastAsia="宋体" w:cs="宋体"/>
                <w:color w:val="auto"/>
                <w:sz w:val="21"/>
                <w:szCs w:val="21"/>
                <w:highlight w:val="none"/>
                <w:lang w:eastAsia="zh-CN"/>
              </w:rPr>
              <w:t>028-61375575、62600820、62630990转6</w:t>
            </w:r>
            <w:r>
              <w:rPr>
                <w:rFonts w:hint="eastAsia" w:ascii="宋体" w:hAnsi="宋体" w:eastAsia="宋体" w:cs="宋体"/>
                <w:color w:val="auto"/>
                <w:sz w:val="21"/>
                <w:szCs w:val="21"/>
                <w:highlight w:val="no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5"/>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lang w:eastAsia="zh-CN"/>
              </w:rPr>
            </w:pPr>
          </w:p>
        </w:tc>
        <w:tc>
          <w:tcPr>
            <w:tcW w:w="2009"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声明承诺提醒</w:t>
            </w:r>
          </w:p>
        </w:tc>
        <w:tc>
          <w:tcPr>
            <w:tcW w:w="7171"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投标人的投标</w:t>
            </w:r>
            <w:r>
              <w:rPr>
                <w:rFonts w:hint="eastAsia" w:ascii="宋体" w:hAnsi="宋体" w:eastAsia="宋体" w:cs="宋体"/>
                <w:color w:val="auto"/>
                <w:sz w:val="21"/>
                <w:szCs w:val="21"/>
                <w:highlight w:val="none"/>
                <w:lang w:val="zh-CN"/>
              </w:rPr>
              <w:t>文件中提供的各种声明和承诺应当真实有效，无效声明和承诺、虚假声明和承诺将由</w:t>
            </w:r>
            <w:r>
              <w:rPr>
                <w:rFonts w:hint="eastAsia" w:ascii="宋体" w:hAnsi="宋体" w:eastAsia="宋体" w:cs="宋体"/>
                <w:color w:val="auto"/>
                <w:sz w:val="21"/>
                <w:szCs w:val="21"/>
                <w:highlight w:val="none"/>
                <w:lang w:val="en-US" w:eastAsia="zh-CN"/>
              </w:rPr>
              <w:t>投标人自行</w:t>
            </w:r>
            <w:r>
              <w:rPr>
                <w:rFonts w:hint="eastAsia" w:ascii="宋体" w:hAnsi="宋体" w:eastAsia="宋体" w:cs="宋体"/>
                <w:color w:val="auto"/>
                <w:sz w:val="21"/>
                <w:szCs w:val="21"/>
                <w:highlight w:val="none"/>
                <w:lang w:val="zh-CN"/>
              </w:rPr>
              <w:t>承担由此带来的</w:t>
            </w:r>
            <w:r>
              <w:rPr>
                <w:rFonts w:hint="eastAsia" w:ascii="宋体" w:hAnsi="宋体" w:eastAsia="宋体" w:cs="宋体"/>
                <w:color w:val="auto"/>
                <w:sz w:val="21"/>
                <w:szCs w:val="21"/>
                <w:highlight w:val="none"/>
                <w:lang w:val="en-US" w:eastAsia="zh-CN"/>
              </w:rPr>
              <w:t>一切</w:t>
            </w:r>
            <w:r>
              <w:rPr>
                <w:rFonts w:hint="eastAsia" w:ascii="宋体" w:hAnsi="宋体" w:eastAsia="宋体" w:cs="宋体"/>
                <w:color w:val="auto"/>
                <w:sz w:val="21"/>
                <w:szCs w:val="21"/>
                <w:highlight w:val="none"/>
                <w:lang w:val="zh-CN"/>
              </w:rPr>
              <w:t>不利后果，</w:t>
            </w:r>
            <w:r>
              <w:rPr>
                <w:rFonts w:hint="eastAsia" w:ascii="宋体" w:hAnsi="宋体" w:eastAsia="宋体" w:cs="宋体"/>
                <w:color w:val="auto"/>
                <w:sz w:val="21"/>
                <w:szCs w:val="21"/>
                <w:highlight w:val="none"/>
                <w:lang w:val="en-US" w:eastAsia="zh-CN"/>
              </w:rPr>
              <w:t>采购代理机构</w:t>
            </w:r>
            <w:r>
              <w:rPr>
                <w:rFonts w:hint="eastAsia" w:ascii="宋体" w:hAnsi="宋体" w:eastAsia="宋体" w:cs="宋体"/>
                <w:color w:val="auto"/>
                <w:sz w:val="21"/>
                <w:szCs w:val="21"/>
                <w:highlight w:val="none"/>
                <w:lang w:val="zh-CN"/>
              </w:rPr>
              <w:t>还将报告监管部门追究</w:t>
            </w:r>
            <w:r>
              <w:rPr>
                <w:rFonts w:hint="eastAsia" w:ascii="宋体" w:hAnsi="宋体" w:eastAsia="宋体" w:cs="宋体"/>
                <w:color w:val="auto"/>
                <w:sz w:val="21"/>
                <w:szCs w:val="21"/>
                <w:highlight w:val="none"/>
                <w:lang w:val="en-US" w:eastAsia="zh-CN"/>
              </w:rPr>
              <w:t>其</w:t>
            </w:r>
            <w:r>
              <w:rPr>
                <w:rFonts w:hint="eastAsia" w:ascii="宋体" w:hAnsi="宋体" w:eastAsia="宋体" w:cs="宋体"/>
                <w:color w:val="auto"/>
                <w:sz w:val="21"/>
                <w:szCs w:val="21"/>
                <w:highlight w:val="none"/>
                <w:lang w:val="zh-CN"/>
              </w:rPr>
              <w:t>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5"/>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lang w:eastAsia="zh-CN"/>
              </w:rPr>
            </w:pPr>
          </w:p>
        </w:tc>
        <w:tc>
          <w:tcPr>
            <w:tcW w:w="2009"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7171"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若招标文件中其他内容与投标人须知</w:t>
            </w:r>
            <w:r>
              <w:rPr>
                <w:rFonts w:hint="eastAsia" w:ascii="宋体" w:hAnsi="宋体" w:eastAsia="宋体" w:cs="宋体"/>
                <w:color w:val="auto"/>
                <w:sz w:val="21"/>
                <w:szCs w:val="21"/>
                <w:highlight w:val="none"/>
                <w:lang w:val="en-US" w:eastAsia="zh-CN"/>
              </w:rPr>
              <w:t>前</w:t>
            </w:r>
            <w:r>
              <w:rPr>
                <w:rFonts w:hint="eastAsia" w:ascii="宋体" w:hAnsi="宋体" w:eastAsia="宋体" w:cs="宋体"/>
                <w:color w:val="auto"/>
                <w:sz w:val="21"/>
                <w:szCs w:val="21"/>
                <w:highlight w:val="none"/>
              </w:rPr>
              <w:t>附表内容不一致的，以投标人须知</w:t>
            </w:r>
            <w:r>
              <w:rPr>
                <w:rFonts w:hint="eastAsia" w:ascii="宋体" w:hAnsi="宋体" w:eastAsia="宋体" w:cs="宋体"/>
                <w:color w:val="auto"/>
                <w:sz w:val="21"/>
                <w:szCs w:val="21"/>
                <w:highlight w:val="none"/>
                <w:lang w:val="en-US" w:eastAsia="zh-CN"/>
              </w:rPr>
              <w:t>前</w:t>
            </w:r>
            <w:r>
              <w:rPr>
                <w:rFonts w:hint="eastAsia" w:ascii="宋体" w:hAnsi="宋体" w:eastAsia="宋体" w:cs="宋体"/>
                <w:color w:val="auto"/>
                <w:sz w:val="21"/>
                <w:szCs w:val="21"/>
                <w:highlight w:val="none"/>
              </w:rPr>
              <w:t>附表为准。</w:t>
            </w:r>
          </w:p>
        </w:tc>
      </w:tr>
    </w:tbl>
    <w:p>
      <w:pPr>
        <w:pStyle w:val="43"/>
        <w:bidi w:val="0"/>
        <w:rPr>
          <w:rFonts w:hint="eastAsia"/>
          <w:color w:val="auto"/>
          <w:highlight w:val="none"/>
        </w:rPr>
      </w:pPr>
      <w:r>
        <w:rPr>
          <w:rFonts w:hint="eastAsia"/>
          <w:color w:val="auto"/>
          <w:highlight w:val="none"/>
        </w:rPr>
        <w:br w:type="page"/>
      </w:r>
      <w:bookmarkStart w:id="35" w:name="_Toc26593"/>
      <w:bookmarkStart w:id="36" w:name="_Toc26518"/>
      <w:bookmarkStart w:id="37" w:name="_Toc2042"/>
      <w:bookmarkStart w:id="38" w:name="_Toc15995"/>
      <w:bookmarkStart w:id="39" w:name="_Toc23295"/>
      <w:bookmarkStart w:id="40" w:name="_Toc4011"/>
      <w:r>
        <w:rPr>
          <w:rFonts w:hint="eastAsia"/>
          <w:color w:val="auto"/>
          <w:highlight w:val="none"/>
        </w:rPr>
        <w:t>总 则</w:t>
      </w:r>
      <w:bookmarkEnd w:id="34"/>
      <w:bookmarkEnd w:id="35"/>
      <w:bookmarkEnd w:id="36"/>
      <w:bookmarkEnd w:id="37"/>
      <w:bookmarkEnd w:id="38"/>
      <w:bookmarkEnd w:id="39"/>
      <w:bookmarkEnd w:id="40"/>
    </w:p>
    <w:p>
      <w:pPr>
        <w:pStyle w:val="49"/>
        <w:bidi w:val="0"/>
        <w:spacing w:line="520" w:lineRule="exact"/>
        <w:rPr>
          <w:rFonts w:hint="eastAsia"/>
          <w:color w:val="auto"/>
          <w:highlight w:val="none"/>
        </w:rPr>
      </w:pPr>
      <w:bookmarkStart w:id="41" w:name="_Toc307564829"/>
      <w:bookmarkStart w:id="42" w:name="_Toc31870"/>
      <w:bookmarkStart w:id="43" w:name="_Toc217446034"/>
      <w:bookmarkStart w:id="44" w:name="_Toc3601"/>
      <w:bookmarkStart w:id="45" w:name="_Toc8501"/>
      <w:bookmarkStart w:id="46" w:name="_Toc10311"/>
      <w:bookmarkStart w:id="47" w:name="_Toc32648"/>
      <w:bookmarkStart w:id="48" w:name="_Toc29532"/>
      <w:bookmarkStart w:id="49" w:name="_Toc32483"/>
      <w:bookmarkStart w:id="50" w:name="_Toc20769"/>
      <w:bookmarkStart w:id="51" w:name="_Toc308188129"/>
      <w:bookmarkStart w:id="52" w:name="_Toc28450"/>
      <w:bookmarkStart w:id="53" w:name="_Toc23796"/>
      <w:bookmarkStart w:id="54" w:name="_Toc5790"/>
      <w:bookmarkStart w:id="55" w:name="_Toc307501086"/>
      <w:bookmarkStart w:id="56" w:name="_Toc319440119"/>
      <w:bookmarkStart w:id="57" w:name="_Toc12046"/>
      <w:bookmarkStart w:id="58" w:name="_Toc319439877"/>
      <w:bookmarkStart w:id="59" w:name="_Toc15320"/>
      <w:bookmarkStart w:id="60" w:name="_Toc327196263"/>
      <w:bookmarkStart w:id="61" w:name="_Toc308084574"/>
      <w:bookmarkStart w:id="62" w:name="_Toc309897492"/>
      <w:r>
        <w:rPr>
          <w:rFonts w:hint="eastAsia"/>
          <w:color w:val="auto"/>
          <w:highlight w:val="none"/>
        </w:rPr>
        <w:t>适用范围</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pPr>
        <w:pStyle w:val="35"/>
        <w:numPr>
          <w:ilvl w:val="2"/>
          <w:numId w:val="0"/>
        </w:numPr>
        <w:bidi w:val="0"/>
        <w:spacing w:line="520" w:lineRule="exact"/>
        <w:ind w:leftChars="200"/>
        <w:rPr>
          <w:rFonts w:hint="eastAsia"/>
          <w:color w:val="auto"/>
          <w:highlight w:val="none"/>
        </w:rPr>
      </w:pPr>
      <w:r>
        <w:rPr>
          <w:rFonts w:hint="eastAsia"/>
          <w:color w:val="auto"/>
          <w:highlight w:val="none"/>
        </w:rPr>
        <w:t>本招标文件仅适用于本次公开招标采购项目。</w:t>
      </w:r>
    </w:p>
    <w:p>
      <w:pPr>
        <w:pStyle w:val="49"/>
        <w:bidi w:val="0"/>
        <w:spacing w:line="520" w:lineRule="exact"/>
        <w:rPr>
          <w:rFonts w:hint="eastAsia"/>
          <w:color w:val="auto"/>
          <w:highlight w:val="none"/>
        </w:rPr>
      </w:pPr>
      <w:bookmarkStart w:id="63" w:name="_Toc319439878"/>
      <w:bookmarkStart w:id="64" w:name="_Toc118"/>
      <w:bookmarkStart w:id="65" w:name="_Toc217446035"/>
      <w:bookmarkStart w:id="66" w:name="_Toc13022"/>
      <w:bookmarkStart w:id="67" w:name="_Toc19670"/>
      <w:bookmarkStart w:id="68" w:name="_Toc2775"/>
      <w:bookmarkStart w:id="69" w:name="_Toc16858"/>
      <w:bookmarkStart w:id="70" w:name="_Toc12194"/>
      <w:bookmarkStart w:id="71" w:name="_Toc24751"/>
      <w:bookmarkStart w:id="72" w:name="_Toc308084575"/>
      <w:bookmarkStart w:id="73" w:name="_Toc307501087"/>
      <w:bookmarkStart w:id="74" w:name="_Toc19069"/>
      <w:bookmarkStart w:id="75" w:name="_Toc309897493"/>
      <w:bookmarkStart w:id="76" w:name="_Toc319440120"/>
      <w:bookmarkStart w:id="77" w:name="_Toc308188130"/>
      <w:bookmarkStart w:id="78" w:name="_Toc30345"/>
      <w:bookmarkStart w:id="79" w:name="_Toc327196264"/>
      <w:bookmarkStart w:id="80" w:name="_Toc524"/>
      <w:bookmarkStart w:id="81" w:name="_Toc7942"/>
      <w:bookmarkStart w:id="82" w:name="_Toc307564830"/>
      <w:bookmarkStart w:id="83" w:name="_Toc24985"/>
      <w:bookmarkStart w:id="84" w:name="_Toc156"/>
      <w:r>
        <w:rPr>
          <w:rFonts w:hint="eastAsia"/>
          <w:color w:val="auto"/>
          <w:highlight w:val="none"/>
        </w:rPr>
        <w:t>有关定义</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pStyle w:val="63"/>
        <w:bidi w:val="0"/>
        <w:spacing w:line="520" w:lineRule="exact"/>
        <w:rPr>
          <w:rFonts w:hint="eastAsia"/>
          <w:color w:val="auto"/>
          <w:highlight w:val="none"/>
        </w:rPr>
      </w:pPr>
      <w:r>
        <w:rPr>
          <w:rFonts w:hint="eastAsia"/>
          <w:color w:val="auto"/>
          <w:highlight w:val="none"/>
        </w:rPr>
        <w:t>“采购人”系指</w:t>
      </w:r>
      <w:r>
        <w:rPr>
          <w:rFonts w:hint="eastAsia"/>
          <w:color w:val="auto"/>
          <w:highlight w:val="none"/>
          <w:lang w:val="en-US" w:eastAsia="zh-CN"/>
        </w:rPr>
        <w:t>成都市技师学院</w:t>
      </w:r>
      <w:r>
        <w:rPr>
          <w:rFonts w:hint="eastAsia"/>
          <w:color w:val="auto"/>
          <w:highlight w:val="none"/>
        </w:rPr>
        <w:t>。</w:t>
      </w:r>
      <w:r>
        <w:rPr>
          <w:rFonts w:hint="eastAsia"/>
          <w:color w:val="auto"/>
          <w:highlight w:val="none"/>
          <w:lang w:val="en-US" w:eastAsia="zh-CN"/>
        </w:rPr>
        <w:t>本项目</w:t>
      </w:r>
      <w:r>
        <w:rPr>
          <w:rFonts w:hint="eastAsia"/>
          <w:color w:val="auto"/>
          <w:highlight w:val="none"/>
        </w:rPr>
        <w:t>招标文件最终</w:t>
      </w:r>
      <w:r>
        <w:rPr>
          <w:rFonts w:hint="eastAsia"/>
          <w:color w:val="auto"/>
          <w:highlight w:val="none"/>
          <w:lang w:val="zh-CN"/>
        </w:rPr>
        <w:t>解释权归采购人和采购代理机构所有</w:t>
      </w:r>
      <w:r>
        <w:rPr>
          <w:rFonts w:hint="eastAsia"/>
          <w:color w:val="auto"/>
          <w:highlight w:val="none"/>
        </w:rPr>
        <w:t>。</w:t>
      </w:r>
    </w:p>
    <w:p>
      <w:pPr>
        <w:pStyle w:val="63"/>
        <w:bidi w:val="0"/>
        <w:spacing w:line="520" w:lineRule="exact"/>
        <w:rPr>
          <w:rFonts w:hint="eastAsia"/>
          <w:color w:val="auto"/>
          <w:highlight w:val="none"/>
        </w:rPr>
      </w:pPr>
      <w:r>
        <w:rPr>
          <w:rFonts w:hint="eastAsia"/>
          <w:color w:val="auto"/>
          <w:highlight w:val="none"/>
        </w:rPr>
        <w:t>“采购代理机构”系指根据采购人的委托依法办理招标事宜的采购机构。本次招标的采购代理机构是四川乾新招投标代理有限公司。</w:t>
      </w:r>
    </w:p>
    <w:p>
      <w:pPr>
        <w:pStyle w:val="63"/>
        <w:bidi w:val="0"/>
        <w:spacing w:line="520" w:lineRule="exact"/>
        <w:rPr>
          <w:rFonts w:hint="eastAsia"/>
          <w:color w:val="auto"/>
          <w:highlight w:val="none"/>
        </w:rPr>
      </w:pPr>
      <w:r>
        <w:rPr>
          <w:rFonts w:hint="eastAsia"/>
          <w:color w:val="auto"/>
          <w:highlight w:val="none"/>
        </w:rPr>
        <w:t>“招标采购单位”系指“采购人”和“采购代理机构”的统称。</w:t>
      </w:r>
    </w:p>
    <w:p>
      <w:pPr>
        <w:pStyle w:val="63"/>
        <w:bidi w:val="0"/>
        <w:spacing w:line="520" w:lineRule="exact"/>
        <w:rPr>
          <w:rFonts w:hint="eastAsia"/>
          <w:color w:val="auto"/>
          <w:highlight w:val="none"/>
        </w:rPr>
      </w:pPr>
      <w:r>
        <w:rPr>
          <w:rFonts w:hint="eastAsia"/>
          <w:color w:val="auto"/>
          <w:highlight w:val="none"/>
        </w:rPr>
        <w:t>“投标人”系指</w:t>
      </w:r>
      <w:r>
        <w:rPr>
          <w:rFonts w:hint="eastAsia"/>
          <w:b w:val="0"/>
          <w:bCs w:val="0"/>
          <w:color w:val="auto"/>
          <w:highlight w:val="none"/>
          <w:lang w:val="en-US" w:eastAsia="zh-CN"/>
        </w:rPr>
        <w:t>获取</w:t>
      </w:r>
      <w:r>
        <w:rPr>
          <w:rFonts w:hint="eastAsia"/>
          <w:color w:val="auto"/>
          <w:highlight w:val="none"/>
        </w:rPr>
        <w:t>了招标文件拟参加投标和向采购人提供货物及相应服务的供应商。</w:t>
      </w:r>
    </w:p>
    <w:p>
      <w:pPr>
        <w:pStyle w:val="63"/>
        <w:bidi w:val="0"/>
        <w:spacing w:line="520" w:lineRule="exact"/>
        <w:rPr>
          <w:rFonts w:hint="eastAsia"/>
          <w:color w:val="auto"/>
          <w:highlight w:val="none"/>
        </w:rPr>
      </w:pPr>
      <w:r>
        <w:rPr>
          <w:rFonts w:hint="eastAsia"/>
          <w:color w:val="auto"/>
          <w:highlight w:val="none"/>
        </w:rPr>
        <w:t>招标文件各部分规定的期间以时、日、月、年计算。期间开始的时和日，不计算在期间内，从次日开始计算。</w:t>
      </w:r>
      <w:r>
        <w:rPr>
          <w:rFonts w:hint="eastAsia"/>
          <w:color w:val="auto"/>
          <w:highlight w:val="none"/>
          <w:lang w:val="en-US" w:eastAsia="zh-CN"/>
        </w:rPr>
        <w:t>期限的最后一日是国家法定节假日的，顺延到节假日后的次日为期限的最后一日</w:t>
      </w:r>
      <w:r>
        <w:rPr>
          <w:rFonts w:hint="eastAsia"/>
          <w:color w:val="auto"/>
          <w:highlight w:val="none"/>
        </w:rPr>
        <w:t>。</w:t>
      </w:r>
      <w:r>
        <w:rPr>
          <w:rFonts w:hint="eastAsia"/>
          <w:color w:val="auto"/>
          <w:highlight w:val="none"/>
          <w:lang w:val="en-US" w:eastAsia="zh-CN"/>
        </w:rPr>
        <w:t>招标文件涉及的法律法规中</w:t>
      </w:r>
      <w:r>
        <w:rPr>
          <w:rFonts w:hint="eastAsia"/>
          <w:color w:val="auto"/>
          <w:highlight w:val="none"/>
        </w:rPr>
        <w:t>所称的“以上”、“以下”、“内”、“以内”，包括本数；所称的“不足”，不包括本数</w:t>
      </w:r>
      <w:r>
        <w:rPr>
          <w:rFonts w:hint="eastAsia"/>
          <w:color w:val="auto"/>
          <w:highlight w:val="none"/>
          <w:lang w:eastAsia="zh-CN"/>
        </w:rPr>
        <w:t>。</w:t>
      </w:r>
    </w:p>
    <w:p>
      <w:pPr>
        <w:pStyle w:val="63"/>
        <w:bidi w:val="0"/>
        <w:spacing w:line="520" w:lineRule="exact"/>
        <w:rPr>
          <w:rFonts w:hint="eastAsia"/>
          <w:color w:val="auto"/>
          <w:highlight w:val="none"/>
          <w:lang w:val="en-US" w:eastAsia="zh-CN"/>
        </w:rPr>
      </w:pPr>
      <w:r>
        <w:rPr>
          <w:rFonts w:hint="eastAsia"/>
          <w:color w:val="auto"/>
          <w:highlight w:val="none"/>
          <w:lang w:val="en-US" w:eastAsia="zh-CN"/>
        </w:rPr>
        <w:t>本招标文件各部分规定的时间均以北京时间为准。</w:t>
      </w:r>
    </w:p>
    <w:p>
      <w:pPr>
        <w:pStyle w:val="49"/>
        <w:bidi w:val="0"/>
        <w:spacing w:line="520" w:lineRule="exact"/>
        <w:rPr>
          <w:rFonts w:hint="eastAsia"/>
          <w:color w:val="auto"/>
          <w:highlight w:val="none"/>
        </w:rPr>
      </w:pPr>
      <w:bookmarkStart w:id="85" w:name="_Toc327196265"/>
      <w:bookmarkStart w:id="86" w:name="_Toc319439879"/>
      <w:bookmarkStart w:id="87" w:name="_Toc308188131"/>
      <w:bookmarkStart w:id="88" w:name="_Toc3060"/>
      <w:bookmarkStart w:id="89" w:name="_Toc22174"/>
      <w:bookmarkStart w:id="90" w:name="_Toc26508"/>
      <w:bookmarkStart w:id="91" w:name="_Toc24547"/>
      <w:bookmarkStart w:id="92" w:name="_Toc183582207"/>
      <w:bookmarkStart w:id="93" w:name="_Toc30244"/>
      <w:bookmarkStart w:id="94" w:name="_Toc7511"/>
      <w:bookmarkStart w:id="95" w:name="_Toc319440121"/>
      <w:bookmarkStart w:id="96" w:name="_Toc217446036"/>
      <w:bookmarkStart w:id="97" w:name="_Toc309897494"/>
      <w:bookmarkStart w:id="98" w:name="_Toc217390843"/>
      <w:bookmarkStart w:id="99" w:name="_Toc307501088"/>
      <w:bookmarkStart w:id="100" w:name="_Toc29784"/>
      <w:bookmarkStart w:id="101" w:name="_Toc23383"/>
      <w:bookmarkStart w:id="102" w:name="_Toc183682344"/>
      <w:bookmarkStart w:id="103" w:name="_Toc307564831"/>
      <w:bookmarkStart w:id="104" w:name="_Toc308084576"/>
      <w:bookmarkStart w:id="105" w:name="_Toc30689"/>
      <w:bookmarkStart w:id="106" w:name="_Toc25594"/>
      <w:bookmarkStart w:id="107" w:name="_Toc4501"/>
      <w:bookmarkStart w:id="108" w:name="_Toc9632"/>
      <w:bookmarkStart w:id="109" w:name="_Toc31295"/>
      <w:r>
        <w:rPr>
          <w:rFonts w:hint="eastAsia"/>
          <w:color w:val="auto"/>
          <w:highlight w:val="none"/>
        </w:rPr>
        <w:t>合格的投标人</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Pr>
          <w:rFonts w:hint="eastAsia"/>
          <w:color w:val="auto"/>
          <w:highlight w:val="none"/>
          <w:lang w:val="en-US" w:eastAsia="zh-CN"/>
        </w:rPr>
        <w:t>(实质性要求)</w:t>
      </w:r>
      <w:bookmarkEnd w:id="105"/>
      <w:bookmarkEnd w:id="106"/>
      <w:bookmarkEnd w:id="107"/>
      <w:bookmarkEnd w:id="108"/>
      <w:bookmarkEnd w:id="109"/>
    </w:p>
    <w:p>
      <w:pPr>
        <w:pStyle w:val="46"/>
        <w:bidi w:val="0"/>
        <w:spacing w:line="520" w:lineRule="exact"/>
        <w:rPr>
          <w:rFonts w:hint="eastAsia"/>
          <w:color w:val="auto"/>
          <w:highlight w:val="none"/>
        </w:rPr>
      </w:pPr>
      <w:r>
        <w:rPr>
          <w:rFonts w:hint="eastAsia"/>
          <w:color w:val="auto"/>
          <w:highlight w:val="none"/>
        </w:rPr>
        <w:t>合格的投标人应具备以下条件：</w:t>
      </w:r>
    </w:p>
    <w:p>
      <w:pPr>
        <w:pStyle w:val="63"/>
        <w:bidi w:val="0"/>
        <w:spacing w:line="520" w:lineRule="exact"/>
        <w:rPr>
          <w:rFonts w:hint="eastAsia"/>
          <w:color w:val="auto"/>
          <w:highlight w:val="none"/>
        </w:rPr>
      </w:pPr>
      <w:r>
        <w:rPr>
          <w:rFonts w:hint="eastAsia"/>
          <w:color w:val="auto"/>
          <w:highlight w:val="none"/>
        </w:rPr>
        <w:t>本招标文件“投标邀请”第五条规定的条件；</w:t>
      </w:r>
    </w:p>
    <w:p>
      <w:pPr>
        <w:pStyle w:val="63"/>
        <w:bidi w:val="0"/>
        <w:spacing w:line="520" w:lineRule="exact"/>
        <w:rPr>
          <w:rFonts w:hint="eastAsia"/>
          <w:color w:val="auto"/>
          <w:highlight w:val="none"/>
        </w:rPr>
      </w:pPr>
      <w:r>
        <w:rPr>
          <w:rFonts w:hint="eastAsia"/>
          <w:color w:val="auto"/>
          <w:highlight w:val="none"/>
        </w:rPr>
        <w:t>遵守国家有关的法律、法规、规章和其他政策制度；</w:t>
      </w:r>
    </w:p>
    <w:p>
      <w:pPr>
        <w:pStyle w:val="63"/>
        <w:bidi w:val="0"/>
        <w:spacing w:line="520" w:lineRule="exact"/>
        <w:rPr>
          <w:rFonts w:hint="eastAsia"/>
          <w:color w:val="auto"/>
          <w:highlight w:val="none"/>
        </w:rPr>
      </w:pPr>
      <w:r>
        <w:rPr>
          <w:rFonts w:hint="eastAsia"/>
          <w:color w:val="auto"/>
          <w:highlight w:val="none"/>
          <w:lang w:val="en-US" w:eastAsia="zh-CN"/>
        </w:rPr>
        <w:t>依法通过</w:t>
      </w:r>
      <w:r>
        <w:rPr>
          <w:rFonts w:hint="eastAsia" w:cs="宋体"/>
          <w:color w:val="auto"/>
          <w:highlight w:val="none"/>
          <w:lang w:val="en-US" w:eastAsia="zh-CN"/>
        </w:rPr>
        <w:t>采购代理机构</w:t>
      </w:r>
      <w:r>
        <w:rPr>
          <w:rFonts w:hint="eastAsia"/>
          <w:color w:val="auto"/>
          <w:highlight w:val="none"/>
          <w:lang w:val="en-US" w:eastAsia="zh-CN"/>
        </w:rPr>
        <w:t>获取了</w:t>
      </w:r>
      <w:r>
        <w:rPr>
          <w:rFonts w:hint="eastAsia"/>
          <w:color w:val="auto"/>
          <w:highlight w:val="none"/>
        </w:rPr>
        <w:t>招标文件</w:t>
      </w:r>
      <w:r>
        <w:rPr>
          <w:rFonts w:hint="eastAsia"/>
          <w:color w:val="auto"/>
          <w:highlight w:val="none"/>
          <w:lang w:val="en-US" w:eastAsia="zh-CN"/>
        </w:rPr>
        <w:t>并完成报名登记</w:t>
      </w:r>
      <w:r>
        <w:rPr>
          <w:rFonts w:hint="eastAsia"/>
          <w:color w:val="auto"/>
          <w:highlight w:val="none"/>
        </w:rPr>
        <w:t>。</w:t>
      </w:r>
    </w:p>
    <w:p>
      <w:pPr>
        <w:pStyle w:val="49"/>
        <w:bidi w:val="0"/>
        <w:spacing w:line="520" w:lineRule="exact"/>
        <w:rPr>
          <w:rFonts w:hint="eastAsia"/>
          <w:color w:val="auto"/>
          <w:highlight w:val="none"/>
        </w:rPr>
      </w:pPr>
      <w:bookmarkStart w:id="110" w:name="_Toc327196266"/>
      <w:bookmarkStart w:id="111" w:name="_Toc9761"/>
      <w:bookmarkStart w:id="112" w:name="_Toc307501089"/>
      <w:bookmarkStart w:id="113" w:name="_Toc319439880"/>
      <w:bookmarkStart w:id="114" w:name="_Toc4414"/>
      <w:bookmarkStart w:id="115" w:name="_Toc308188132"/>
      <w:bookmarkStart w:id="116" w:name="_Toc308084577"/>
      <w:bookmarkStart w:id="117" w:name="_Toc28895"/>
      <w:bookmarkStart w:id="118" w:name="_Toc319440122"/>
      <w:bookmarkStart w:id="119" w:name="_Toc309897495"/>
      <w:bookmarkStart w:id="120" w:name="_Toc183682345"/>
      <w:bookmarkStart w:id="121" w:name="_Toc5067"/>
      <w:bookmarkStart w:id="122" w:name="_Toc183582208"/>
      <w:bookmarkStart w:id="123" w:name="_Toc26952"/>
      <w:bookmarkStart w:id="124" w:name="_Toc217446037"/>
      <w:bookmarkStart w:id="125" w:name="_Toc14323"/>
      <w:bookmarkStart w:id="126" w:name="_Toc21649"/>
      <w:bookmarkStart w:id="127" w:name="_Toc307564832"/>
      <w:bookmarkStart w:id="128" w:name="_Toc12293"/>
      <w:bookmarkStart w:id="129" w:name="_Toc31729"/>
      <w:bookmarkStart w:id="130" w:name="_Toc7047"/>
      <w:bookmarkStart w:id="131" w:name="_Toc20132"/>
      <w:bookmarkStart w:id="132" w:name="_Toc24972"/>
      <w:bookmarkStart w:id="133" w:name="_Toc30597"/>
      <w:r>
        <w:rPr>
          <w:rFonts w:hint="eastAsia"/>
          <w:color w:val="auto"/>
          <w:highlight w:val="none"/>
        </w:rPr>
        <w:t>投标费用</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Pr>
          <w:rFonts w:hint="eastAsia"/>
          <w:color w:val="auto"/>
          <w:highlight w:val="none"/>
          <w:lang w:val="en-US" w:eastAsia="zh-CN"/>
        </w:rPr>
        <w:t>(实质性要求)</w:t>
      </w:r>
      <w:bookmarkEnd w:id="129"/>
      <w:bookmarkEnd w:id="130"/>
      <w:bookmarkEnd w:id="131"/>
      <w:bookmarkEnd w:id="132"/>
      <w:bookmarkEnd w:id="133"/>
    </w:p>
    <w:p>
      <w:pPr>
        <w:pStyle w:val="46"/>
        <w:bidi w:val="0"/>
        <w:spacing w:line="520" w:lineRule="exact"/>
        <w:rPr>
          <w:rFonts w:hint="eastAsia"/>
          <w:color w:val="auto"/>
          <w:highlight w:val="none"/>
        </w:rPr>
      </w:pPr>
      <w:r>
        <w:rPr>
          <w:rFonts w:hint="eastAsia"/>
          <w:color w:val="auto"/>
          <w:highlight w:val="none"/>
        </w:rPr>
        <w:t>投标人参加投标的有关费用由投标人自行承担。</w:t>
      </w:r>
    </w:p>
    <w:p>
      <w:pPr>
        <w:pStyle w:val="49"/>
        <w:bidi w:val="0"/>
        <w:spacing w:line="520" w:lineRule="exact"/>
        <w:rPr>
          <w:rFonts w:hint="eastAsia"/>
          <w:color w:val="auto"/>
          <w:highlight w:val="none"/>
        </w:rPr>
      </w:pPr>
      <w:bookmarkStart w:id="134" w:name="_Toc18984"/>
      <w:bookmarkStart w:id="135" w:name="_Toc307501090"/>
      <w:bookmarkStart w:id="136" w:name="_Toc7710"/>
      <w:bookmarkStart w:id="137" w:name="_Toc307564833"/>
      <w:bookmarkStart w:id="138" w:name="_Toc11996"/>
      <w:bookmarkStart w:id="139" w:name="_Toc308084578"/>
      <w:bookmarkStart w:id="140" w:name="_Toc308188133"/>
      <w:bookmarkStart w:id="141" w:name="_Toc11131"/>
      <w:bookmarkStart w:id="142" w:name="_Toc18993"/>
      <w:bookmarkStart w:id="143" w:name="_Toc27927"/>
      <w:bookmarkStart w:id="144" w:name="_Toc27604"/>
      <w:bookmarkStart w:id="145" w:name="_Toc309897496"/>
      <w:bookmarkStart w:id="146" w:name="_Toc319439881"/>
      <w:bookmarkStart w:id="147" w:name="_Toc327196267"/>
      <w:bookmarkStart w:id="148" w:name="_Toc319440123"/>
      <w:bookmarkStart w:id="149" w:name="_Toc28490"/>
      <w:bookmarkStart w:id="150" w:name="_Toc11864"/>
      <w:bookmarkStart w:id="151" w:name="_Toc11923"/>
      <w:bookmarkStart w:id="152" w:name="_Toc5564"/>
      <w:bookmarkStart w:id="153" w:name="_Toc433"/>
      <w:bookmarkStart w:id="154" w:name="_Toc11411"/>
      <w:r>
        <w:rPr>
          <w:rFonts w:hint="eastAsia"/>
          <w:color w:val="auto"/>
          <w:highlight w:val="none"/>
        </w:rPr>
        <w:t>充分、公平竞争保障措施</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Pr>
          <w:rFonts w:hint="eastAsia"/>
          <w:color w:val="auto"/>
          <w:highlight w:val="none"/>
          <w:lang w:val="en-US" w:eastAsia="zh-CN"/>
        </w:rPr>
        <w:t>(实质性要求)</w:t>
      </w:r>
      <w:bookmarkEnd w:id="150"/>
      <w:bookmarkEnd w:id="151"/>
      <w:bookmarkEnd w:id="152"/>
      <w:bookmarkEnd w:id="153"/>
      <w:bookmarkEnd w:id="154"/>
    </w:p>
    <w:p>
      <w:pPr>
        <w:pStyle w:val="46"/>
        <w:bidi w:val="0"/>
        <w:spacing w:line="520" w:lineRule="exact"/>
        <w:rPr>
          <w:rFonts w:hint="eastAsia"/>
          <w:color w:val="auto"/>
          <w:highlight w:val="none"/>
        </w:rPr>
      </w:pPr>
      <w:bookmarkStart w:id="155" w:name="_Toc327196268"/>
      <w:bookmarkStart w:id="156" w:name="_Toc183682346"/>
      <w:bookmarkStart w:id="157" w:name="_Toc217446038"/>
      <w:bookmarkStart w:id="158" w:name="_Toc89075875"/>
      <w:bookmarkStart w:id="159" w:name="_Toc13891"/>
      <w:bookmarkStart w:id="160" w:name="_Toc183582209"/>
      <w:bookmarkStart w:id="161" w:name="_Toc77400779"/>
      <w:r>
        <w:rPr>
          <w:rFonts w:hint="eastAsia"/>
          <w:color w:val="auto"/>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color w:val="auto"/>
          <w:highlight w:val="none"/>
          <w:lang w:eastAsia="zh-CN"/>
        </w:rPr>
        <w:t>随机抽签</w:t>
      </w:r>
      <w:r>
        <w:rPr>
          <w:rFonts w:hint="eastAsia"/>
          <w:color w:val="auto"/>
          <w:highlight w:val="none"/>
        </w:rPr>
        <w:t>的方式确定一个投标人获得中标人推荐资格，其他同品牌投标人不作为中标候选人。</w:t>
      </w:r>
    </w:p>
    <w:p>
      <w:pPr>
        <w:pStyle w:val="46"/>
        <w:bidi w:val="0"/>
        <w:spacing w:line="520" w:lineRule="exact"/>
        <w:rPr>
          <w:rFonts w:hint="eastAsia"/>
          <w:color w:val="auto"/>
          <w:highlight w:val="none"/>
          <w:lang w:val="en-US" w:eastAsia="zh-CN"/>
        </w:rPr>
      </w:pPr>
      <w:r>
        <w:rPr>
          <w:rFonts w:hint="eastAsia"/>
          <w:color w:val="auto"/>
          <w:highlight w:val="none"/>
          <w:lang w:val="en-US" w:eastAsia="zh-CN"/>
        </w:rPr>
        <w:t>本采购项目核心产品为：工业物联训赛平台，若为相同品牌产品按前款规定执行。</w:t>
      </w:r>
    </w:p>
    <w:p>
      <w:pPr>
        <w:pStyle w:val="63"/>
        <w:bidi w:val="0"/>
        <w:spacing w:line="520" w:lineRule="exact"/>
        <w:rPr>
          <w:rFonts w:hint="eastAsia"/>
          <w:color w:val="auto"/>
          <w:highlight w:val="none"/>
        </w:rPr>
      </w:pPr>
      <w:r>
        <w:rPr>
          <w:rFonts w:hint="eastAsia"/>
          <w:color w:val="auto"/>
          <w:highlight w:val="none"/>
        </w:rPr>
        <w:t>利害关系供应商处理。</w:t>
      </w:r>
    </w:p>
    <w:p>
      <w:pPr>
        <w:pStyle w:val="46"/>
        <w:bidi w:val="0"/>
        <w:spacing w:line="520" w:lineRule="exact"/>
        <w:rPr>
          <w:rFonts w:hint="eastAsia"/>
          <w:color w:val="auto"/>
          <w:highlight w:val="none"/>
        </w:rPr>
      </w:pPr>
      <w:r>
        <w:rPr>
          <w:rFonts w:hint="eastAsia"/>
          <w:color w:val="auto"/>
          <w:highlight w:val="none"/>
        </w:rPr>
        <w:t>单位负责人为同一人或者存在直接控股、管理关系的不同供应商不得参加同一合同项下的</w:t>
      </w:r>
      <w:r>
        <w:rPr>
          <w:rFonts w:hint="eastAsia"/>
          <w:color w:val="auto"/>
          <w:highlight w:val="none"/>
          <w:lang w:eastAsia="zh-CN"/>
        </w:rPr>
        <w:t>采购</w:t>
      </w:r>
      <w:r>
        <w:rPr>
          <w:rFonts w:hint="eastAsia"/>
          <w:color w:val="auto"/>
          <w:highlight w:val="none"/>
        </w:rPr>
        <w:t>活动。采购项目实行资格预审的，单位负责人为同一人或者存在直接控股、管理关系的不同供应商可以参加资格预审，但只能选择其中一家符合条件的供应商参加后续的</w:t>
      </w:r>
      <w:r>
        <w:rPr>
          <w:rFonts w:hint="eastAsia"/>
          <w:color w:val="auto"/>
          <w:highlight w:val="none"/>
          <w:lang w:eastAsia="zh-CN"/>
        </w:rPr>
        <w:t>采购</w:t>
      </w:r>
      <w:r>
        <w:rPr>
          <w:rFonts w:hint="eastAsia"/>
          <w:color w:val="auto"/>
          <w:highlight w:val="none"/>
        </w:rPr>
        <w:t>活动。</w:t>
      </w:r>
    </w:p>
    <w:p>
      <w:pPr>
        <w:pStyle w:val="46"/>
        <w:bidi w:val="0"/>
        <w:spacing w:line="520" w:lineRule="exact"/>
        <w:rPr>
          <w:rFonts w:hint="eastAsia" w:eastAsia="宋体"/>
          <w:color w:val="auto"/>
          <w:highlight w:val="none"/>
          <w:lang w:val="en-US" w:eastAsia="zh-CN"/>
        </w:rPr>
      </w:pPr>
      <w:r>
        <w:rPr>
          <w:rFonts w:hint="eastAsia"/>
          <w:color w:val="auto"/>
          <w:highlight w:val="none"/>
          <w:lang w:val="en-US" w:eastAsia="zh-CN"/>
        </w:rPr>
        <w:t>注：按照相关法律法规规定，负责人是指单位法定代表人或者法律、行政法规规定代表单位行使职权的主要负责人。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管理关系是指与不具有出资持股关系的单位之间存在的其他管理与被管理关系。</w:t>
      </w:r>
    </w:p>
    <w:p>
      <w:pPr>
        <w:pStyle w:val="63"/>
        <w:bidi w:val="0"/>
        <w:spacing w:line="520" w:lineRule="exact"/>
        <w:rPr>
          <w:rFonts w:hint="eastAsia"/>
          <w:color w:val="auto"/>
          <w:highlight w:val="none"/>
        </w:rPr>
      </w:pPr>
      <w:r>
        <w:rPr>
          <w:rFonts w:hint="eastAsia"/>
          <w:color w:val="auto"/>
          <w:highlight w:val="none"/>
        </w:rPr>
        <w:t>前期参与供应商处理。</w:t>
      </w:r>
    </w:p>
    <w:p>
      <w:pPr>
        <w:pStyle w:val="46"/>
        <w:bidi w:val="0"/>
        <w:spacing w:line="520" w:lineRule="exact"/>
        <w:rPr>
          <w:rFonts w:hint="eastAsia"/>
          <w:color w:val="auto"/>
          <w:highlight w:val="none"/>
        </w:rPr>
      </w:pPr>
      <w:r>
        <w:rPr>
          <w:rFonts w:hint="eastAsia"/>
          <w:color w:val="auto"/>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w:t>
      </w:r>
      <w:r>
        <w:rPr>
          <w:rFonts w:hint="eastAsia"/>
          <w:color w:val="auto"/>
          <w:highlight w:val="none"/>
          <w:lang w:eastAsia="zh-CN"/>
        </w:rPr>
        <w:t>采购合同</w:t>
      </w:r>
      <w:r>
        <w:rPr>
          <w:rFonts w:hint="eastAsia"/>
          <w:color w:val="auto"/>
          <w:highlight w:val="none"/>
        </w:rPr>
        <w:t>等实质性内容条款的，视同为采购项目提供规范编制。</w:t>
      </w:r>
    </w:p>
    <w:p>
      <w:pPr>
        <w:pStyle w:val="46"/>
        <w:bidi w:val="0"/>
        <w:spacing w:line="520" w:lineRule="exact"/>
        <w:rPr>
          <w:rFonts w:hint="eastAsia"/>
          <w:b/>
          <w:bCs/>
          <w:color w:val="auto"/>
          <w:highlight w:val="none"/>
        </w:rPr>
      </w:pPr>
      <w:r>
        <w:rPr>
          <w:rFonts w:hint="eastAsia"/>
          <w:b/>
          <w:bCs/>
          <w:color w:val="auto"/>
          <w:highlight w:val="none"/>
          <w:lang w:val="en-US" w:eastAsia="zh-CN"/>
        </w:rPr>
        <w:t>注：</w:t>
      </w:r>
      <w:r>
        <w:rPr>
          <w:rFonts w:hint="eastAsia"/>
          <w:b/>
          <w:bCs/>
          <w:color w:val="auto"/>
          <w:highlight w:val="none"/>
        </w:rPr>
        <w:t>本项目无符合本条规定的供应商。</w:t>
      </w:r>
    </w:p>
    <w:p>
      <w:pPr>
        <w:pStyle w:val="63"/>
        <w:bidi w:val="0"/>
        <w:spacing w:line="520" w:lineRule="exact"/>
        <w:rPr>
          <w:rFonts w:hint="eastAsia"/>
          <w:color w:val="auto"/>
          <w:highlight w:val="none"/>
        </w:rPr>
      </w:pPr>
      <w:r>
        <w:rPr>
          <w:rFonts w:hint="eastAsia"/>
          <w:color w:val="auto"/>
          <w:highlight w:val="none"/>
        </w:rPr>
        <w:t>利害关系代理人处理。</w:t>
      </w:r>
    </w:p>
    <w:p>
      <w:pPr>
        <w:pStyle w:val="64"/>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highlight w:val="none"/>
        </w:rPr>
      </w:pPr>
      <w:r>
        <w:rPr>
          <w:rFonts w:hint="eastAsia"/>
          <w:color w:val="auto"/>
          <w:highlight w:val="none"/>
        </w:rPr>
        <w:t>在同一合同项下的采购项目中，</w:t>
      </w:r>
      <w:r>
        <w:rPr>
          <w:rFonts w:hint="eastAsia"/>
          <w:color w:val="auto"/>
          <w:highlight w:val="none"/>
          <w:lang w:val="en-US" w:eastAsia="zh-CN"/>
        </w:rPr>
        <w:t>若有</w:t>
      </w:r>
      <w:r>
        <w:rPr>
          <w:rFonts w:hint="eastAsia"/>
          <w:color w:val="auto"/>
          <w:highlight w:val="none"/>
        </w:rPr>
        <w:t>2家</w:t>
      </w:r>
      <w:r>
        <w:rPr>
          <w:rFonts w:hint="eastAsia"/>
          <w:color w:val="auto"/>
          <w:highlight w:val="none"/>
          <w:lang w:val="en-US" w:eastAsia="zh-CN"/>
        </w:rPr>
        <w:t>及</w:t>
      </w:r>
      <w:r>
        <w:rPr>
          <w:rFonts w:hint="eastAsia"/>
          <w:color w:val="auto"/>
          <w:highlight w:val="none"/>
        </w:rPr>
        <w:t>以上的供应商同时委托同一个自然人、同一家庭的人员、同一单位的人员作为其代理人，其投标文件作为无效处理。</w:t>
      </w:r>
    </w:p>
    <w:p>
      <w:pPr>
        <w:pStyle w:val="64"/>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highlight w:val="none"/>
          <w:lang w:val="en-US" w:eastAsia="zh-CN"/>
        </w:rPr>
      </w:pPr>
      <w:r>
        <w:rPr>
          <w:rFonts w:hint="eastAsia"/>
          <w:color w:val="auto"/>
          <w:highlight w:val="none"/>
          <w:lang w:val="en-US" w:eastAsia="zh-CN"/>
        </w:rPr>
        <w:t>供应商实际控制人或者中高级管理人员，同时是采购代理机构工作人员，不得参与本项目采购活动。</w:t>
      </w:r>
    </w:p>
    <w:p>
      <w:pPr>
        <w:pStyle w:val="64"/>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同一母公司的两家以上的子公司只能组成联合体参加本项目同一合同项下的采购活动，不得以不同供应商身份同时参加本项目同一合同项下的采购活动</w:t>
      </w:r>
    </w:p>
    <w:p>
      <w:pPr>
        <w:pStyle w:val="64"/>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供应商与采购代理机构存在关联关系，或者是采购代理机构的母公司或子公司，不得参加本项目</w:t>
      </w:r>
      <w:r>
        <w:rPr>
          <w:rFonts w:hint="eastAsia"/>
          <w:color w:val="auto"/>
          <w:highlight w:val="none"/>
          <w:lang w:val="en-US" w:eastAsia="zh-CN"/>
        </w:rPr>
        <w:t>采购</w:t>
      </w:r>
      <w:r>
        <w:rPr>
          <w:rFonts w:hint="eastAsia" w:ascii="宋体" w:hAnsi="宋体" w:eastAsia="宋体"/>
          <w:color w:val="auto"/>
          <w:highlight w:val="none"/>
          <w:lang w:val="en-US" w:eastAsia="zh-CN"/>
        </w:rPr>
        <w:t>活动。</w:t>
      </w:r>
    </w:p>
    <w:p>
      <w:pPr>
        <w:pStyle w:val="43"/>
        <w:bidi w:val="0"/>
        <w:spacing w:line="520" w:lineRule="exact"/>
        <w:rPr>
          <w:rFonts w:hint="eastAsia"/>
          <w:color w:val="auto"/>
          <w:highlight w:val="none"/>
        </w:rPr>
      </w:pPr>
      <w:bookmarkStart w:id="162" w:name="_Toc27564"/>
      <w:bookmarkStart w:id="163" w:name="_Toc12561"/>
      <w:bookmarkStart w:id="164" w:name="_Toc32760"/>
      <w:bookmarkStart w:id="165" w:name="_Toc14125"/>
      <w:bookmarkStart w:id="166" w:name="_Toc29256"/>
      <w:r>
        <w:rPr>
          <w:rFonts w:hint="eastAsia"/>
          <w:color w:val="auto"/>
          <w:highlight w:val="none"/>
        </w:rPr>
        <w:t>招标文件</w:t>
      </w:r>
      <w:bookmarkEnd w:id="155"/>
      <w:bookmarkEnd w:id="156"/>
      <w:bookmarkEnd w:id="157"/>
      <w:bookmarkEnd w:id="158"/>
      <w:bookmarkEnd w:id="159"/>
      <w:bookmarkEnd w:id="160"/>
      <w:bookmarkEnd w:id="161"/>
      <w:bookmarkEnd w:id="162"/>
      <w:bookmarkEnd w:id="163"/>
      <w:bookmarkEnd w:id="164"/>
      <w:bookmarkEnd w:id="165"/>
      <w:bookmarkEnd w:id="166"/>
    </w:p>
    <w:p>
      <w:pPr>
        <w:pStyle w:val="49"/>
        <w:numPr>
          <w:ilvl w:val="2"/>
          <w:numId w:val="13"/>
        </w:numPr>
        <w:bidi w:val="0"/>
        <w:spacing w:line="520" w:lineRule="exact"/>
        <w:rPr>
          <w:rFonts w:hint="eastAsia"/>
          <w:color w:val="auto"/>
          <w:highlight w:val="none"/>
        </w:rPr>
      </w:pPr>
      <w:bookmarkStart w:id="167" w:name="_Toc308084580"/>
      <w:bookmarkStart w:id="168" w:name="_Toc309897498"/>
      <w:bookmarkStart w:id="169" w:name="_Toc10567"/>
      <w:bookmarkStart w:id="170" w:name="_Toc319440125"/>
      <w:bookmarkStart w:id="171" w:name="_Toc29642"/>
      <w:bookmarkStart w:id="172" w:name="_Toc308188135"/>
      <w:bookmarkStart w:id="173" w:name="_Toc327196269"/>
      <w:bookmarkStart w:id="174" w:name="_Toc183682347"/>
      <w:bookmarkStart w:id="175" w:name="_Toc5983"/>
      <w:bookmarkStart w:id="176" w:name="_Toc29703"/>
      <w:bookmarkStart w:id="177" w:name="_Toc25874"/>
      <w:bookmarkStart w:id="178" w:name="_Toc25456"/>
      <w:bookmarkStart w:id="179" w:name="_Toc19030"/>
      <w:bookmarkStart w:id="180" w:name="_Toc16404"/>
      <w:bookmarkStart w:id="181" w:name="_Toc307501092"/>
      <w:bookmarkStart w:id="182" w:name="_Toc24565"/>
      <w:bookmarkStart w:id="183" w:name="_Toc319439883"/>
      <w:bookmarkStart w:id="184" w:name="_Toc307564835"/>
      <w:bookmarkStart w:id="185" w:name="_Toc22520"/>
      <w:bookmarkStart w:id="186" w:name="_Toc8808"/>
      <w:bookmarkStart w:id="187" w:name="_Toc217446039"/>
      <w:bookmarkStart w:id="188" w:name="_Toc21985"/>
      <w:bookmarkStart w:id="189" w:name="_Toc183582210"/>
      <w:bookmarkStart w:id="190" w:name="_Toc25650"/>
      <w:r>
        <w:rPr>
          <w:rFonts w:hint="eastAsia"/>
          <w:color w:val="auto"/>
          <w:highlight w:val="none"/>
        </w:rPr>
        <w:t>招标文件的构成</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pPr>
        <w:pStyle w:val="63"/>
        <w:bidi w:val="0"/>
        <w:spacing w:line="520" w:lineRule="exact"/>
        <w:rPr>
          <w:rFonts w:hint="eastAsia"/>
          <w:color w:val="auto"/>
          <w:highlight w:val="none"/>
        </w:rPr>
      </w:pPr>
      <w:r>
        <w:rPr>
          <w:rFonts w:hint="eastAsia"/>
          <w:color w:val="auto"/>
          <w:highlight w:val="none"/>
        </w:rPr>
        <w:t>招标文件是供应商准备投标文件和参加投标的依据，同时也是评标的重要依据，具有准法律文件性质。招标文件用以阐明招标项目所需的资质、技术、服务及报价等要求、招标投标程序、有关规定和注意事项以及</w:t>
      </w:r>
      <w:r>
        <w:rPr>
          <w:rFonts w:hint="eastAsia"/>
          <w:color w:val="auto"/>
          <w:highlight w:val="none"/>
          <w:lang w:val="en-US" w:eastAsia="zh-CN"/>
        </w:rPr>
        <w:t>采购</w:t>
      </w:r>
      <w:r>
        <w:rPr>
          <w:rFonts w:hint="eastAsia"/>
          <w:color w:val="auto"/>
          <w:highlight w:val="none"/>
        </w:rPr>
        <w:t>合同主要条款等。本招标文件包括以下内容：</w:t>
      </w:r>
    </w:p>
    <w:p>
      <w:pPr>
        <w:pStyle w:val="64"/>
        <w:bidi w:val="0"/>
        <w:spacing w:line="520" w:lineRule="exact"/>
        <w:rPr>
          <w:rFonts w:hint="eastAsia"/>
          <w:color w:val="auto"/>
          <w:highlight w:val="none"/>
        </w:rPr>
      </w:pPr>
      <w:r>
        <w:rPr>
          <w:rFonts w:hint="eastAsia"/>
          <w:color w:val="auto"/>
          <w:highlight w:val="none"/>
        </w:rPr>
        <w:t>投标邀请；</w:t>
      </w:r>
    </w:p>
    <w:p>
      <w:pPr>
        <w:pStyle w:val="64"/>
        <w:bidi w:val="0"/>
        <w:spacing w:line="520" w:lineRule="exact"/>
        <w:rPr>
          <w:rFonts w:hint="eastAsia"/>
          <w:color w:val="auto"/>
          <w:highlight w:val="none"/>
        </w:rPr>
      </w:pPr>
      <w:r>
        <w:rPr>
          <w:rFonts w:hint="eastAsia"/>
          <w:color w:val="auto"/>
          <w:highlight w:val="none"/>
        </w:rPr>
        <w:t>投标人须知</w:t>
      </w:r>
      <w:r>
        <w:rPr>
          <w:rFonts w:hint="eastAsia"/>
          <w:color w:val="auto"/>
          <w:highlight w:val="none"/>
          <w:lang w:eastAsia="zh-CN"/>
        </w:rPr>
        <w:t>(</w:t>
      </w:r>
      <w:r>
        <w:rPr>
          <w:rFonts w:hint="eastAsia"/>
          <w:color w:val="auto"/>
          <w:highlight w:val="none"/>
        </w:rPr>
        <w:t>包括投标文件的密封、签署、盖章要求等</w:t>
      </w:r>
      <w:r>
        <w:rPr>
          <w:rFonts w:hint="eastAsia"/>
          <w:color w:val="auto"/>
          <w:highlight w:val="none"/>
          <w:lang w:eastAsia="zh-CN"/>
        </w:rPr>
        <w:t>)</w:t>
      </w:r>
      <w:r>
        <w:rPr>
          <w:rFonts w:hint="eastAsia"/>
          <w:color w:val="auto"/>
          <w:highlight w:val="none"/>
        </w:rPr>
        <w:t>；</w:t>
      </w:r>
    </w:p>
    <w:p>
      <w:pPr>
        <w:pStyle w:val="64"/>
        <w:bidi w:val="0"/>
        <w:spacing w:line="520" w:lineRule="exact"/>
        <w:rPr>
          <w:rFonts w:hint="eastAsia"/>
          <w:color w:val="auto"/>
          <w:highlight w:val="none"/>
        </w:rPr>
      </w:pPr>
      <w:r>
        <w:rPr>
          <w:rFonts w:hint="eastAsia"/>
          <w:color w:val="auto"/>
          <w:highlight w:val="none"/>
        </w:rPr>
        <w:t>投标人应当提交的资格、资信证明文件；</w:t>
      </w:r>
    </w:p>
    <w:p>
      <w:pPr>
        <w:pStyle w:val="64"/>
        <w:bidi w:val="0"/>
        <w:spacing w:line="520" w:lineRule="exact"/>
        <w:rPr>
          <w:rFonts w:hint="eastAsia"/>
          <w:color w:val="auto"/>
          <w:highlight w:val="none"/>
        </w:rPr>
      </w:pPr>
      <w:r>
        <w:rPr>
          <w:rFonts w:hint="eastAsia"/>
          <w:color w:val="auto"/>
          <w:highlight w:val="none"/>
        </w:rPr>
        <w:t>为落实</w:t>
      </w:r>
      <w:r>
        <w:rPr>
          <w:rFonts w:hint="eastAsia"/>
          <w:color w:val="auto"/>
          <w:highlight w:val="none"/>
          <w:lang w:eastAsia="zh-CN"/>
        </w:rPr>
        <w:t>采购</w:t>
      </w:r>
      <w:r>
        <w:rPr>
          <w:rFonts w:hint="eastAsia"/>
          <w:color w:val="auto"/>
          <w:highlight w:val="none"/>
        </w:rPr>
        <w:t>政策，采购标的需满足的要求，以及投标人须提供的证明材料；</w:t>
      </w:r>
    </w:p>
    <w:p>
      <w:pPr>
        <w:pStyle w:val="64"/>
        <w:bidi w:val="0"/>
        <w:spacing w:line="520" w:lineRule="exact"/>
        <w:rPr>
          <w:rFonts w:hint="eastAsia"/>
          <w:color w:val="auto"/>
          <w:highlight w:val="none"/>
        </w:rPr>
      </w:pPr>
      <w:r>
        <w:rPr>
          <w:rFonts w:hint="eastAsia"/>
          <w:color w:val="auto"/>
          <w:highlight w:val="none"/>
        </w:rPr>
        <w:t>投标文件编制要求、投标报价要求和保证金交纳、退还方式以及不予退还的情形；</w:t>
      </w:r>
    </w:p>
    <w:p>
      <w:pPr>
        <w:pStyle w:val="64"/>
        <w:bidi w:val="0"/>
        <w:spacing w:line="520" w:lineRule="exact"/>
        <w:rPr>
          <w:rFonts w:hint="eastAsia"/>
          <w:color w:val="auto"/>
          <w:highlight w:val="none"/>
        </w:rPr>
      </w:pPr>
      <w:r>
        <w:rPr>
          <w:rFonts w:hint="eastAsia"/>
          <w:color w:val="auto"/>
          <w:highlight w:val="none"/>
        </w:rPr>
        <w:t>采购项目预算金额，设定最高限价的，还应当公开最高限价；</w:t>
      </w:r>
    </w:p>
    <w:p>
      <w:pPr>
        <w:pStyle w:val="64"/>
        <w:bidi w:val="0"/>
        <w:spacing w:line="520" w:lineRule="exact"/>
        <w:rPr>
          <w:rFonts w:hint="eastAsia"/>
          <w:color w:val="auto"/>
          <w:highlight w:val="none"/>
        </w:rPr>
      </w:pPr>
      <w:r>
        <w:rPr>
          <w:rFonts w:hint="eastAsia"/>
          <w:color w:val="auto"/>
          <w:highlight w:val="none"/>
        </w:rPr>
        <w:t>采购项目的技术规格、数量、服务标准、验收等要求，包括附件、图纸</w:t>
      </w:r>
      <w:r>
        <w:rPr>
          <w:rFonts w:hint="eastAsia"/>
          <w:color w:val="auto"/>
          <w:highlight w:val="none"/>
          <w:lang w:eastAsia="zh-CN"/>
        </w:rPr>
        <w:t>(</w:t>
      </w:r>
      <w:r>
        <w:rPr>
          <w:rFonts w:hint="eastAsia"/>
          <w:color w:val="auto"/>
          <w:highlight w:val="none"/>
          <w:lang w:val="en-US" w:eastAsia="zh-CN"/>
        </w:rPr>
        <w:t>如涉及</w:t>
      </w:r>
      <w:r>
        <w:rPr>
          <w:rFonts w:hint="eastAsia"/>
          <w:color w:val="auto"/>
          <w:highlight w:val="none"/>
          <w:lang w:eastAsia="zh-CN"/>
        </w:rPr>
        <w:t>)</w:t>
      </w:r>
      <w:r>
        <w:rPr>
          <w:rFonts w:hint="eastAsia"/>
          <w:color w:val="auto"/>
          <w:highlight w:val="none"/>
        </w:rPr>
        <w:t>等；</w:t>
      </w:r>
    </w:p>
    <w:p>
      <w:pPr>
        <w:pStyle w:val="64"/>
        <w:bidi w:val="0"/>
        <w:spacing w:line="520" w:lineRule="exact"/>
        <w:rPr>
          <w:rFonts w:hint="eastAsia"/>
          <w:color w:val="auto"/>
          <w:highlight w:val="none"/>
        </w:rPr>
      </w:pPr>
      <w:r>
        <w:rPr>
          <w:rFonts w:hint="eastAsia"/>
          <w:color w:val="auto"/>
          <w:highlight w:val="none"/>
        </w:rPr>
        <w:t>拟签订的</w:t>
      </w:r>
      <w:r>
        <w:rPr>
          <w:rFonts w:hint="eastAsia"/>
          <w:color w:val="auto"/>
          <w:highlight w:val="none"/>
          <w:lang w:val="en-US" w:eastAsia="zh-CN"/>
        </w:rPr>
        <w:t>采购合同</w:t>
      </w:r>
      <w:r>
        <w:rPr>
          <w:rFonts w:hint="eastAsia"/>
          <w:color w:val="auto"/>
          <w:highlight w:val="none"/>
        </w:rPr>
        <w:t>；</w:t>
      </w:r>
    </w:p>
    <w:p>
      <w:pPr>
        <w:pStyle w:val="64"/>
        <w:bidi w:val="0"/>
        <w:spacing w:line="520" w:lineRule="exact"/>
        <w:rPr>
          <w:rFonts w:hint="eastAsia"/>
          <w:color w:val="auto"/>
          <w:highlight w:val="none"/>
        </w:rPr>
      </w:pPr>
      <w:r>
        <w:rPr>
          <w:rFonts w:hint="eastAsia"/>
          <w:color w:val="auto"/>
          <w:highlight w:val="none"/>
        </w:rPr>
        <w:t>货物、服务提供的时间、地点、方式；</w:t>
      </w:r>
    </w:p>
    <w:p>
      <w:pPr>
        <w:pStyle w:val="64"/>
        <w:bidi w:val="0"/>
        <w:spacing w:line="520" w:lineRule="exact"/>
        <w:rPr>
          <w:rFonts w:hint="eastAsia"/>
          <w:color w:val="auto"/>
          <w:highlight w:val="none"/>
        </w:rPr>
      </w:pPr>
      <w:r>
        <w:rPr>
          <w:rFonts w:hint="eastAsia"/>
          <w:color w:val="auto"/>
          <w:highlight w:val="none"/>
        </w:rPr>
        <w:t>采购资金的支付方式、时间、条件；</w:t>
      </w:r>
    </w:p>
    <w:p>
      <w:pPr>
        <w:pStyle w:val="64"/>
        <w:bidi w:val="0"/>
        <w:spacing w:line="520" w:lineRule="exact"/>
        <w:rPr>
          <w:rFonts w:hint="eastAsia"/>
          <w:color w:val="auto"/>
          <w:highlight w:val="none"/>
        </w:rPr>
      </w:pPr>
      <w:r>
        <w:rPr>
          <w:rFonts w:hint="eastAsia"/>
          <w:color w:val="auto"/>
          <w:highlight w:val="none"/>
        </w:rPr>
        <w:t>评标方法、评标标准和投标无效情形；</w:t>
      </w:r>
    </w:p>
    <w:p>
      <w:pPr>
        <w:pStyle w:val="64"/>
        <w:bidi w:val="0"/>
        <w:spacing w:line="520" w:lineRule="exact"/>
        <w:rPr>
          <w:rFonts w:hint="eastAsia"/>
          <w:color w:val="auto"/>
          <w:highlight w:val="none"/>
        </w:rPr>
      </w:pPr>
      <w:r>
        <w:rPr>
          <w:rFonts w:hint="eastAsia"/>
          <w:color w:val="auto"/>
          <w:highlight w:val="none"/>
        </w:rPr>
        <w:t>投标有效期；</w:t>
      </w:r>
    </w:p>
    <w:p>
      <w:pPr>
        <w:pStyle w:val="64"/>
        <w:bidi w:val="0"/>
        <w:spacing w:line="520" w:lineRule="exact"/>
        <w:rPr>
          <w:rFonts w:hint="eastAsia"/>
          <w:color w:val="auto"/>
          <w:highlight w:val="none"/>
        </w:rPr>
      </w:pPr>
      <w:r>
        <w:rPr>
          <w:rFonts w:hint="eastAsia"/>
          <w:color w:val="auto"/>
          <w:highlight w:val="none"/>
        </w:rPr>
        <w:t>投标截止时间、开标时间及地点；</w:t>
      </w:r>
    </w:p>
    <w:p>
      <w:pPr>
        <w:pStyle w:val="64"/>
        <w:bidi w:val="0"/>
        <w:spacing w:line="520" w:lineRule="exact"/>
        <w:rPr>
          <w:rFonts w:hint="eastAsia"/>
          <w:color w:val="auto"/>
          <w:highlight w:val="none"/>
        </w:rPr>
      </w:pPr>
      <w:r>
        <w:rPr>
          <w:rFonts w:hint="eastAsia"/>
          <w:color w:val="auto"/>
          <w:highlight w:val="none"/>
        </w:rPr>
        <w:t>采购代理机构代理费用的收取标准和方式；</w:t>
      </w:r>
    </w:p>
    <w:p>
      <w:pPr>
        <w:pStyle w:val="64"/>
        <w:bidi w:val="0"/>
        <w:spacing w:line="520" w:lineRule="exact"/>
        <w:rPr>
          <w:rFonts w:hint="eastAsia"/>
          <w:color w:val="auto"/>
          <w:highlight w:val="none"/>
        </w:rPr>
      </w:pPr>
      <w:r>
        <w:rPr>
          <w:rFonts w:hint="eastAsia"/>
          <w:color w:val="auto"/>
          <w:highlight w:val="none"/>
        </w:rPr>
        <w:t>投标人信用信息查询渠道及截止时点、信用信息查询记录和证据留存的具体方式、信用信息的使用规则等；</w:t>
      </w:r>
    </w:p>
    <w:p>
      <w:pPr>
        <w:pStyle w:val="64"/>
        <w:bidi w:val="0"/>
        <w:spacing w:line="520" w:lineRule="exact"/>
        <w:rPr>
          <w:rFonts w:hint="eastAsia"/>
          <w:color w:val="auto"/>
          <w:highlight w:val="none"/>
        </w:rPr>
      </w:pPr>
      <w:r>
        <w:rPr>
          <w:rFonts w:hint="eastAsia"/>
          <w:color w:val="auto"/>
          <w:highlight w:val="none"/>
        </w:rPr>
        <w:t>省级以上财政部门规定的其他事项。</w:t>
      </w:r>
    </w:p>
    <w:p>
      <w:pPr>
        <w:pStyle w:val="63"/>
        <w:numPr>
          <w:ilvl w:val="3"/>
          <w:numId w:val="13"/>
        </w:numPr>
        <w:bidi w:val="0"/>
        <w:spacing w:line="520" w:lineRule="exact"/>
        <w:rPr>
          <w:rFonts w:hint="eastAsia"/>
          <w:color w:val="auto"/>
          <w:highlight w:val="none"/>
        </w:rPr>
      </w:pPr>
      <w:r>
        <w:rPr>
          <w:rFonts w:hint="eastAsia"/>
          <w:color w:val="auto"/>
          <w:highlight w:val="none"/>
        </w:rPr>
        <w:t>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49"/>
        <w:bidi w:val="0"/>
        <w:spacing w:line="520" w:lineRule="exact"/>
        <w:rPr>
          <w:rFonts w:hint="eastAsia"/>
          <w:color w:val="auto"/>
          <w:highlight w:val="none"/>
        </w:rPr>
      </w:pPr>
      <w:bookmarkStart w:id="191" w:name="_Toc183582211"/>
      <w:bookmarkStart w:id="192" w:name="_Toc183682348"/>
      <w:bookmarkStart w:id="193" w:name="_Toc13600"/>
      <w:bookmarkStart w:id="194" w:name="_Toc17632"/>
      <w:bookmarkStart w:id="195" w:name="_Toc16291"/>
      <w:bookmarkStart w:id="196" w:name="_Toc25894"/>
      <w:bookmarkStart w:id="197" w:name="_Toc327196270"/>
      <w:bookmarkStart w:id="198" w:name="_Toc217446040"/>
      <w:bookmarkStart w:id="199" w:name="_Toc319440126"/>
      <w:bookmarkStart w:id="200" w:name="_Toc7541"/>
      <w:bookmarkStart w:id="201" w:name="_Toc19612"/>
      <w:bookmarkStart w:id="202" w:name="_Toc307501093"/>
      <w:bookmarkStart w:id="203" w:name="_Toc16401"/>
      <w:bookmarkStart w:id="204" w:name="_Toc26020"/>
      <w:bookmarkStart w:id="205" w:name="_Toc307564836"/>
      <w:bookmarkStart w:id="206" w:name="_Toc13951"/>
      <w:bookmarkStart w:id="207" w:name="_Toc308084581"/>
      <w:bookmarkStart w:id="208" w:name="_Toc319439884"/>
      <w:bookmarkStart w:id="209" w:name="_Toc31172"/>
      <w:bookmarkStart w:id="210" w:name="_Toc309897499"/>
      <w:bookmarkStart w:id="211" w:name="_Toc308188136"/>
      <w:bookmarkStart w:id="212" w:name="_Toc27690"/>
      <w:bookmarkStart w:id="213" w:name="_Toc22085"/>
      <w:bookmarkStart w:id="214" w:name="_Toc11995"/>
      <w:r>
        <w:rPr>
          <w:rFonts w:hint="eastAsia"/>
          <w:color w:val="auto"/>
          <w:highlight w:val="none"/>
        </w:rPr>
        <w:t>招标文件的澄清</w:t>
      </w:r>
      <w:bookmarkEnd w:id="191"/>
      <w:bookmarkEnd w:id="192"/>
      <w:r>
        <w:rPr>
          <w:rFonts w:hint="eastAsia"/>
          <w:color w:val="auto"/>
          <w:highlight w:val="none"/>
        </w:rPr>
        <w:t>和修改</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pPr>
        <w:pStyle w:val="63"/>
        <w:bidi w:val="0"/>
        <w:spacing w:line="520" w:lineRule="exact"/>
        <w:rPr>
          <w:rFonts w:hint="eastAsia"/>
          <w:color w:val="auto"/>
          <w:highlight w:val="none"/>
        </w:rPr>
      </w:pPr>
      <w:bookmarkStart w:id="215" w:name="_Toc17111"/>
      <w:bookmarkStart w:id="216" w:name="_Toc3361"/>
      <w:bookmarkStart w:id="217" w:name="_Toc22061"/>
      <w:bookmarkStart w:id="218" w:name="_Toc3159"/>
      <w:bookmarkStart w:id="219" w:name="_Toc217446041"/>
      <w:bookmarkStart w:id="220" w:name="_Toc208848971"/>
      <w:bookmarkStart w:id="221" w:name="_Toc319439885"/>
      <w:bookmarkStart w:id="222" w:name="_Toc307501094"/>
      <w:bookmarkStart w:id="223" w:name="_Toc8838"/>
      <w:bookmarkStart w:id="224" w:name="_Toc308084582"/>
      <w:bookmarkStart w:id="225" w:name="_Toc24226"/>
      <w:bookmarkStart w:id="226" w:name="_Toc308188137"/>
      <w:bookmarkStart w:id="227" w:name="_Toc9735"/>
      <w:bookmarkStart w:id="228" w:name="_Toc7026"/>
      <w:bookmarkStart w:id="229" w:name="_Toc327196271"/>
      <w:bookmarkStart w:id="230" w:name="_Toc6811"/>
      <w:bookmarkStart w:id="231" w:name="_Toc309897500"/>
      <w:bookmarkStart w:id="232" w:name="_Toc307564837"/>
      <w:bookmarkStart w:id="233" w:name="_Toc2637"/>
      <w:bookmarkStart w:id="234" w:name="_Toc319440127"/>
      <w:r>
        <w:rPr>
          <w:rFonts w:hint="eastAsia"/>
          <w:color w:val="auto"/>
          <w:highlight w:val="none"/>
        </w:rPr>
        <w:t>在投标截止时间前，招标采购单位无论出于何种原因，可以对招标文件进行澄清或者修改</w:t>
      </w:r>
      <w:r>
        <w:rPr>
          <w:rFonts w:hint="eastAsia"/>
          <w:color w:val="auto"/>
          <w:highlight w:val="none"/>
          <w:lang w:eastAsia="zh-CN"/>
        </w:rPr>
        <w:t>；</w:t>
      </w:r>
      <w:r>
        <w:rPr>
          <w:rFonts w:hint="eastAsia"/>
          <w:color w:val="auto"/>
          <w:highlight w:val="none"/>
        </w:rPr>
        <w:t>投标人认为需要对招标文件进行澄清或者修改的，以书面形式向招标采购单位提出申请，但招标采购单位可以决定是否采纳投标人的申请事项。</w:t>
      </w:r>
    </w:p>
    <w:p>
      <w:pPr>
        <w:pStyle w:val="63"/>
        <w:bidi w:val="0"/>
        <w:spacing w:line="520" w:lineRule="exact"/>
        <w:rPr>
          <w:rFonts w:hint="eastAsia"/>
          <w:color w:val="auto"/>
          <w:highlight w:val="none"/>
          <w:lang w:eastAsia="zh-CN"/>
        </w:rPr>
      </w:pPr>
      <w:r>
        <w:rPr>
          <w:rFonts w:hint="eastAsia"/>
          <w:color w:val="auto"/>
          <w:highlight w:val="none"/>
        </w:rPr>
        <w:t>招标采购单位对已发出的招标文件进行澄清或者修改，澄清或者修改的内容可能影响投标文件编制的，采购人或者采购代理机构应当在投标截止时间至少15日前，以</w:t>
      </w:r>
      <w:r>
        <w:rPr>
          <w:rFonts w:hint="eastAsia"/>
          <w:color w:val="auto"/>
          <w:highlight w:val="none"/>
          <w:lang w:val="en-US" w:eastAsia="zh-CN"/>
        </w:rPr>
        <w:t>公告</w:t>
      </w:r>
      <w:r>
        <w:rPr>
          <w:rFonts w:hint="eastAsia"/>
          <w:color w:val="auto"/>
          <w:highlight w:val="none"/>
        </w:rPr>
        <w:t>形式通知所有获取招标文件的潜在投标人；不足</w:t>
      </w:r>
      <w:r>
        <w:rPr>
          <w:rFonts w:hint="eastAsia"/>
          <w:color w:val="auto"/>
          <w:highlight w:val="none"/>
          <w:lang w:val="en-US" w:eastAsia="zh-CN"/>
        </w:rPr>
        <w:t>15</w:t>
      </w:r>
      <w:r>
        <w:rPr>
          <w:rFonts w:hint="eastAsia"/>
          <w:color w:val="auto"/>
          <w:highlight w:val="none"/>
        </w:rPr>
        <w:t>日的，采购人或者采购代理机构应当顺延提交投标文件的截止时间</w:t>
      </w:r>
      <w:r>
        <w:rPr>
          <w:rFonts w:hint="eastAsia"/>
          <w:color w:val="auto"/>
          <w:highlight w:val="none"/>
          <w:lang w:eastAsia="zh-CN"/>
        </w:rPr>
        <w:t>。</w:t>
      </w:r>
    </w:p>
    <w:p>
      <w:pPr>
        <w:pStyle w:val="63"/>
        <w:bidi w:val="0"/>
        <w:spacing w:line="520" w:lineRule="exact"/>
        <w:rPr>
          <w:b/>
          <w:bCs/>
          <w:color w:val="auto"/>
          <w:highlight w:val="none"/>
        </w:rPr>
      </w:pPr>
      <w:r>
        <w:rPr>
          <w:rFonts w:hint="eastAsia"/>
          <w:b/>
          <w:bCs/>
          <w:color w:val="auto"/>
          <w:highlight w:val="none"/>
          <w:lang w:val="en-US" w:eastAsia="zh-CN"/>
        </w:rPr>
        <w:t>投标人</w:t>
      </w:r>
      <w:r>
        <w:rPr>
          <w:rFonts w:hint="eastAsia"/>
          <w:b/>
          <w:bCs/>
          <w:color w:val="auto"/>
          <w:highlight w:val="none"/>
        </w:rPr>
        <w:t>应于投标文件递交截止时间之前在</w:t>
      </w:r>
      <w:r>
        <w:rPr>
          <w:rFonts w:hint="eastAsia"/>
          <w:b/>
          <w:bCs/>
          <w:color w:val="auto"/>
          <w:highlight w:val="none"/>
          <w:lang w:eastAsia="zh-CN"/>
        </w:rPr>
        <w:t>“中国招标投标公共服务平台”</w:t>
      </w:r>
      <w:r>
        <w:rPr>
          <w:rFonts w:hint="eastAsia"/>
          <w:b/>
          <w:bCs/>
          <w:color w:val="auto"/>
          <w:highlight w:val="none"/>
        </w:rPr>
        <w:t>查询本项目的更正公告，以保证其对招标文件做出</w:t>
      </w:r>
      <w:r>
        <w:rPr>
          <w:rFonts w:hint="eastAsia"/>
          <w:b/>
          <w:bCs/>
          <w:color w:val="auto"/>
          <w:highlight w:val="none"/>
          <w:lang w:val="en-US" w:eastAsia="zh-CN"/>
        </w:rPr>
        <w:t>准确</w:t>
      </w:r>
      <w:r>
        <w:rPr>
          <w:rFonts w:hint="eastAsia"/>
          <w:b/>
          <w:bCs/>
          <w:color w:val="auto"/>
          <w:highlight w:val="none"/>
        </w:rPr>
        <w:t>的响应。</w:t>
      </w:r>
      <w:r>
        <w:rPr>
          <w:rFonts w:hint="eastAsia"/>
          <w:b/>
          <w:bCs/>
          <w:color w:val="auto"/>
          <w:highlight w:val="none"/>
          <w:lang w:val="en-US" w:eastAsia="zh-CN"/>
        </w:rPr>
        <w:t>投标人</w:t>
      </w:r>
      <w:r>
        <w:rPr>
          <w:rFonts w:hint="eastAsia"/>
          <w:b/>
          <w:bCs/>
          <w:color w:val="auto"/>
          <w:highlight w:val="none"/>
        </w:rPr>
        <w:t>未及时关注更正公告的信息造成的</w:t>
      </w:r>
      <w:r>
        <w:rPr>
          <w:rFonts w:hint="eastAsia"/>
          <w:b/>
          <w:bCs/>
          <w:color w:val="auto"/>
          <w:highlight w:val="none"/>
          <w:lang w:val="en-US" w:eastAsia="zh-CN"/>
        </w:rPr>
        <w:t>不利</w:t>
      </w:r>
      <w:r>
        <w:rPr>
          <w:rFonts w:hint="eastAsia"/>
          <w:b/>
          <w:bCs/>
          <w:color w:val="auto"/>
          <w:highlight w:val="none"/>
        </w:rPr>
        <w:t>后果，其责任由</w:t>
      </w:r>
      <w:r>
        <w:rPr>
          <w:rFonts w:hint="eastAsia"/>
          <w:b/>
          <w:bCs/>
          <w:color w:val="auto"/>
          <w:highlight w:val="none"/>
          <w:lang w:val="en-US" w:eastAsia="zh-CN"/>
        </w:rPr>
        <w:t>投标人</w:t>
      </w:r>
      <w:r>
        <w:rPr>
          <w:rFonts w:hint="eastAsia"/>
          <w:b/>
          <w:bCs/>
          <w:color w:val="auto"/>
          <w:highlight w:val="none"/>
        </w:rPr>
        <w:t>自行负责。</w:t>
      </w:r>
    </w:p>
    <w:p>
      <w:pPr>
        <w:pStyle w:val="49"/>
        <w:bidi w:val="0"/>
        <w:spacing w:line="520" w:lineRule="exact"/>
        <w:rPr>
          <w:rFonts w:hint="eastAsia"/>
          <w:color w:val="auto"/>
          <w:highlight w:val="none"/>
        </w:rPr>
      </w:pPr>
      <w:bookmarkStart w:id="235" w:name="_Toc3070"/>
      <w:bookmarkStart w:id="236" w:name="_Toc31570"/>
      <w:bookmarkStart w:id="237" w:name="_Toc29039"/>
      <w:r>
        <w:rPr>
          <w:rFonts w:hint="eastAsia"/>
          <w:color w:val="auto"/>
          <w:highlight w:val="none"/>
        </w:rPr>
        <w:t>答疑会和现场考察</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pPr>
        <w:pStyle w:val="63"/>
        <w:bidi w:val="0"/>
        <w:spacing w:line="520" w:lineRule="exact"/>
        <w:rPr>
          <w:rFonts w:hint="eastAsia"/>
          <w:color w:val="auto"/>
          <w:highlight w:val="none"/>
        </w:rPr>
      </w:pPr>
      <w:bookmarkStart w:id="238" w:name="_Toc89075876"/>
      <w:bookmarkStart w:id="239" w:name="_Toc183682351"/>
      <w:bookmarkStart w:id="240" w:name="_Toc77400780"/>
      <w:bookmarkStart w:id="241" w:name="_Toc183582214"/>
      <w:bookmarkStart w:id="242" w:name="_Toc327196272"/>
      <w:bookmarkStart w:id="243" w:name="_Toc20199"/>
      <w:bookmarkStart w:id="244" w:name="_Toc217446042"/>
      <w:r>
        <w:rPr>
          <w:rFonts w:hint="eastAsia"/>
          <w:color w:val="auto"/>
          <w:highlight w:val="none"/>
        </w:rPr>
        <w:t>采购人、采购代理机构可以视采购项目的具体情况，组织</w:t>
      </w:r>
      <w:r>
        <w:rPr>
          <w:rFonts w:hint="eastAsia"/>
          <w:color w:val="auto"/>
          <w:highlight w:val="none"/>
          <w:lang w:eastAsia="zh-CN"/>
        </w:rPr>
        <w:t>投标人</w:t>
      </w:r>
      <w:r>
        <w:rPr>
          <w:rFonts w:hint="eastAsia"/>
          <w:color w:val="auto"/>
          <w:highlight w:val="none"/>
        </w:rPr>
        <w:t>进行现场考察或</w:t>
      </w:r>
      <w:r>
        <w:rPr>
          <w:rFonts w:hint="eastAsia"/>
          <w:color w:val="auto"/>
          <w:highlight w:val="none"/>
          <w:lang w:eastAsia="zh-CN"/>
        </w:rPr>
        <w:t>开标</w:t>
      </w:r>
      <w:r>
        <w:rPr>
          <w:rFonts w:hint="eastAsia"/>
          <w:color w:val="auto"/>
          <w:highlight w:val="none"/>
        </w:rPr>
        <w:t>前答疑会，但不得单独或分别组织只有一个</w:t>
      </w:r>
      <w:r>
        <w:rPr>
          <w:rFonts w:hint="eastAsia"/>
          <w:color w:val="auto"/>
          <w:highlight w:val="none"/>
          <w:lang w:eastAsia="zh-CN"/>
        </w:rPr>
        <w:t>投标人</w:t>
      </w:r>
      <w:r>
        <w:rPr>
          <w:rFonts w:hint="eastAsia"/>
          <w:color w:val="auto"/>
          <w:highlight w:val="none"/>
        </w:rPr>
        <w:t>参加的现场考察和答疑会。若组织答疑会和现场考察以采购代理机构通知为准。</w:t>
      </w:r>
    </w:p>
    <w:p>
      <w:pPr>
        <w:pStyle w:val="63"/>
        <w:bidi w:val="0"/>
        <w:spacing w:line="520" w:lineRule="exact"/>
        <w:rPr>
          <w:rFonts w:hint="eastAsia"/>
          <w:color w:val="auto"/>
          <w:highlight w:val="none"/>
        </w:rPr>
      </w:pPr>
      <w:r>
        <w:rPr>
          <w:rFonts w:hint="eastAsia"/>
          <w:color w:val="auto"/>
          <w:highlight w:val="none"/>
          <w:lang w:eastAsia="zh-CN"/>
        </w:rPr>
        <w:t>投标人</w:t>
      </w:r>
      <w:r>
        <w:rPr>
          <w:rFonts w:hint="eastAsia"/>
          <w:color w:val="auto"/>
          <w:highlight w:val="none"/>
          <w:lang w:val="en-US" w:eastAsia="zh-CN"/>
        </w:rPr>
        <w:t>参加</w:t>
      </w:r>
      <w:r>
        <w:rPr>
          <w:rFonts w:hint="eastAsia"/>
          <w:color w:val="auto"/>
          <w:highlight w:val="none"/>
        </w:rPr>
        <w:t>答疑会</w:t>
      </w:r>
      <w:r>
        <w:rPr>
          <w:rFonts w:hint="eastAsia"/>
          <w:color w:val="auto"/>
          <w:highlight w:val="none"/>
          <w:lang w:val="en-US" w:eastAsia="zh-CN"/>
        </w:rPr>
        <w:t>和</w:t>
      </w:r>
      <w:r>
        <w:rPr>
          <w:rFonts w:hint="eastAsia"/>
          <w:color w:val="auto"/>
          <w:highlight w:val="none"/>
        </w:rPr>
        <w:t>现场考察所发生的一切费用由</w:t>
      </w:r>
      <w:r>
        <w:rPr>
          <w:rFonts w:hint="eastAsia"/>
          <w:color w:val="auto"/>
          <w:highlight w:val="none"/>
          <w:lang w:eastAsia="zh-CN"/>
        </w:rPr>
        <w:t>投标人</w:t>
      </w:r>
      <w:r>
        <w:rPr>
          <w:rFonts w:hint="eastAsia"/>
          <w:color w:val="auto"/>
          <w:highlight w:val="none"/>
          <w:lang w:val="en-US" w:eastAsia="zh-CN"/>
        </w:rPr>
        <w:t>自行</w:t>
      </w:r>
      <w:r>
        <w:rPr>
          <w:rFonts w:hint="eastAsia"/>
          <w:color w:val="auto"/>
          <w:highlight w:val="none"/>
        </w:rPr>
        <w:t>承担。</w:t>
      </w:r>
    </w:p>
    <w:p>
      <w:pPr>
        <w:pStyle w:val="43"/>
        <w:bidi w:val="0"/>
        <w:spacing w:line="520" w:lineRule="exact"/>
        <w:rPr>
          <w:rFonts w:hint="eastAsia"/>
          <w:color w:val="auto"/>
          <w:highlight w:val="none"/>
        </w:rPr>
      </w:pPr>
      <w:bookmarkStart w:id="245" w:name="_Toc16131"/>
      <w:bookmarkStart w:id="246" w:name="_Toc27479"/>
      <w:bookmarkStart w:id="247" w:name="_Toc24075"/>
      <w:bookmarkStart w:id="248" w:name="_Toc615"/>
      <w:bookmarkStart w:id="249" w:name="_Toc27958"/>
      <w:r>
        <w:rPr>
          <w:rFonts w:hint="eastAsia"/>
          <w:color w:val="auto"/>
          <w:highlight w:val="none"/>
        </w:rPr>
        <w:t>投标文件</w:t>
      </w:r>
      <w:bookmarkEnd w:id="238"/>
      <w:bookmarkEnd w:id="239"/>
      <w:bookmarkEnd w:id="240"/>
      <w:bookmarkEnd w:id="241"/>
      <w:bookmarkEnd w:id="242"/>
      <w:bookmarkEnd w:id="243"/>
      <w:bookmarkEnd w:id="244"/>
      <w:bookmarkEnd w:id="245"/>
      <w:bookmarkEnd w:id="246"/>
      <w:bookmarkEnd w:id="247"/>
      <w:bookmarkEnd w:id="248"/>
      <w:bookmarkEnd w:id="249"/>
    </w:p>
    <w:p>
      <w:pPr>
        <w:pStyle w:val="49"/>
        <w:numPr>
          <w:ilvl w:val="2"/>
          <w:numId w:val="14"/>
        </w:numPr>
        <w:bidi w:val="0"/>
        <w:spacing w:line="520" w:lineRule="exact"/>
        <w:rPr>
          <w:rFonts w:hint="eastAsia"/>
          <w:color w:val="auto"/>
          <w:highlight w:val="none"/>
        </w:rPr>
      </w:pPr>
      <w:bookmarkStart w:id="250" w:name="_Toc217446043"/>
      <w:bookmarkStart w:id="251" w:name="_Toc308084584"/>
      <w:bookmarkStart w:id="252" w:name="_Toc319439887"/>
      <w:bookmarkStart w:id="253" w:name="_Toc307501096"/>
      <w:bookmarkStart w:id="254" w:name="_Toc308188139"/>
      <w:bookmarkStart w:id="255" w:name="_Toc309897502"/>
      <w:bookmarkStart w:id="256" w:name="_Toc1641"/>
      <w:bookmarkStart w:id="257" w:name="_Toc23564"/>
      <w:bookmarkStart w:id="258" w:name="_Toc27053"/>
      <w:bookmarkStart w:id="259" w:name="_Toc26076"/>
      <w:bookmarkStart w:id="260" w:name="_Toc29330"/>
      <w:bookmarkStart w:id="261" w:name="_Toc2601"/>
      <w:bookmarkStart w:id="262" w:name="_Toc327196273"/>
      <w:bookmarkStart w:id="263" w:name="_Toc319440129"/>
      <w:bookmarkStart w:id="264" w:name="_Toc183682352"/>
      <w:bookmarkStart w:id="265" w:name="_Toc183582215"/>
      <w:bookmarkStart w:id="266" w:name="_Toc3041"/>
      <w:bookmarkStart w:id="267" w:name="_Toc307564839"/>
      <w:bookmarkStart w:id="268" w:name="_Toc21169"/>
      <w:bookmarkStart w:id="269" w:name="_Toc8388"/>
      <w:bookmarkStart w:id="270" w:name="_Toc11217"/>
      <w:bookmarkStart w:id="271" w:name="_Toc22859"/>
      <w:bookmarkStart w:id="272" w:name="_Toc14178"/>
      <w:bookmarkStart w:id="273" w:name="_Toc21085"/>
      <w:r>
        <w:rPr>
          <w:rFonts w:hint="eastAsia"/>
          <w:color w:val="auto"/>
          <w:highlight w:val="none"/>
        </w:rPr>
        <w:t>投标文件的语言</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Pr>
          <w:rFonts w:hint="eastAsia"/>
          <w:color w:val="auto"/>
          <w:highlight w:val="none"/>
          <w:lang w:val="en-US" w:eastAsia="zh-CN"/>
        </w:rPr>
        <w:t>(实质性要求)</w:t>
      </w:r>
      <w:bookmarkEnd w:id="269"/>
      <w:bookmarkEnd w:id="270"/>
      <w:bookmarkEnd w:id="271"/>
      <w:bookmarkEnd w:id="272"/>
      <w:bookmarkEnd w:id="273"/>
    </w:p>
    <w:p>
      <w:pPr>
        <w:pStyle w:val="63"/>
        <w:bidi w:val="0"/>
        <w:spacing w:line="520" w:lineRule="exact"/>
        <w:rPr>
          <w:rFonts w:hint="eastAsia"/>
          <w:color w:val="auto"/>
          <w:highlight w:val="none"/>
        </w:rPr>
      </w:pPr>
      <w:r>
        <w:rPr>
          <w:rFonts w:hint="eastAsia"/>
          <w:color w:val="auto"/>
          <w:highlight w:val="none"/>
        </w:rPr>
        <w:t>投标人提交的投标文件以及投标人与招标采购单位就有关投标的所有来往书面文件均须使用中文。投标文件中如附有外文资料，必须逐一对应翻译成中文并加盖投标人公章后附在相关外文资料后面，否则，视为未提供该资料。对于</w:t>
      </w:r>
      <w:r>
        <w:rPr>
          <w:rFonts w:hint="eastAsia"/>
          <w:color w:val="auto"/>
          <w:highlight w:val="none"/>
          <w:lang w:val="en-US" w:eastAsia="zh-CN"/>
        </w:rPr>
        <w:t>供应商的法定代表人为外籍人士的，法定代表人的签字和护照、</w:t>
      </w:r>
      <w:r>
        <w:rPr>
          <w:rFonts w:hint="eastAsia"/>
          <w:color w:val="auto"/>
          <w:highlight w:val="none"/>
        </w:rPr>
        <w:t>行业标准、国家标准、国际标准或行业认证等需要以非中文表述且不宜翻译为中文的除外。</w:t>
      </w:r>
    </w:p>
    <w:p>
      <w:pPr>
        <w:pStyle w:val="63"/>
        <w:bidi w:val="0"/>
        <w:spacing w:line="520" w:lineRule="exact"/>
        <w:rPr>
          <w:rFonts w:hint="eastAsia"/>
          <w:color w:val="auto"/>
          <w:highlight w:val="none"/>
        </w:rPr>
      </w:pPr>
      <w:r>
        <w:rPr>
          <w:rFonts w:hint="eastAsia"/>
          <w:color w:val="auto"/>
          <w:highlight w:val="none"/>
        </w:rPr>
        <w:t>翻译的中文资料与外文资料如果出现差异和矛盾时，以中文为准。但不能故意错误翻译，否则，投标人的投标文件将作为无效投标处理。</w:t>
      </w:r>
    </w:p>
    <w:p>
      <w:pPr>
        <w:pStyle w:val="49"/>
        <w:bidi w:val="0"/>
        <w:spacing w:line="520" w:lineRule="exact"/>
        <w:rPr>
          <w:rFonts w:hint="eastAsia"/>
          <w:color w:val="auto"/>
          <w:highlight w:val="none"/>
        </w:rPr>
      </w:pPr>
      <w:bookmarkStart w:id="274" w:name="_Toc15226"/>
      <w:bookmarkStart w:id="275" w:name="_Toc20091"/>
      <w:bookmarkStart w:id="276" w:name="_Toc12195"/>
      <w:bookmarkStart w:id="277" w:name="_Toc217446044"/>
      <w:bookmarkStart w:id="278" w:name="_Toc15145"/>
      <w:bookmarkStart w:id="279" w:name="_Toc307501097"/>
      <w:bookmarkStart w:id="280" w:name="_Toc327196274"/>
      <w:bookmarkStart w:id="281" w:name="_Toc17444"/>
      <w:bookmarkStart w:id="282" w:name="_Toc319440130"/>
      <w:bookmarkStart w:id="283" w:name="_Toc319439888"/>
      <w:bookmarkStart w:id="284" w:name="_Toc307564840"/>
      <w:bookmarkStart w:id="285" w:name="_Toc11901"/>
      <w:bookmarkStart w:id="286" w:name="_Toc308188140"/>
      <w:bookmarkStart w:id="287" w:name="_Toc2379"/>
      <w:bookmarkStart w:id="288" w:name="_Toc183582216"/>
      <w:bookmarkStart w:id="289" w:name="_Toc309897503"/>
      <w:bookmarkStart w:id="290" w:name="_Toc20188"/>
      <w:bookmarkStart w:id="291" w:name="_Toc183682353"/>
      <w:bookmarkStart w:id="292" w:name="_Toc308084585"/>
      <w:bookmarkStart w:id="293" w:name="_Toc1855"/>
      <w:bookmarkStart w:id="294" w:name="_Toc12658"/>
      <w:bookmarkStart w:id="295" w:name="_Toc21033"/>
      <w:bookmarkStart w:id="296" w:name="_Toc10594"/>
      <w:bookmarkStart w:id="297" w:name="_Toc18700"/>
      <w:r>
        <w:rPr>
          <w:rFonts w:hint="eastAsia"/>
          <w:color w:val="auto"/>
          <w:highlight w:val="none"/>
        </w:rPr>
        <w:t>计量单位</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Pr>
          <w:rFonts w:hint="eastAsia"/>
          <w:color w:val="auto"/>
          <w:highlight w:val="none"/>
          <w:lang w:val="en-US" w:eastAsia="zh-CN"/>
        </w:rPr>
        <w:t>(实质性要求)</w:t>
      </w:r>
      <w:bookmarkEnd w:id="293"/>
      <w:bookmarkEnd w:id="294"/>
      <w:bookmarkEnd w:id="295"/>
      <w:bookmarkEnd w:id="296"/>
      <w:bookmarkEnd w:id="297"/>
    </w:p>
    <w:p>
      <w:pPr>
        <w:pStyle w:val="46"/>
        <w:bidi w:val="0"/>
        <w:spacing w:line="520" w:lineRule="exact"/>
        <w:rPr>
          <w:rFonts w:hint="eastAsia"/>
          <w:color w:val="auto"/>
          <w:highlight w:val="none"/>
        </w:rPr>
      </w:pPr>
      <w:r>
        <w:rPr>
          <w:rFonts w:hint="eastAsia"/>
          <w:color w:val="auto"/>
          <w:highlight w:val="none"/>
        </w:rPr>
        <w:t>除技术规格及要求中另有规定外，本采购项下的投标均采用国家法定的计量单位。</w:t>
      </w:r>
    </w:p>
    <w:p>
      <w:pPr>
        <w:pStyle w:val="49"/>
        <w:bidi w:val="0"/>
        <w:spacing w:line="520" w:lineRule="exact"/>
        <w:rPr>
          <w:rFonts w:hint="eastAsia"/>
          <w:color w:val="auto"/>
          <w:highlight w:val="none"/>
        </w:rPr>
      </w:pPr>
      <w:bookmarkStart w:id="298" w:name="_Toc25216"/>
      <w:bookmarkStart w:id="299" w:name="_Toc308084586"/>
      <w:bookmarkStart w:id="300" w:name="_Toc217446045"/>
      <w:bookmarkStart w:id="301" w:name="_Toc319439889"/>
      <w:bookmarkStart w:id="302" w:name="_Toc307501098"/>
      <w:bookmarkStart w:id="303" w:name="_Toc8881"/>
      <w:bookmarkStart w:id="304" w:name="_Toc15435"/>
      <w:bookmarkStart w:id="305" w:name="_Toc22739"/>
      <w:bookmarkStart w:id="306" w:name="_Toc307564841"/>
      <w:bookmarkStart w:id="307" w:name="_Toc319440131"/>
      <w:bookmarkStart w:id="308" w:name="_Toc309897504"/>
      <w:bookmarkStart w:id="309" w:name="_Toc8803"/>
      <w:bookmarkStart w:id="310" w:name="_Toc327196275"/>
      <w:bookmarkStart w:id="311" w:name="_Toc16798"/>
      <w:bookmarkStart w:id="312" w:name="_Toc308188141"/>
      <w:bookmarkStart w:id="313" w:name="_Toc24761"/>
      <w:bookmarkStart w:id="314" w:name="_Toc698"/>
      <w:bookmarkStart w:id="315" w:name="_Toc13687"/>
      <w:bookmarkStart w:id="316" w:name="_Toc10217"/>
      <w:bookmarkStart w:id="317" w:name="_Toc20780"/>
      <w:bookmarkStart w:id="318" w:name="_Toc11633"/>
      <w:bookmarkStart w:id="319" w:name="_Toc19960"/>
      <w:r>
        <w:rPr>
          <w:rFonts w:hint="eastAsia"/>
          <w:color w:val="auto"/>
          <w:highlight w:val="none"/>
        </w:rPr>
        <w:t>投标货币</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Pr>
          <w:rFonts w:hint="eastAsia"/>
          <w:color w:val="auto"/>
          <w:highlight w:val="none"/>
          <w:lang w:val="en-US" w:eastAsia="zh-CN"/>
        </w:rPr>
        <w:t>(实质性要求)</w:t>
      </w:r>
      <w:bookmarkEnd w:id="315"/>
      <w:bookmarkEnd w:id="316"/>
      <w:bookmarkEnd w:id="317"/>
      <w:bookmarkEnd w:id="318"/>
      <w:bookmarkEnd w:id="319"/>
    </w:p>
    <w:p>
      <w:pPr>
        <w:pStyle w:val="46"/>
        <w:bidi w:val="0"/>
        <w:spacing w:line="520" w:lineRule="exact"/>
        <w:rPr>
          <w:rFonts w:hint="eastAsia"/>
          <w:color w:val="auto"/>
          <w:highlight w:val="none"/>
        </w:rPr>
      </w:pPr>
      <w:r>
        <w:rPr>
          <w:rFonts w:hint="eastAsia"/>
          <w:color w:val="auto"/>
          <w:highlight w:val="none"/>
        </w:rPr>
        <w:t>本次招标项目的投标均以人民币报价。</w:t>
      </w:r>
    </w:p>
    <w:p>
      <w:pPr>
        <w:pStyle w:val="49"/>
        <w:bidi w:val="0"/>
        <w:spacing w:line="520" w:lineRule="exact"/>
        <w:rPr>
          <w:rFonts w:hint="eastAsia"/>
          <w:color w:val="auto"/>
          <w:highlight w:val="none"/>
          <w:lang w:eastAsia="zh-CN"/>
        </w:rPr>
      </w:pPr>
      <w:bookmarkStart w:id="320" w:name="_Toc16409"/>
      <w:bookmarkStart w:id="321" w:name="_Toc24432"/>
      <w:bookmarkStart w:id="322" w:name="_Toc309897505"/>
      <w:bookmarkStart w:id="323" w:name="_Toc217446046"/>
      <w:bookmarkStart w:id="324" w:name="_Toc7935"/>
      <w:bookmarkStart w:id="325" w:name="_Toc25266"/>
      <w:bookmarkStart w:id="326" w:name="_Toc21894"/>
      <w:bookmarkStart w:id="327" w:name="_Toc327196276"/>
      <w:bookmarkStart w:id="328" w:name="_Toc319440132"/>
      <w:bookmarkStart w:id="329" w:name="_Toc308188142"/>
      <w:bookmarkStart w:id="330" w:name="_Toc307501099"/>
      <w:bookmarkStart w:id="331" w:name="_Toc4336"/>
      <w:bookmarkStart w:id="332" w:name="_Toc32667"/>
      <w:bookmarkStart w:id="333" w:name="_Toc307564842"/>
      <w:bookmarkStart w:id="334" w:name="_Toc319439890"/>
      <w:bookmarkStart w:id="335" w:name="_Toc25923"/>
      <w:bookmarkStart w:id="336" w:name="_Toc32108"/>
      <w:bookmarkStart w:id="337" w:name="_Toc8550"/>
      <w:bookmarkStart w:id="338" w:name="_Toc308084587"/>
      <w:bookmarkStart w:id="339" w:name="_Toc15074"/>
      <w:bookmarkStart w:id="340" w:name="_Toc21797"/>
      <w:bookmarkStart w:id="341" w:name="_Toc5763"/>
      <w:bookmarkStart w:id="342" w:name="_Toc9453"/>
      <w:bookmarkStart w:id="343" w:name="_Toc319440133"/>
      <w:bookmarkStart w:id="344" w:name="_Toc7819"/>
      <w:bookmarkStart w:id="345" w:name="_Toc307564843"/>
      <w:bookmarkStart w:id="346" w:name="_Toc3781"/>
      <w:bookmarkStart w:id="347" w:name="_Toc18912"/>
      <w:bookmarkStart w:id="348" w:name="_Toc327196277"/>
      <w:bookmarkStart w:id="349" w:name="_Toc13754"/>
      <w:bookmarkStart w:id="350" w:name="_Toc30958"/>
      <w:bookmarkStart w:id="351" w:name="_Toc10974"/>
      <w:bookmarkStart w:id="352" w:name="_Toc27877"/>
      <w:bookmarkStart w:id="353" w:name="_Toc307501100"/>
      <w:bookmarkStart w:id="354" w:name="_Toc319439891"/>
      <w:bookmarkStart w:id="355" w:name="_Toc308084588"/>
      <w:bookmarkStart w:id="356" w:name="_Toc308188143"/>
      <w:bookmarkStart w:id="357" w:name="_Toc309897506"/>
      <w:bookmarkStart w:id="358" w:name="_Toc217446047"/>
      <w:bookmarkStart w:id="359" w:name="_Toc2050"/>
      <w:bookmarkStart w:id="360" w:name="_Toc9626"/>
      <w:bookmarkStart w:id="361" w:name="_Toc15468"/>
      <w:r>
        <w:rPr>
          <w:rFonts w:hint="eastAsia"/>
          <w:color w:val="auto"/>
          <w:highlight w:val="none"/>
        </w:rPr>
        <w:t>联合体投标</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Pr>
          <w:rFonts w:hint="eastAsia"/>
          <w:color w:val="auto"/>
          <w:highlight w:val="none"/>
          <w:lang w:val="en-US" w:eastAsia="zh-CN"/>
        </w:rPr>
        <w:t>(实质性要求)</w:t>
      </w:r>
      <w:bookmarkEnd w:id="341"/>
      <w:bookmarkEnd w:id="342"/>
    </w:p>
    <w:p>
      <w:pPr>
        <w:pStyle w:val="42"/>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default" w:eastAsia="宋体"/>
          <w:color w:val="auto"/>
          <w:highlight w:val="none"/>
          <w:lang w:val="en-US" w:eastAsia="zh-CN"/>
        </w:rPr>
      </w:pPr>
      <w:bookmarkStart w:id="362" w:name="_Toc30421"/>
      <w:r>
        <w:rPr>
          <w:rFonts w:hint="eastAsia"/>
          <w:color w:val="auto"/>
          <w:highlight w:val="none"/>
          <w:lang w:val="en-US" w:eastAsia="zh-CN"/>
        </w:rPr>
        <w:t>本项目不接受联合体投标。</w:t>
      </w:r>
    </w:p>
    <w:p>
      <w:pPr>
        <w:pStyle w:val="49"/>
        <w:bidi w:val="0"/>
        <w:spacing w:line="520" w:lineRule="exact"/>
        <w:rPr>
          <w:rFonts w:hint="eastAsia"/>
          <w:color w:val="auto"/>
          <w:highlight w:val="none"/>
        </w:rPr>
      </w:pPr>
      <w:bookmarkStart w:id="363" w:name="_Toc31235"/>
      <w:bookmarkStart w:id="364" w:name="_Toc13430"/>
      <w:r>
        <w:rPr>
          <w:rFonts w:hint="eastAsia"/>
          <w:color w:val="auto"/>
          <w:highlight w:val="none"/>
        </w:rPr>
        <w:t>知识产权</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hint="eastAsia"/>
          <w:color w:val="auto"/>
          <w:highlight w:val="none"/>
          <w:lang w:val="en-US" w:eastAsia="zh-CN"/>
        </w:rPr>
        <w:t>(实质性要求)</w:t>
      </w:r>
      <w:bookmarkEnd w:id="360"/>
      <w:bookmarkEnd w:id="361"/>
      <w:bookmarkEnd w:id="362"/>
      <w:bookmarkEnd w:id="363"/>
      <w:bookmarkEnd w:id="364"/>
    </w:p>
    <w:p>
      <w:pPr>
        <w:pStyle w:val="63"/>
        <w:bidi w:val="0"/>
        <w:spacing w:line="520" w:lineRule="exact"/>
        <w:rPr>
          <w:color w:val="auto"/>
          <w:highlight w:val="none"/>
        </w:rPr>
      </w:pPr>
      <w:bookmarkStart w:id="365" w:name="_Toc183582217"/>
      <w:bookmarkStart w:id="366" w:name="_Toc10817"/>
      <w:bookmarkStart w:id="367" w:name="_Toc1140"/>
      <w:bookmarkStart w:id="368" w:name="_Toc308188144"/>
      <w:bookmarkStart w:id="369" w:name="_Toc327196278"/>
      <w:bookmarkStart w:id="370" w:name="_Toc8432"/>
      <w:bookmarkStart w:id="371" w:name="_Toc307501101"/>
      <w:bookmarkStart w:id="372" w:name="_Toc11856"/>
      <w:bookmarkStart w:id="373" w:name="_Toc309897507"/>
      <w:bookmarkStart w:id="374" w:name="_Toc319439892"/>
      <w:bookmarkStart w:id="375" w:name="_Toc2706"/>
      <w:bookmarkStart w:id="376" w:name="_Toc319440134"/>
      <w:bookmarkStart w:id="377" w:name="_Toc6143"/>
      <w:bookmarkStart w:id="378" w:name="_Toc5369"/>
      <w:bookmarkStart w:id="379" w:name="_Toc30708"/>
      <w:bookmarkStart w:id="380" w:name="_Toc217446048"/>
      <w:bookmarkStart w:id="381" w:name="_Toc307564844"/>
      <w:bookmarkStart w:id="382" w:name="_Toc7660"/>
      <w:bookmarkStart w:id="383" w:name="_Toc16281"/>
      <w:bookmarkStart w:id="384" w:name="_Toc183682354"/>
      <w:bookmarkStart w:id="385" w:name="_Toc308084589"/>
      <w:r>
        <w:rPr>
          <w:rFonts w:hint="eastAsia"/>
          <w:color w:val="auto"/>
          <w:highlight w:val="none"/>
        </w:rPr>
        <w:t>投标人在本项目使用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63"/>
        <w:bidi w:val="0"/>
        <w:spacing w:line="520" w:lineRule="exact"/>
        <w:rPr>
          <w:color w:val="auto"/>
          <w:highlight w:val="none"/>
        </w:rPr>
      </w:pPr>
      <w:r>
        <w:rPr>
          <w:rFonts w:hint="eastAsia" w:ascii="宋体" w:hAnsi="宋体" w:eastAsia="宋体" w:cs="宋体"/>
          <w:color w:val="auto"/>
          <w:sz w:val="24"/>
          <w:szCs w:val="24"/>
          <w:highlight w:val="none"/>
          <w:lang w:val="en-US" w:eastAsia="zh-Hans"/>
        </w:rPr>
        <w:t>采购人享有本项目实施过程中产生的知识成果及知识产权，并依据实际情况对采购标的涉及的知识产权进行处理</w:t>
      </w:r>
      <w:r>
        <w:rPr>
          <w:rFonts w:hint="eastAsia"/>
          <w:color w:val="auto"/>
          <w:highlight w:val="none"/>
        </w:rPr>
        <w:t>。</w:t>
      </w:r>
    </w:p>
    <w:p>
      <w:pPr>
        <w:pStyle w:val="63"/>
        <w:bidi w:val="0"/>
        <w:spacing w:line="520" w:lineRule="exact"/>
        <w:rPr>
          <w:color w:val="auto"/>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Hans"/>
        </w:rPr>
        <w:t>如欲在项目实施过程中采用自有知识成果，需提供相关技术文档，并承诺提供无限期技术支持，采购人享有永久使用权</w:t>
      </w:r>
      <w:r>
        <w:rPr>
          <w:rFonts w:hint="eastAsia" w:ascii="宋体" w:hAnsi="宋体" w:eastAsia="宋体" w:cs="宋体"/>
          <w:color w:val="auto"/>
          <w:sz w:val="24"/>
          <w:szCs w:val="24"/>
          <w:highlight w:val="none"/>
          <w:lang w:val="en-US" w:eastAsia="zh-CN"/>
        </w:rPr>
        <w:t>，且</w:t>
      </w:r>
      <w:r>
        <w:rPr>
          <w:rFonts w:hint="eastAsia" w:ascii="宋体" w:hAnsi="宋体" w:eastAsia="宋体" w:cs="宋体"/>
          <w:color w:val="auto"/>
          <w:sz w:val="24"/>
          <w:szCs w:val="24"/>
          <w:highlight w:val="none"/>
          <w:lang w:val="en-US" w:eastAsia="zh-Hans"/>
        </w:rPr>
        <w:t>不承担该知识产权的相关费用</w:t>
      </w:r>
      <w:r>
        <w:rPr>
          <w:rFonts w:hint="eastAsia" w:ascii="宋体" w:hAnsi="宋体" w:eastAsia="宋体" w:cs="宋体"/>
          <w:color w:val="auto"/>
          <w:sz w:val="24"/>
          <w:szCs w:val="24"/>
          <w:highlight w:val="none"/>
          <w:lang w:val="en-US" w:eastAsia="zh-CN"/>
        </w:rPr>
        <w:t>。</w:t>
      </w:r>
      <w:r>
        <w:rPr>
          <w:color w:val="auto"/>
          <w:highlight w:val="none"/>
        </w:rPr>
        <w:t>否则视为投标人未在本项目实施过程中采用自有知识成果，不影响有效性</w:t>
      </w:r>
      <w:r>
        <w:rPr>
          <w:rFonts w:hint="eastAsia"/>
          <w:color w:val="auto"/>
          <w:highlight w:val="none"/>
        </w:rPr>
        <w:t>。</w:t>
      </w:r>
    </w:p>
    <w:p>
      <w:pPr>
        <w:pStyle w:val="63"/>
        <w:bidi w:val="0"/>
        <w:spacing w:line="520" w:lineRule="exact"/>
        <w:rPr>
          <w:color w:val="auto"/>
          <w:highlight w:val="none"/>
        </w:rPr>
      </w:pPr>
      <w:r>
        <w:rPr>
          <w:rFonts w:hint="eastAsia" w:ascii="宋体" w:hAnsi="宋体" w:eastAsia="宋体" w:cs="宋体"/>
          <w:color w:val="auto"/>
          <w:sz w:val="24"/>
          <w:szCs w:val="24"/>
          <w:highlight w:val="none"/>
          <w:lang w:val="en-US" w:eastAsia="zh-Hans"/>
        </w:rPr>
        <w:t>如采用</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Hans"/>
        </w:rPr>
        <w:t>所不拥有的知识产权，仍需提供相关技术文档，并承诺提供无限期技术支持，采购人享有永久合法使用的使用权，且不承担该知识产权的相关费用</w:t>
      </w:r>
      <w:r>
        <w:rPr>
          <w:rFonts w:hint="eastAsia" w:ascii="宋体" w:hAnsi="宋体" w:eastAsia="宋体" w:cs="宋体"/>
          <w:color w:val="auto"/>
          <w:sz w:val="24"/>
          <w:szCs w:val="24"/>
          <w:highlight w:val="none"/>
          <w:lang w:val="en-US" w:eastAsia="zh-CN"/>
        </w:rPr>
        <w:t>。</w:t>
      </w:r>
    </w:p>
    <w:p>
      <w:pPr>
        <w:pStyle w:val="63"/>
        <w:bidi w:val="0"/>
        <w:spacing w:line="520" w:lineRule="exact"/>
        <w:rPr>
          <w:color w:val="auto"/>
          <w:highlight w:val="none"/>
        </w:rPr>
      </w:pPr>
      <w:r>
        <w:rPr>
          <w:rFonts w:hint="eastAsia" w:ascii="宋体" w:hAnsi="宋体" w:eastAsia="宋体" w:cs="宋体"/>
          <w:color w:val="auto"/>
          <w:sz w:val="24"/>
          <w:szCs w:val="24"/>
          <w:highlight w:val="none"/>
          <w:lang w:val="en-US" w:eastAsia="zh-Hans"/>
        </w:rPr>
        <w:t>若项目实施过程形成了新的技术成果或知识产权</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Hans"/>
        </w:rPr>
        <w:t>包括但不限于新开发的计算机软件、在原有软件基础上修改软件架构或增加新功能等的技术改进、新功能开发过程中形成的技术文件等</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Hans"/>
        </w:rPr>
        <w:t>，应由采购人和</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Hans"/>
        </w:rPr>
        <w:t>共同所有前述科技成果权利或知识产权，</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Hans"/>
        </w:rPr>
        <w:t>承诺采购人享有前述成果权利或知识产权永久合法使用的使用权，且</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Hans"/>
        </w:rPr>
        <w:t>承诺额外承担任何与之有关的费用</w:t>
      </w:r>
      <w:r>
        <w:rPr>
          <w:rFonts w:hint="eastAsia"/>
          <w:color w:val="auto"/>
          <w:highlight w:val="none"/>
          <w:lang w:eastAsia="zh-CN"/>
        </w:rPr>
        <w:t>。</w:t>
      </w:r>
    </w:p>
    <w:p>
      <w:pPr>
        <w:pStyle w:val="63"/>
        <w:bidi w:val="0"/>
        <w:spacing w:line="520" w:lineRule="exact"/>
        <w:rPr>
          <w:color w:val="auto"/>
          <w:highlight w:val="none"/>
        </w:rPr>
      </w:pPr>
      <w:r>
        <w:rPr>
          <w:rFonts w:hint="eastAsia"/>
          <w:color w:val="auto"/>
          <w:highlight w:val="none"/>
        </w:rPr>
        <w:t xml:space="preserve">如采用投标人所不拥有的知识产权，则在投标报价中必须包括合法获取该知识产权的相关费用。 </w:t>
      </w:r>
    </w:p>
    <w:p>
      <w:pPr>
        <w:pStyle w:val="49"/>
        <w:bidi w:val="0"/>
        <w:spacing w:line="520" w:lineRule="exact"/>
        <w:rPr>
          <w:rFonts w:hint="eastAsia"/>
          <w:color w:val="auto"/>
          <w:highlight w:val="none"/>
        </w:rPr>
      </w:pPr>
      <w:bookmarkStart w:id="386" w:name="_Toc398"/>
      <w:bookmarkStart w:id="387" w:name="_Toc19147"/>
      <w:bookmarkStart w:id="388" w:name="_Toc28370"/>
      <w:r>
        <w:rPr>
          <w:rFonts w:hint="eastAsia"/>
          <w:color w:val="auto"/>
          <w:highlight w:val="none"/>
        </w:rPr>
        <w:t>投标文件的组成</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pPr>
        <w:pStyle w:val="46"/>
        <w:bidi w:val="0"/>
        <w:spacing w:line="520" w:lineRule="exact"/>
        <w:rPr>
          <w:rFonts w:hint="eastAsia"/>
          <w:color w:val="auto"/>
          <w:highlight w:val="none"/>
        </w:rPr>
      </w:pPr>
      <w:bookmarkStart w:id="389" w:name="_Toc217446049"/>
      <w:bookmarkStart w:id="390" w:name="_Toc183682355"/>
      <w:bookmarkStart w:id="391" w:name="_Toc183582218"/>
      <w:bookmarkStart w:id="392" w:name="_Toc307501102"/>
      <w:r>
        <w:rPr>
          <w:rFonts w:hint="eastAsia"/>
          <w:color w:val="auto"/>
          <w:highlight w:val="none"/>
        </w:rPr>
        <w:t>投标人应按照招标文件的规定和要求编制投标文件，否则视为无效投标。投标人拟在中标后将中标项目的非主体、非关键性工作交由他人完成的，应当在投标文件中载明。投标人编写的投标文件应包括</w:t>
      </w:r>
      <w:r>
        <w:rPr>
          <w:rFonts w:hint="eastAsia"/>
          <w:color w:val="auto"/>
          <w:highlight w:val="none"/>
          <w:lang w:val="en-US" w:eastAsia="zh-CN"/>
        </w:rPr>
        <w:t>以下两</w:t>
      </w:r>
      <w:r>
        <w:rPr>
          <w:rFonts w:hint="eastAsia"/>
          <w:color w:val="auto"/>
          <w:highlight w:val="none"/>
        </w:rPr>
        <w:t>部分：</w:t>
      </w:r>
    </w:p>
    <w:p>
      <w:pPr>
        <w:pStyle w:val="63"/>
        <w:bidi w:val="0"/>
        <w:spacing w:line="520" w:lineRule="exact"/>
        <w:rPr>
          <w:rFonts w:hint="eastAsia"/>
          <w:b/>
          <w:bCs/>
          <w:color w:val="auto"/>
          <w:highlight w:val="none"/>
          <w:lang w:val="en-US" w:eastAsia="zh-CN"/>
        </w:rPr>
      </w:pPr>
      <w:r>
        <w:rPr>
          <w:rFonts w:hint="eastAsia"/>
          <w:b/>
          <w:bCs/>
          <w:color w:val="auto"/>
          <w:highlight w:val="none"/>
          <w:lang w:val="en-US" w:eastAsia="zh-CN"/>
        </w:rPr>
        <w:t>第一部分：资格、资质性及其他类似效力投标文件(用于资格审查)</w:t>
      </w:r>
    </w:p>
    <w:p>
      <w:pPr>
        <w:pStyle w:val="46"/>
        <w:bidi w:val="0"/>
        <w:spacing w:line="520" w:lineRule="exact"/>
        <w:rPr>
          <w:rFonts w:hint="eastAsia"/>
          <w:color w:val="auto"/>
          <w:highlight w:val="none"/>
          <w:lang w:val="en-US" w:eastAsia="zh-CN"/>
        </w:rPr>
      </w:pPr>
      <w:r>
        <w:rPr>
          <w:rFonts w:hint="eastAsia"/>
          <w:color w:val="auto"/>
          <w:highlight w:val="none"/>
          <w:lang w:val="en-US" w:eastAsia="zh-CN"/>
        </w:rPr>
        <w:t>按照招标文件第四、五章要求提供相关资格、资质性及其他类似效力要求的相关证明材料。</w:t>
      </w:r>
    </w:p>
    <w:p>
      <w:pPr>
        <w:pStyle w:val="63"/>
        <w:bidi w:val="0"/>
        <w:spacing w:line="520" w:lineRule="exact"/>
        <w:rPr>
          <w:rFonts w:hint="eastAsia"/>
          <w:b/>
          <w:bCs/>
          <w:color w:val="auto"/>
          <w:highlight w:val="none"/>
          <w:lang w:eastAsia="zh-CN"/>
        </w:rPr>
      </w:pPr>
      <w:r>
        <w:rPr>
          <w:rFonts w:hint="eastAsia"/>
          <w:b/>
          <w:bCs/>
          <w:color w:val="auto"/>
          <w:highlight w:val="none"/>
          <w:lang w:val="en-US" w:eastAsia="zh-CN"/>
        </w:rPr>
        <w:t>第二部分</w:t>
      </w:r>
      <w:r>
        <w:rPr>
          <w:rFonts w:hint="eastAsia"/>
          <w:b/>
          <w:bCs/>
          <w:color w:val="auto"/>
          <w:highlight w:val="none"/>
        </w:rPr>
        <w:t>：</w:t>
      </w:r>
      <w:r>
        <w:rPr>
          <w:rFonts w:hint="eastAsia"/>
          <w:b/>
          <w:bCs/>
          <w:color w:val="auto"/>
          <w:highlight w:val="none"/>
          <w:lang w:val="en-US" w:eastAsia="zh-CN"/>
        </w:rPr>
        <w:t>其他</w:t>
      </w:r>
      <w:r>
        <w:rPr>
          <w:rFonts w:hint="eastAsia"/>
          <w:b/>
          <w:bCs/>
          <w:color w:val="auto"/>
          <w:highlight w:val="none"/>
        </w:rPr>
        <w:t>投标文件</w:t>
      </w:r>
      <w:r>
        <w:rPr>
          <w:rFonts w:hint="eastAsia"/>
          <w:b/>
          <w:bCs/>
          <w:color w:val="auto"/>
          <w:highlight w:val="none"/>
          <w:lang w:eastAsia="zh-CN"/>
        </w:rPr>
        <w:t>(</w:t>
      </w:r>
      <w:r>
        <w:rPr>
          <w:rFonts w:hint="eastAsia"/>
          <w:b/>
          <w:bCs/>
          <w:color w:val="auto"/>
          <w:highlight w:val="none"/>
        </w:rPr>
        <w:t>用于资格审查以外的评标</w:t>
      </w:r>
      <w:r>
        <w:rPr>
          <w:rFonts w:hint="eastAsia"/>
          <w:b/>
          <w:bCs/>
          <w:color w:val="auto"/>
          <w:highlight w:val="none"/>
          <w:lang w:eastAsia="zh-CN"/>
        </w:rPr>
        <w:t>)</w:t>
      </w:r>
    </w:p>
    <w:p>
      <w:pPr>
        <w:pStyle w:val="46"/>
        <w:bidi w:val="0"/>
        <w:spacing w:line="520" w:lineRule="exact"/>
        <w:rPr>
          <w:rFonts w:hint="eastAsia"/>
          <w:color w:val="auto"/>
          <w:highlight w:val="none"/>
          <w:lang w:val="en-US" w:eastAsia="zh-CN"/>
        </w:rPr>
      </w:pPr>
      <w:r>
        <w:rPr>
          <w:rFonts w:hint="eastAsia"/>
          <w:color w:val="auto"/>
          <w:highlight w:val="none"/>
          <w:lang w:val="en-US" w:eastAsia="zh-CN"/>
        </w:rPr>
        <w:t>按照招标文件要求提供以下相关材料：</w:t>
      </w:r>
    </w:p>
    <w:p>
      <w:pPr>
        <w:pStyle w:val="64"/>
        <w:bidi w:val="0"/>
        <w:spacing w:line="520" w:lineRule="exact"/>
        <w:rPr>
          <w:rFonts w:hint="eastAsia"/>
          <w:b/>
          <w:bCs/>
          <w:color w:val="auto"/>
          <w:highlight w:val="none"/>
        </w:rPr>
      </w:pPr>
      <w:r>
        <w:rPr>
          <w:rFonts w:hint="eastAsia"/>
          <w:b/>
          <w:bCs/>
          <w:color w:val="auto"/>
          <w:highlight w:val="none"/>
          <w:lang w:val="en-US" w:eastAsia="zh-CN"/>
        </w:rPr>
        <w:t xml:space="preserve"> </w:t>
      </w:r>
      <w:r>
        <w:rPr>
          <w:rFonts w:hint="eastAsia"/>
          <w:b/>
          <w:bCs/>
          <w:color w:val="auto"/>
          <w:highlight w:val="none"/>
        </w:rPr>
        <w:t>报价部分</w:t>
      </w:r>
      <w:r>
        <w:rPr>
          <w:rFonts w:hint="eastAsia"/>
          <w:b/>
          <w:bCs/>
          <w:color w:val="auto"/>
          <w:highlight w:val="none"/>
          <w:lang w:val="zh-CN"/>
        </w:rPr>
        <w:t>(实质性要求)</w:t>
      </w:r>
    </w:p>
    <w:p>
      <w:pPr>
        <w:pStyle w:val="36"/>
        <w:numPr>
          <w:ilvl w:val="3"/>
          <w:numId w:val="0"/>
        </w:numPr>
        <w:bidi w:val="0"/>
        <w:spacing w:line="520" w:lineRule="exact"/>
        <w:ind w:leftChars="200"/>
        <w:rPr>
          <w:rFonts w:hint="eastAsia"/>
          <w:color w:val="auto"/>
          <w:highlight w:val="none"/>
        </w:rPr>
      </w:pPr>
      <w:r>
        <w:rPr>
          <w:rFonts w:hint="eastAsia"/>
          <w:color w:val="auto"/>
          <w:highlight w:val="none"/>
        </w:rPr>
        <w:t>投标人按照以下要求填写的“开标一览表”。本次招标报价要求：</w:t>
      </w:r>
    </w:p>
    <w:p>
      <w:pPr>
        <w:pStyle w:val="65"/>
        <w:bidi w:val="0"/>
        <w:spacing w:line="520" w:lineRule="exact"/>
        <w:rPr>
          <w:color w:val="auto"/>
          <w:highlight w:val="none"/>
        </w:rPr>
      </w:pPr>
      <w:r>
        <w:rPr>
          <w:rFonts w:hint="eastAsia"/>
          <w:color w:val="auto"/>
          <w:highlight w:val="none"/>
        </w:rPr>
        <w:t>投标人的报价是投标人响应招标项目要求的全部</w:t>
      </w:r>
      <w:r>
        <w:rPr>
          <w:rFonts w:hint="eastAsia"/>
          <w:color w:val="auto"/>
          <w:highlight w:val="none"/>
          <w:lang w:val="en-US" w:eastAsia="zh-CN"/>
        </w:rPr>
        <w:t>采购</w:t>
      </w:r>
      <w:r>
        <w:rPr>
          <w:rFonts w:hint="eastAsia"/>
          <w:color w:val="auto"/>
          <w:highlight w:val="none"/>
        </w:rPr>
        <w:t>内容的价格体现，包括完成本项目所涉及的一切费用</w:t>
      </w:r>
      <w:r>
        <w:rPr>
          <w:rFonts w:hint="eastAsia"/>
          <w:color w:val="auto"/>
          <w:highlight w:val="none"/>
          <w:lang w:val="en-US" w:eastAsia="zh-CN"/>
        </w:rPr>
        <w:t>(含招标代理服务费)</w:t>
      </w:r>
      <w:r>
        <w:rPr>
          <w:rFonts w:hint="eastAsia"/>
          <w:color w:val="auto"/>
          <w:highlight w:val="none"/>
        </w:rPr>
        <w:t>。</w:t>
      </w:r>
    </w:p>
    <w:p>
      <w:pPr>
        <w:pStyle w:val="65"/>
        <w:bidi w:val="0"/>
        <w:spacing w:line="520" w:lineRule="exact"/>
        <w:rPr>
          <w:color w:val="auto"/>
          <w:highlight w:val="none"/>
        </w:rPr>
      </w:pPr>
      <w:r>
        <w:rPr>
          <w:rFonts w:hint="eastAsia"/>
          <w:color w:val="auto"/>
          <w:highlight w:val="none"/>
        </w:rPr>
        <w:t>投标人只允许有一个报价，并且在合同履行过程中是固定不变的，任何有选择或可调整的报价将不予接受，并按无效投标处理。</w:t>
      </w:r>
    </w:p>
    <w:p>
      <w:pPr>
        <w:pStyle w:val="64"/>
        <w:bidi w:val="0"/>
        <w:spacing w:line="520" w:lineRule="exact"/>
        <w:rPr>
          <w:rFonts w:hint="eastAsia"/>
          <w:b/>
          <w:bCs/>
          <w:color w:val="auto"/>
          <w:highlight w:val="none"/>
          <w:lang w:val="zh-CN"/>
        </w:rPr>
      </w:pPr>
      <w:r>
        <w:rPr>
          <w:rFonts w:hint="eastAsia"/>
          <w:b/>
          <w:bCs/>
          <w:color w:val="auto"/>
          <w:highlight w:val="none"/>
          <w:lang w:val="en-US" w:eastAsia="zh-CN"/>
        </w:rPr>
        <w:t xml:space="preserve"> </w:t>
      </w:r>
      <w:r>
        <w:rPr>
          <w:rFonts w:hint="eastAsia"/>
          <w:b/>
          <w:bCs/>
          <w:color w:val="auto"/>
          <w:highlight w:val="none"/>
        </w:rPr>
        <w:t>技术</w:t>
      </w:r>
      <w:r>
        <w:rPr>
          <w:rFonts w:hint="eastAsia"/>
          <w:b/>
          <w:bCs/>
          <w:color w:val="auto"/>
          <w:highlight w:val="none"/>
          <w:lang w:val="zh-CN"/>
        </w:rPr>
        <w:t>部分</w:t>
      </w:r>
    </w:p>
    <w:p>
      <w:pPr>
        <w:pStyle w:val="46"/>
        <w:bidi w:val="0"/>
        <w:spacing w:line="520" w:lineRule="exact"/>
        <w:rPr>
          <w:rFonts w:hint="eastAsia"/>
          <w:color w:val="auto"/>
          <w:highlight w:val="none"/>
          <w:lang w:val="zh-CN"/>
        </w:rPr>
      </w:pPr>
      <w:r>
        <w:rPr>
          <w:rFonts w:hint="eastAsia"/>
          <w:color w:val="auto"/>
          <w:highlight w:val="none"/>
          <w:lang w:val="zh-CN"/>
        </w:rPr>
        <w:t>投标人按照招标文件要求做出的</w:t>
      </w:r>
      <w:r>
        <w:rPr>
          <w:rFonts w:hint="eastAsia"/>
          <w:color w:val="auto"/>
          <w:highlight w:val="none"/>
        </w:rPr>
        <w:t>技术</w:t>
      </w:r>
      <w:r>
        <w:rPr>
          <w:rFonts w:hint="eastAsia"/>
          <w:color w:val="auto"/>
          <w:highlight w:val="none"/>
          <w:lang w:val="zh-CN"/>
        </w:rPr>
        <w:t>应答，主要是针对招标项目的</w:t>
      </w:r>
      <w:r>
        <w:rPr>
          <w:rFonts w:hint="eastAsia"/>
          <w:color w:val="auto"/>
          <w:highlight w:val="none"/>
        </w:rPr>
        <w:t>技术</w:t>
      </w:r>
      <w:r>
        <w:rPr>
          <w:rFonts w:hint="eastAsia"/>
          <w:color w:val="auto"/>
          <w:highlight w:val="none"/>
          <w:lang w:val="zh-CN"/>
        </w:rPr>
        <w:t>要求做出的实质性响应和满足。投标人的</w:t>
      </w:r>
      <w:r>
        <w:rPr>
          <w:rFonts w:hint="eastAsia"/>
          <w:color w:val="auto"/>
          <w:highlight w:val="none"/>
        </w:rPr>
        <w:t>技术应答</w:t>
      </w:r>
      <w:r>
        <w:rPr>
          <w:rFonts w:hint="eastAsia"/>
          <w:color w:val="auto"/>
          <w:highlight w:val="none"/>
          <w:lang w:val="en-US" w:eastAsia="zh-CN"/>
        </w:rPr>
        <w:t>应尽可能</w:t>
      </w:r>
      <w:r>
        <w:rPr>
          <w:rFonts w:hint="eastAsia"/>
          <w:color w:val="auto"/>
          <w:highlight w:val="none"/>
          <w:lang w:val="zh-CN"/>
        </w:rPr>
        <w:t>包括下列内容：</w:t>
      </w:r>
    </w:p>
    <w:p>
      <w:pPr>
        <w:pStyle w:val="65"/>
        <w:bidi w:val="0"/>
        <w:spacing w:line="520" w:lineRule="exact"/>
        <w:rPr>
          <w:rFonts w:hint="eastAsia"/>
          <w:color w:val="auto"/>
          <w:highlight w:val="none"/>
        </w:rPr>
      </w:pPr>
      <w:r>
        <w:rPr>
          <w:rFonts w:hint="eastAsia"/>
          <w:color w:val="auto"/>
          <w:highlight w:val="none"/>
        </w:rPr>
        <w:t>投标产品的品牌、</w:t>
      </w:r>
      <w:r>
        <w:rPr>
          <w:rFonts w:hint="eastAsia"/>
          <w:color w:val="auto"/>
          <w:highlight w:val="none"/>
          <w:lang w:val="en-US" w:eastAsia="zh-CN"/>
        </w:rPr>
        <w:t>规格、</w:t>
      </w:r>
      <w:r>
        <w:rPr>
          <w:rFonts w:hint="eastAsia"/>
          <w:color w:val="auto"/>
          <w:highlight w:val="none"/>
        </w:rPr>
        <w:t>型号、</w:t>
      </w:r>
      <w:r>
        <w:rPr>
          <w:rFonts w:hint="eastAsia"/>
          <w:color w:val="auto"/>
          <w:highlight w:val="none"/>
          <w:lang w:val="en-US" w:eastAsia="zh-CN"/>
        </w:rPr>
        <w:t>产地、</w:t>
      </w:r>
      <w:r>
        <w:rPr>
          <w:rFonts w:hint="eastAsia"/>
          <w:color w:val="auto"/>
          <w:highlight w:val="none"/>
        </w:rPr>
        <w:t>配置；</w:t>
      </w:r>
    </w:p>
    <w:p>
      <w:pPr>
        <w:pStyle w:val="65"/>
        <w:bidi w:val="0"/>
        <w:spacing w:line="520" w:lineRule="exact"/>
        <w:rPr>
          <w:rFonts w:hint="eastAsia"/>
          <w:color w:val="auto"/>
          <w:highlight w:val="none"/>
        </w:rPr>
      </w:pPr>
      <w:r>
        <w:rPr>
          <w:rFonts w:hint="eastAsia"/>
          <w:color w:val="auto"/>
          <w:highlight w:val="none"/>
        </w:rPr>
        <w:t>投标产品本身的详细的技术指标和参数</w:t>
      </w:r>
      <w:r>
        <w:rPr>
          <w:rFonts w:hint="eastAsia"/>
          <w:color w:val="auto"/>
          <w:highlight w:val="none"/>
          <w:lang w:eastAsia="zh-CN"/>
        </w:rPr>
        <w:t>(</w:t>
      </w:r>
      <w:r>
        <w:rPr>
          <w:rFonts w:hint="eastAsia"/>
          <w:color w:val="auto"/>
          <w:highlight w:val="none"/>
        </w:rPr>
        <w:t>应当尽可能提供检测报告、产品使用说明书、用户手册等材料予以佐证</w:t>
      </w:r>
      <w:r>
        <w:rPr>
          <w:rFonts w:hint="eastAsia"/>
          <w:color w:val="auto"/>
          <w:highlight w:val="none"/>
          <w:lang w:eastAsia="zh-CN"/>
        </w:rPr>
        <w:t>)</w:t>
      </w:r>
      <w:r>
        <w:rPr>
          <w:rFonts w:hint="eastAsia"/>
          <w:color w:val="auto"/>
          <w:highlight w:val="none"/>
        </w:rPr>
        <w:t>；</w:t>
      </w:r>
    </w:p>
    <w:p>
      <w:pPr>
        <w:pStyle w:val="65"/>
        <w:bidi w:val="0"/>
        <w:spacing w:line="520" w:lineRule="exact"/>
        <w:rPr>
          <w:rFonts w:hint="eastAsia"/>
          <w:color w:val="auto"/>
          <w:highlight w:val="none"/>
        </w:rPr>
      </w:pPr>
      <w:r>
        <w:rPr>
          <w:rFonts w:hint="eastAsia"/>
          <w:color w:val="auto"/>
          <w:highlight w:val="none"/>
        </w:rPr>
        <w:t>项目实施方案</w:t>
      </w:r>
      <w:r>
        <w:rPr>
          <w:rFonts w:hint="eastAsia"/>
          <w:color w:val="auto"/>
          <w:highlight w:val="none"/>
          <w:lang w:eastAsia="zh-CN"/>
        </w:rPr>
        <w:t>、</w:t>
      </w:r>
      <w:r>
        <w:rPr>
          <w:rFonts w:hint="eastAsia"/>
          <w:color w:val="auto"/>
          <w:highlight w:val="none"/>
          <w:lang w:val="en-US" w:eastAsia="zh-CN"/>
        </w:rPr>
        <w:t>售后服务方案</w:t>
      </w:r>
      <w:r>
        <w:rPr>
          <w:rFonts w:hint="eastAsia"/>
          <w:color w:val="auto"/>
          <w:highlight w:val="none"/>
        </w:rPr>
        <w:t>；</w:t>
      </w:r>
    </w:p>
    <w:p>
      <w:pPr>
        <w:pStyle w:val="65"/>
        <w:bidi w:val="0"/>
        <w:spacing w:line="520" w:lineRule="exact"/>
        <w:rPr>
          <w:rFonts w:hint="eastAsia"/>
          <w:color w:val="auto"/>
          <w:highlight w:val="none"/>
        </w:rPr>
      </w:pPr>
      <w:r>
        <w:rPr>
          <w:rFonts w:hint="eastAsia"/>
          <w:color w:val="auto"/>
          <w:highlight w:val="none"/>
        </w:rPr>
        <w:t>投标产品技术参数</w:t>
      </w:r>
      <w:r>
        <w:rPr>
          <w:rFonts w:hint="eastAsia"/>
          <w:color w:val="auto"/>
          <w:highlight w:val="none"/>
          <w:lang w:val="en-US" w:eastAsia="zh-CN"/>
        </w:rPr>
        <w:t>响应</w:t>
      </w:r>
      <w:r>
        <w:rPr>
          <w:rFonts w:hint="eastAsia"/>
          <w:color w:val="auto"/>
          <w:highlight w:val="none"/>
        </w:rPr>
        <w:t>表；</w:t>
      </w:r>
    </w:p>
    <w:p>
      <w:pPr>
        <w:pStyle w:val="65"/>
        <w:bidi w:val="0"/>
        <w:spacing w:line="520" w:lineRule="exact"/>
        <w:rPr>
          <w:rFonts w:hint="eastAsia"/>
          <w:color w:val="auto"/>
          <w:highlight w:val="none"/>
        </w:rPr>
      </w:pPr>
      <w:r>
        <w:rPr>
          <w:rFonts w:hint="eastAsia"/>
          <w:color w:val="auto"/>
          <w:highlight w:val="none"/>
        </w:rPr>
        <w:t>投标人认为需要提供的文件和资料。</w:t>
      </w:r>
    </w:p>
    <w:p>
      <w:pPr>
        <w:pStyle w:val="64"/>
        <w:bidi w:val="0"/>
        <w:spacing w:line="520" w:lineRule="exact"/>
        <w:rPr>
          <w:rFonts w:hint="eastAsia"/>
          <w:b/>
          <w:bCs/>
          <w:color w:val="auto"/>
          <w:highlight w:val="none"/>
          <w:lang w:val="en-US" w:eastAsia="zh-CN"/>
        </w:rPr>
      </w:pPr>
      <w:r>
        <w:rPr>
          <w:rFonts w:hint="eastAsia"/>
          <w:b/>
          <w:bCs/>
          <w:color w:val="auto"/>
          <w:highlight w:val="none"/>
          <w:lang w:val="en-US" w:eastAsia="zh-CN"/>
        </w:rPr>
        <w:t xml:space="preserve"> 商务部分</w:t>
      </w:r>
    </w:p>
    <w:p>
      <w:pPr>
        <w:pStyle w:val="46"/>
        <w:bidi w:val="0"/>
        <w:spacing w:line="520" w:lineRule="exact"/>
        <w:rPr>
          <w:rFonts w:hint="eastAsia"/>
          <w:color w:val="auto"/>
          <w:highlight w:val="none"/>
          <w:lang w:val="en-US" w:eastAsia="zh-CN"/>
        </w:rPr>
      </w:pPr>
      <w:r>
        <w:rPr>
          <w:rFonts w:hint="eastAsia"/>
          <w:color w:val="auto"/>
          <w:highlight w:val="none"/>
          <w:lang w:val="en-US" w:eastAsia="zh-CN"/>
        </w:rPr>
        <w:t>投标人按照招标文件要求提供的有关证明材料；至少应包括但不限于以下内容：</w:t>
      </w:r>
    </w:p>
    <w:p>
      <w:pPr>
        <w:pStyle w:val="65"/>
        <w:bidi w:val="0"/>
        <w:spacing w:line="520" w:lineRule="exact"/>
        <w:rPr>
          <w:rFonts w:hint="eastAsia"/>
          <w:color w:val="auto"/>
          <w:highlight w:val="none"/>
        </w:rPr>
      </w:pPr>
      <w:bookmarkStart w:id="393" w:name="_Toc148505258"/>
      <w:bookmarkStart w:id="394" w:name="_Toc310412059"/>
      <w:bookmarkStart w:id="395" w:name="_Toc310411990"/>
      <w:bookmarkStart w:id="396" w:name="_Toc177972289"/>
      <w:bookmarkStart w:id="397" w:name="_Toc310410799"/>
      <w:bookmarkStart w:id="398" w:name="_Toc177972975"/>
      <w:bookmarkStart w:id="399" w:name="_Toc338418069"/>
      <w:r>
        <w:rPr>
          <w:rFonts w:hint="eastAsia"/>
          <w:color w:val="auto"/>
          <w:highlight w:val="none"/>
        </w:rPr>
        <w:t>投标函；</w:t>
      </w:r>
    </w:p>
    <w:p>
      <w:pPr>
        <w:pStyle w:val="65"/>
        <w:bidi w:val="0"/>
        <w:spacing w:line="520" w:lineRule="exact"/>
        <w:rPr>
          <w:rFonts w:hint="eastAsia"/>
          <w:color w:val="auto"/>
          <w:highlight w:val="none"/>
          <w:lang w:val="en-US" w:eastAsia="zh-CN"/>
        </w:rPr>
      </w:pPr>
      <w:r>
        <w:rPr>
          <w:rFonts w:hint="eastAsia"/>
          <w:color w:val="auto"/>
          <w:highlight w:val="none"/>
          <w:lang w:val="en-US" w:eastAsia="zh-CN"/>
        </w:rPr>
        <w:t>实质性要求承诺；</w:t>
      </w:r>
    </w:p>
    <w:p>
      <w:pPr>
        <w:pStyle w:val="65"/>
        <w:bidi w:val="0"/>
        <w:spacing w:line="520" w:lineRule="exact"/>
        <w:rPr>
          <w:rFonts w:hint="eastAsia"/>
          <w:color w:val="auto"/>
          <w:highlight w:val="none"/>
          <w:lang w:val="en-US" w:eastAsia="zh-CN"/>
        </w:rPr>
      </w:pPr>
      <w:r>
        <w:rPr>
          <w:rFonts w:hint="eastAsia"/>
          <w:color w:val="auto"/>
          <w:highlight w:val="none"/>
          <w:lang w:val="en-US" w:eastAsia="zh-CN"/>
        </w:rPr>
        <w:t>投标人基本情况表；</w:t>
      </w:r>
    </w:p>
    <w:p>
      <w:pPr>
        <w:pStyle w:val="65"/>
        <w:bidi w:val="0"/>
        <w:spacing w:line="520" w:lineRule="exact"/>
        <w:rPr>
          <w:rFonts w:hint="eastAsia"/>
          <w:color w:val="auto"/>
          <w:highlight w:val="none"/>
          <w:lang w:val="en-US" w:eastAsia="zh-CN"/>
        </w:rPr>
      </w:pPr>
      <w:r>
        <w:rPr>
          <w:rFonts w:hint="eastAsia"/>
          <w:color w:val="auto"/>
          <w:highlight w:val="none"/>
          <w:lang w:val="en-US" w:eastAsia="zh-CN"/>
        </w:rPr>
        <w:t>商务应答表；</w:t>
      </w:r>
    </w:p>
    <w:p>
      <w:pPr>
        <w:pStyle w:val="65"/>
        <w:bidi w:val="0"/>
        <w:spacing w:line="520" w:lineRule="exact"/>
        <w:rPr>
          <w:rFonts w:hint="eastAsia"/>
          <w:color w:val="auto"/>
          <w:highlight w:val="none"/>
          <w:lang w:val="en-US" w:eastAsia="zh-CN"/>
        </w:rPr>
      </w:pPr>
      <w:r>
        <w:rPr>
          <w:rFonts w:hint="eastAsia"/>
          <w:color w:val="auto"/>
          <w:highlight w:val="none"/>
          <w:lang w:val="en-US" w:eastAsia="zh-CN"/>
        </w:rPr>
        <w:t>招标代理服务费承诺函；</w:t>
      </w:r>
    </w:p>
    <w:p>
      <w:pPr>
        <w:pStyle w:val="65"/>
        <w:bidi w:val="0"/>
        <w:spacing w:line="520" w:lineRule="exact"/>
        <w:rPr>
          <w:rFonts w:hint="eastAsia"/>
          <w:color w:val="auto"/>
          <w:highlight w:val="none"/>
          <w:lang w:val="en-US" w:eastAsia="zh-CN"/>
        </w:rPr>
      </w:pPr>
      <w:r>
        <w:rPr>
          <w:rFonts w:hint="eastAsia"/>
          <w:color w:val="auto"/>
          <w:highlight w:val="none"/>
          <w:lang w:val="en-US" w:eastAsia="zh-CN"/>
        </w:rPr>
        <w:t>投标人认为应当提供的其他证明材料；</w:t>
      </w:r>
    </w:p>
    <w:p>
      <w:pPr>
        <w:pStyle w:val="65"/>
        <w:bidi w:val="0"/>
        <w:spacing w:line="520" w:lineRule="exact"/>
        <w:rPr>
          <w:rFonts w:hint="eastAsia"/>
          <w:color w:val="auto"/>
          <w:highlight w:val="none"/>
        </w:rPr>
      </w:pPr>
      <w:r>
        <w:rPr>
          <w:rFonts w:hint="eastAsia"/>
          <w:color w:val="auto"/>
          <w:highlight w:val="none"/>
          <w:lang w:val="en-US" w:eastAsia="zh-CN"/>
        </w:rPr>
        <w:t>招标文件规定的其他商务要求</w:t>
      </w:r>
      <w:r>
        <w:rPr>
          <w:rFonts w:hint="eastAsia"/>
          <w:color w:val="auto"/>
          <w:highlight w:val="none"/>
        </w:rPr>
        <w:t>。</w:t>
      </w:r>
    </w:p>
    <w:bookmarkEnd w:id="393"/>
    <w:bookmarkEnd w:id="394"/>
    <w:bookmarkEnd w:id="395"/>
    <w:bookmarkEnd w:id="396"/>
    <w:bookmarkEnd w:id="397"/>
    <w:bookmarkEnd w:id="398"/>
    <w:bookmarkEnd w:id="399"/>
    <w:p>
      <w:pPr>
        <w:pStyle w:val="64"/>
        <w:bidi w:val="0"/>
        <w:spacing w:line="520" w:lineRule="exact"/>
        <w:rPr>
          <w:rFonts w:hint="eastAsia"/>
          <w:b/>
          <w:bCs/>
          <w:color w:val="auto"/>
          <w:highlight w:val="none"/>
        </w:rPr>
      </w:pPr>
      <w:r>
        <w:rPr>
          <w:rFonts w:hint="eastAsia"/>
          <w:b/>
          <w:bCs/>
          <w:color w:val="auto"/>
          <w:highlight w:val="none"/>
          <w:lang w:val="en-US" w:eastAsia="zh-CN"/>
        </w:rPr>
        <w:t xml:space="preserve"> </w:t>
      </w:r>
      <w:r>
        <w:rPr>
          <w:rFonts w:hint="eastAsia"/>
          <w:b/>
          <w:bCs/>
          <w:color w:val="auto"/>
          <w:highlight w:val="none"/>
        </w:rPr>
        <w:t>售后服务</w:t>
      </w:r>
    </w:p>
    <w:p>
      <w:pPr>
        <w:pStyle w:val="46"/>
        <w:bidi w:val="0"/>
        <w:spacing w:line="520" w:lineRule="exact"/>
        <w:rPr>
          <w:rFonts w:hint="eastAsia"/>
          <w:color w:val="auto"/>
          <w:highlight w:val="none"/>
        </w:rPr>
      </w:pPr>
      <w:r>
        <w:rPr>
          <w:rFonts w:hint="eastAsia"/>
          <w:color w:val="auto"/>
          <w:highlight w:val="none"/>
        </w:rPr>
        <w:t>投标人按照招标文件中售后服务要求作出的积极响应和承诺。</w:t>
      </w:r>
    </w:p>
    <w:p>
      <w:pPr>
        <w:pStyle w:val="64"/>
        <w:bidi w:val="0"/>
        <w:spacing w:line="520" w:lineRule="exact"/>
        <w:rPr>
          <w:rFonts w:hint="eastAsia"/>
          <w:b/>
          <w:bCs/>
          <w:color w:val="auto"/>
          <w:highlight w:val="none"/>
        </w:rPr>
      </w:pPr>
      <w:r>
        <w:rPr>
          <w:rFonts w:hint="eastAsia"/>
          <w:b/>
          <w:bCs/>
          <w:color w:val="auto"/>
          <w:highlight w:val="none"/>
          <w:lang w:val="en-US" w:eastAsia="zh-CN"/>
        </w:rPr>
        <w:t xml:space="preserve"> </w:t>
      </w:r>
      <w:r>
        <w:rPr>
          <w:rFonts w:hint="eastAsia"/>
          <w:b/>
          <w:bCs/>
          <w:color w:val="auto"/>
          <w:highlight w:val="none"/>
        </w:rPr>
        <w:t>其他部分</w:t>
      </w:r>
    </w:p>
    <w:p>
      <w:pPr>
        <w:pStyle w:val="46"/>
        <w:bidi w:val="0"/>
        <w:spacing w:line="520" w:lineRule="exact"/>
        <w:rPr>
          <w:rFonts w:hint="eastAsia"/>
          <w:color w:val="auto"/>
          <w:highlight w:val="none"/>
        </w:rPr>
      </w:pPr>
      <w:r>
        <w:rPr>
          <w:rFonts w:hint="eastAsia"/>
          <w:color w:val="auto"/>
          <w:highlight w:val="none"/>
        </w:rPr>
        <w:t>投标人按照招标文件要求作出的其他应答和承诺。</w:t>
      </w:r>
    </w:p>
    <w:p>
      <w:pPr>
        <w:pStyle w:val="47"/>
        <w:bidi w:val="0"/>
        <w:spacing w:line="520" w:lineRule="exact"/>
        <w:rPr>
          <w:rFonts w:hint="eastAsia"/>
          <w:color w:val="auto"/>
          <w:highlight w:val="none"/>
        </w:rPr>
      </w:pPr>
      <w:r>
        <w:rPr>
          <w:rFonts w:hint="eastAsia"/>
          <w:color w:val="auto"/>
          <w:highlight w:val="none"/>
        </w:rPr>
        <w:t>注：以上</w:t>
      </w:r>
      <w:r>
        <w:rPr>
          <w:rFonts w:hint="eastAsia"/>
          <w:color w:val="auto"/>
          <w:highlight w:val="none"/>
          <w:lang w:val="en-US" w:eastAsia="zh-CN"/>
        </w:rPr>
        <w:t>第一部分</w:t>
      </w:r>
      <w:r>
        <w:rPr>
          <w:rFonts w:hint="eastAsia"/>
          <w:color w:val="auto"/>
          <w:highlight w:val="none"/>
          <w:lang w:eastAsia="zh-CN"/>
        </w:rPr>
        <w:t>、</w:t>
      </w:r>
      <w:r>
        <w:rPr>
          <w:rFonts w:hint="eastAsia"/>
          <w:color w:val="auto"/>
          <w:highlight w:val="none"/>
          <w:lang w:val="en-US" w:eastAsia="zh-CN"/>
        </w:rPr>
        <w:t>第二部分</w:t>
      </w:r>
      <w:r>
        <w:rPr>
          <w:rFonts w:hint="eastAsia"/>
          <w:color w:val="auto"/>
          <w:highlight w:val="none"/>
        </w:rPr>
        <w:t>要求提供的证明材料均需加盖投标人公章，若未加盖投标人公章的，则该证明材料涉及的评分项不予评分，涉及资格条件</w:t>
      </w:r>
      <w:r>
        <w:rPr>
          <w:rFonts w:hint="eastAsia"/>
          <w:color w:val="auto"/>
          <w:highlight w:val="none"/>
          <w:lang w:val="en-US" w:eastAsia="zh-CN"/>
        </w:rPr>
        <w:t>或实质性要求</w:t>
      </w:r>
      <w:r>
        <w:rPr>
          <w:rFonts w:hint="eastAsia"/>
          <w:color w:val="auto"/>
          <w:highlight w:val="none"/>
        </w:rPr>
        <w:t>的评审项按未通过处理。</w:t>
      </w:r>
    </w:p>
    <w:p>
      <w:pPr>
        <w:pStyle w:val="46"/>
        <w:bidi w:val="0"/>
        <w:spacing w:line="520" w:lineRule="exact"/>
        <w:rPr>
          <w:rFonts w:hint="eastAsia"/>
          <w:b/>
          <w:bCs/>
          <w:color w:val="auto"/>
          <w:highlight w:val="none"/>
        </w:rPr>
      </w:pPr>
      <w:r>
        <w:rPr>
          <w:rFonts w:hint="eastAsia"/>
          <w:b/>
          <w:bCs/>
          <w:color w:val="auto"/>
          <w:highlight w:val="none"/>
        </w:rPr>
        <w:t>若综合评分明细表和技术参数中需要提供的证明材料上述未提及，投标人根据综合评分明细表和技术参数</w:t>
      </w:r>
      <w:r>
        <w:rPr>
          <w:rFonts w:hint="eastAsia"/>
          <w:b/>
          <w:bCs/>
          <w:color w:val="auto"/>
          <w:highlight w:val="none"/>
          <w:lang w:val="en-US" w:eastAsia="zh-CN"/>
        </w:rPr>
        <w:t>要求</w:t>
      </w:r>
      <w:r>
        <w:rPr>
          <w:rFonts w:hint="eastAsia"/>
          <w:b/>
          <w:bCs/>
          <w:color w:val="auto"/>
          <w:highlight w:val="none"/>
        </w:rPr>
        <w:t>提供相关的证明材料。</w:t>
      </w:r>
    </w:p>
    <w:p>
      <w:pPr>
        <w:pStyle w:val="49"/>
        <w:bidi w:val="0"/>
        <w:spacing w:line="520" w:lineRule="exact"/>
        <w:rPr>
          <w:rFonts w:hint="eastAsia"/>
          <w:color w:val="auto"/>
          <w:highlight w:val="none"/>
        </w:rPr>
      </w:pPr>
      <w:bookmarkStart w:id="400" w:name="_Toc23655"/>
      <w:bookmarkStart w:id="401" w:name="_Toc3096"/>
      <w:bookmarkStart w:id="402" w:name="_Toc31136"/>
      <w:bookmarkStart w:id="403" w:name="_Toc32103"/>
      <w:bookmarkStart w:id="404" w:name="_Toc327196279"/>
      <w:bookmarkStart w:id="405" w:name="_Toc4288"/>
      <w:bookmarkStart w:id="406" w:name="_Toc32288"/>
      <w:bookmarkStart w:id="407" w:name="_Toc309897508"/>
      <w:bookmarkStart w:id="408" w:name="_Toc6789"/>
      <w:bookmarkStart w:id="409" w:name="_Toc15763"/>
      <w:bookmarkStart w:id="410" w:name="_Toc308084590"/>
      <w:bookmarkStart w:id="411" w:name="_Toc307564845"/>
      <w:bookmarkStart w:id="412" w:name="_Toc31194"/>
      <w:bookmarkStart w:id="413" w:name="_Toc21752"/>
      <w:bookmarkStart w:id="414" w:name="_Toc1874"/>
      <w:bookmarkStart w:id="415" w:name="_Toc26967"/>
      <w:bookmarkStart w:id="416" w:name="_Toc319439893"/>
      <w:bookmarkStart w:id="417" w:name="_Toc308188145"/>
      <w:bookmarkStart w:id="418" w:name="_Toc23795"/>
      <w:bookmarkStart w:id="419" w:name="_Toc319440135"/>
      <w:r>
        <w:rPr>
          <w:rFonts w:hint="eastAsia"/>
          <w:color w:val="auto"/>
          <w:highlight w:val="none"/>
        </w:rPr>
        <w:t>投标文件格式</w:t>
      </w:r>
      <w:bookmarkEnd w:id="389"/>
      <w:bookmarkEnd w:id="390"/>
      <w:bookmarkEnd w:id="391"/>
      <w:bookmarkEnd w:id="392"/>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Pr>
          <w:rFonts w:hint="eastAsia"/>
          <w:color w:val="auto"/>
          <w:highlight w:val="none"/>
        </w:rPr>
        <w:tab/>
      </w:r>
    </w:p>
    <w:p>
      <w:pPr>
        <w:pStyle w:val="63"/>
        <w:bidi w:val="0"/>
        <w:spacing w:line="520" w:lineRule="exact"/>
        <w:rPr>
          <w:rFonts w:hint="eastAsia"/>
          <w:color w:val="auto"/>
          <w:highlight w:val="none"/>
        </w:rPr>
      </w:pPr>
      <w:r>
        <w:rPr>
          <w:rFonts w:hint="eastAsia"/>
          <w:color w:val="auto"/>
          <w:highlight w:val="none"/>
        </w:rPr>
        <w:t>投标人应按照招标文件第三章中提供的“投标文件格式”填写相关内容。</w:t>
      </w:r>
    </w:p>
    <w:p>
      <w:pPr>
        <w:pStyle w:val="63"/>
        <w:bidi w:val="0"/>
        <w:spacing w:line="520" w:lineRule="exact"/>
        <w:rPr>
          <w:rFonts w:hint="eastAsia"/>
          <w:color w:val="auto"/>
          <w:highlight w:val="none"/>
        </w:rPr>
      </w:pPr>
      <w:r>
        <w:rPr>
          <w:rFonts w:hint="eastAsia"/>
          <w:color w:val="auto"/>
          <w:highlight w:val="none"/>
        </w:rPr>
        <w:t>对于没有格式要求的由投标人自行编写。</w:t>
      </w:r>
    </w:p>
    <w:p>
      <w:pPr>
        <w:pStyle w:val="49"/>
        <w:spacing w:line="520" w:lineRule="exact"/>
        <w:ind w:firstLine="482"/>
        <w:rPr>
          <w:rFonts w:hint="eastAsia" w:ascii="宋体" w:hAnsi="宋体" w:eastAsia="宋体" w:cs="宋体"/>
          <w:color w:val="auto"/>
          <w:highlight w:val="none"/>
        </w:rPr>
      </w:pPr>
      <w:bookmarkStart w:id="420" w:name="_Toc183682360"/>
      <w:bookmarkStart w:id="421" w:name="_Toc21884"/>
      <w:bookmarkStart w:id="422" w:name="_Toc307501103"/>
      <w:bookmarkStart w:id="423" w:name="_Toc319439894"/>
      <w:bookmarkStart w:id="424" w:name="_Toc319440136"/>
      <w:bookmarkStart w:id="425" w:name="_Toc307564846"/>
      <w:bookmarkStart w:id="426" w:name="_Toc4102"/>
      <w:bookmarkStart w:id="427" w:name="_Toc217446050"/>
      <w:bookmarkStart w:id="428" w:name="_Toc308188146"/>
      <w:bookmarkStart w:id="429" w:name="_Toc14382"/>
      <w:bookmarkStart w:id="430" w:name="_Toc327196280"/>
      <w:bookmarkStart w:id="431" w:name="_Toc309897509"/>
      <w:bookmarkStart w:id="432" w:name="_Toc308084591"/>
      <w:bookmarkStart w:id="433" w:name="_Toc24908"/>
      <w:bookmarkStart w:id="434" w:name="_Toc16016"/>
      <w:bookmarkStart w:id="435" w:name="_Toc29891"/>
      <w:bookmarkStart w:id="436" w:name="_Toc14436"/>
      <w:bookmarkStart w:id="437" w:name="_Toc2456"/>
      <w:bookmarkStart w:id="438" w:name="_Toc27418"/>
      <w:bookmarkStart w:id="439" w:name="_Toc21967"/>
      <w:bookmarkStart w:id="440" w:name="_Toc183582223"/>
      <w:bookmarkStart w:id="441" w:name="_Toc31944"/>
      <w:bookmarkStart w:id="442" w:name="_Toc20642"/>
      <w:bookmarkStart w:id="443" w:name="_Toc30196"/>
      <w:r>
        <w:rPr>
          <w:rFonts w:hint="eastAsia"/>
          <w:color w:val="auto"/>
          <w:highlight w:val="none"/>
        </w:rPr>
        <w:t>投标保证金</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Start w:id="444" w:name="_Toc31284"/>
      <w:bookmarkStart w:id="445" w:name="_Toc183682361"/>
      <w:bookmarkStart w:id="446" w:name="_Toc327196281"/>
      <w:bookmarkStart w:id="447" w:name="_Toc9356"/>
      <w:bookmarkStart w:id="448" w:name="_Toc319439895"/>
      <w:bookmarkStart w:id="449" w:name="_Toc183582224"/>
      <w:bookmarkStart w:id="450" w:name="_Toc307564847"/>
      <w:bookmarkStart w:id="451" w:name="_Toc27589"/>
      <w:bookmarkStart w:id="452" w:name="_Toc17857"/>
      <w:bookmarkStart w:id="453" w:name="_Toc21338"/>
      <w:bookmarkStart w:id="454" w:name="_Toc308188147"/>
      <w:bookmarkStart w:id="455" w:name="_Toc319440137"/>
      <w:bookmarkStart w:id="456" w:name="_Toc217446051"/>
      <w:bookmarkStart w:id="457" w:name="_Toc307501104"/>
      <w:bookmarkStart w:id="458" w:name="_Toc26011"/>
      <w:bookmarkStart w:id="459" w:name="_Toc309897510"/>
      <w:bookmarkStart w:id="460" w:name="_Toc308084592"/>
      <w:bookmarkStart w:id="461" w:name="_Toc13956"/>
      <w:bookmarkStart w:id="462" w:name="_Toc29434"/>
      <w:r>
        <w:rPr>
          <w:rFonts w:hint="eastAsia" w:ascii="宋体" w:hAnsi="宋体" w:eastAsia="宋体" w:cs="宋体"/>
          <w:color w:val="auto"/>
          <w:highlight w:val="none"/>
        </w:rPr>
        <w:t>(实质性要求)</w:t>
      </w:r>
      <w:bookmarkEnd w:id="443"/>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投标人投标时，必须按照招标文件要求提交规定数额的投标保证金，并须按招标文件规定将提交投标保证金的银行回单复印件加盖投标人公章作为其投标保证金有效凭证，若以保函方式提交投标保证金的，提供加盖投标人公章的保函原件作为有效凭证。</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未按招标文件要求在规定时间前提交规定数额投标保证金的投标将被拒绝。</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投标人所提交的投标保证金不计利息。</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投标人在投标截止时间前撤回已提交的投标文件的，采购人或者采购代理机构应当自收到投标人书面撤回通知之日起5个工作日内，无息退还已收取的投标保证金，但因投标人自身原因导致无法及时退还的除外。</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采购人或者采购代理机构应当自中标通知书发出之日起5个工作日内无息退还未中标人的投标保证金，自采购合同签订之日起5个工作日内退还中标人的投标保证金。</w:t>
      </w:r>
    </w:p>
    <w:p>
      <w:pPr>
        <w:pStyle w:val="47"/>
        <w:spacing w:line="52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 1 \* GB3 \* MERGEFORMAT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①</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因投标人自身原因造成的保证金延迟退还或者投标人和采购代理机构协商可以延迟退还的，采购代理机构不承担相应责任；</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 2 \* GB3 \* MERGEFORMAT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②</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供应商因涉嫌违法违规，按照规定应当不予退还保证金的，有关部门处理认定违法违规行为期间不计入退还保证金时限之内。</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发生下列情形之一的，采购代理机构将不予退还投标人提交的投标保证金：</w:t>
      </w:r>
    </w:p>
    <w:p>
      <w:pPr>
        <w:pStyle w:val="64"/>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在招标文件规定的投标截止时间后撤回投标的；</w:t>
      </w:r>
    </w:p>
    <w:p>
      <w:pPr>
        <w:pStyle w:val="64"/>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在采购人确定中标人以前放弃中标候选资格的；</w:t>
      </w:r>
    </w:p>
    <w:p>
      <w:pPr>
        <w:pStyle w:val="64"/>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中标后放弃中标、不领取或者不接收中标通知书的；</w:t>
      </w:r>
    </w:p>
    <w:p>
      <w:pPr>
        <w:pStyle w:val="64"/>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由于中标人的原因未能按照招标文件的规定与采购人签订合同的；</w:t>
      </w:r>
    </w:p>
    <w:p>
      <w:pPr>
        <w:pStyle w:val="64"/>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投标人提供虚假资料的；</w:t>
      </w:r>
    </w:p>
    <w:p>
      <w:pPr>
        <w:pStyle w:val="64"/>
        <w:spacing w:line="520" w:lineRule="exact"/>
        <w:ind w:firstLine="480"/>
        <w:rPr>
          <w:rFonts w:hint="eastAsia"/>
          <w:color w:val="auto"/>
          <w:highlight w:val="none"/>
        </w:rPr>
      </w:pPr>
      <w:r>
        <w:rPr>
          <w:rFonts w:hint="eastAsia" w:ascii="宋体" w:hAnsi="宋体" w:eastAsia="宋体" w:cs="宋体"/>
          <w:color w:val="auto"/>
          <w:highlight w:val="none"/>
        </w:rPr>
        <w:t>投标有效期内，投标人在采购活动中有违法、违规、违纪行为。</w:t>
      </w:r>
    </w:p>
    <w:p>
      <w:pPr>
        <w:pStyle w:val="64"/>
        <w:spacing w:line="520" w:lineRule="exact"/>
        <w:ind w:firstLine="480"/>
        <w:rPr>
          <w:rFonts w:hint="eastAsia"/>
          <w:color w:val="auto"/>
          <w:highlight w:val="none"/>
        </w:rPr>
      </w:pPr>
      <w:r>
        <w:rPr>
          <w:rFonts w:hint="eastAsia" w:ascii="宋体" w:hAnsi="宋体" w:eastAsia="宋体" w:cs="宋体"/>
          <w:color w:val="auto"/>
          <w:highlight w:val="none"/>
        </w:rPr>
        <w:t>投标有效期内，投标人撤销投标文件的</w:t>
      </w:r>
      <w:r>
        <w:rPr>
          <w:rFonts w:hint="eastAsia"/>
          <w:color w:val="auto"/>
          <w:highlight w:val="none"/>
        </w:rPr>
        <w:t>。</w:t>
      </w:r>
    </w:p>
    <w:p>
      <w:pPr>
        <w:pStyle w:val="49"/>
        <w:bidi w:val="0"/>
        <w:spacing w:line="520" w:lineRule="exact"/>
        <w:rPr>
          <w:rFonts w:hint="eastAsia"/>
          <w:color w:val="auto"/>
          <w:highlight w:val="none"/>
        </w:rPr>
      </w:pPr>
      <w:bookmarkStart w:id="463" w:name="_Toc20243"/>
      <w:bookmarkStart w:id="464" w:name="_Toc4016"/>
      <w:bookmarkStart w:id="465" w:name="_Toc19115"/>
      <w:bookmarkStart w:id="466" w:name="_Toc30115"/>
      <w:bookmarkStart w:id="467" w:name="_Toc6790"/>
      <w:r>
        <w:rPr>
          <w:rFonts w:hint="eastAsia"/>
          <w:color w:val="auto"/>
          <w:highlight w:val="none"/>
        </w:rPr>
        <w:t>投标有效期</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Pr>
          <w:rFonts w:hint="eastAsia"/>
          <w:color w:val="auto"/>
          <w:highlight w:val="none"/>
          <w:lang w:eastAsia="zh-CN"/>
        </w:rPr>
        <w:t>(</w:t>
      </w:r>
      <w:r>
        <w:rPr>
          <w:rFonts w:hint="eastAsia"/>
          <w:color w:val="auto"/>
          <w:highlight w:val="none"/>
        </w:rPr>
        <w:t>实质性要求</w:t>
      </w:r>
      <w:bookmarkEnd w:id="463"/>
      <w:r>
        <w:rPr>
          <w:rFonts w:hint="eastAsia"/>
          <w:color w:val="auto"/>
          <w:highlight w:val="none"/>
          <w:lang w:eastAsia="zh-CN"/>
        </w:rPr>
        <w:t>)</w:t>
      </w:r>
      <w:bookmarkEnd w:id="464"/>
      <w:bookmarkEnd w:id="465"/>
      <w:bookmarkEnd w:id="466"/>
      <w:bookmarkEnd w:id="467"/>
    </w:p>
    <w:p>
      <w:pPr>
        <w:pStyle w:val="63"/>
        <w:bidi w:val="0"/>
        <w:spacing w:line="520" w:lineRule="exact"/>
        <w:rPr>
          <w:rFonts w:hint="eastAsia"/>
          <w:color w:val="auto"/>
          <w:highlight w:val="none"/>
        </w:rPr>
      </w:pPr>
      <w:r>
        <w:rPr>
          <w:rFonts w:hint="eastAsia"/>
          <w:color w:val="auto"/>
          <w:highlight w:val="none"/>
        </w:rPr>
        <w:t>投标有效期为提交投标文件的截止之日起</w:t>
      </w:r>
      <w:r>
        <w:rPr>
          <w:rFonts w:hint="eastAsia"/>
          <w:color w:val="auto"/>
          <w:highlight w:val="none"/>
          <w:lang w:eastAsia="zh-CN"/>
        </w:rPr>
        <w:t>90日</w:t>
      </w:r>
      <w:r>
        <w:rPr>
          <w:rFonts w:hint="eastAsia"/>
          <w:color w:val="auto"/>
          <w:highlight w:val="none"/>
        </w:rPr>
        <w:t>。投标人投标文件中必须载明投标有效期，投标文件中载明的投标有效期可以长于招标文件规定的期限，但不得短于招标文件规定的期限。否则，其投标文件将作为无效投标处理。</w:t>
      </w:r>
    </w:p>
    <w:p>
      <w:pPr>
        <w:pStyle w:val="63"/>
        <w:bidi w:val="0"/>
        <w:spacing w:line="520" w:lineRule="exact"/>
        <w:rPr>
          <w:rFonts w:hint="eastAsia"/>
          <w:color w:val="auto"/>
          <w:highlight w:val="none"/>
        </w:rPr>
      </w:pPr>
      <w:r>
        <w:rPr>
          <w:rFonts w:hint="eastAsia"/>
          <w:color w:val="auto"/>
          <w:highlight w:val="none"/>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pPr>
        <w:pStyle w:val="63"/>
        <w:bidi w:val="0"/>
        <w:spacing w:line="520" w:lineRule="exact"/>
        <w:rPr>
          <w:rFonts w:hint="eastAsia"/>
          <w:color w:val="auto"/>
          <w:highlight w:val="none"/>
        </w:rPr>
      </w:pPr>
      <w:r>
        <w:rPr>
          <w:rFonts w:hint="eastAsia"/>
          <w:color w:val="auto"/>
          <w:highlight w:val="none"/>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49"/>
        <w:bidi w:val="0"/>
        <w:spacing w:line="520" w:lineRule="exact"/>
        <w:rPr>
          <w:rFonts w:hint="eastAsia"/>
          <w:color w:val="auto"/>
          <w:highlight w:val="none"/>
        </w:rPr>
      </w:pPr>
      <w:bookmarkStart w:id="468" w:name="_Toc183582225"/>
      <w:bookmarkStart w:id="469" w:name="_Toc27461"/>
      <w:bookmarkStart w:id="470" w:name="_Toc319440138"/>
      <w:bookmarkStart w:id="471" w:name="_Toc22593"/>
      <w:bookmarkStart w:id="472" w:name="_Toc6239"/>
      <w:bookmarkStart w:id="473" w:name="_Toc307501105"/>
      <w:bookmarkStart w:id="474" w:name="_Toc327196282"/>
      <w:bookmarkStart w:id="475" w:name="_Toc308188148"/>
      <w:bookmarkStart w:id="476" w:name="_Toc217446052"/>
      <w:bookmarkStart w:id="477" w:name="_Toc27612"/>
      <w:bookmarkStart w:id="478" w:name="_Toc7213"/>
      <w:bookmarkStart w:id="479" w:name="_Toc183682362"/>
      <w:bookmarkStart w:id="480" w:name="_Toc309897511"/>
      <w:bookmarkStart w:id="481" w:name="_Toc26817"/>
      <w:bookmarkStart w:id="482" w:name="_Toc25471"/>
      <w:bookmarkStart w:id="483" w:name="_Toc23216"/>
      <w:bookmarkStart w:id="484" w:name="_Toc3077"/>
      <w:bookmarkStart w:id="485" w:name="_Toc12545"/>
      <w:bookmarkStart w:id="486" w:name="_Toc24656"/>
      <w:bookmarkStart w:id="487" w:name="_Toc307564848"/>
      <w:bookmarkStart w:id="488" w:name="_Toc3717"/>
      <w:bookmarkStart w:id="489" w:name="_Toc308084593"/>
      <w:bookmarkStart w:id="490" w:name="_Toc15977"/>
      <w:bookmarkStart w:id="491" w:name="_Toc319439896"/>
      <w:r>
        <w:rPr>
          <w:rFonts w:hint="eastAsia"/>
          <w:color w:val="auto"/>
          <w:highlight w:val="none"/>
        </w:rPr>
        <w:t>投标文件的印制和签署</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pPr>
        <w:pStyle w:val="63"/>
        <w:bidi w:val="0"/>
        <w:spacing w:line="520" w:lineRule="exact"/>
        <w:rPr>
          <w:color w:val="auto"/>
          <w:highlight w:val="none"/>
        </w:rPr>
      </w:pPr>
      <w:bookmarkStart w:id="492" w:name="_Toc183682363"/>
      <w:bookmarkStart w:id="493" w:name="_Toc183582226"/>
      <w:bookmarkStart w:id="494" w:name="_Toc77400781"/>
      <w:bookmarkStart w:id="495" w:name="_Toc89075877"/>
      <w:bookmarkStart w:id="496" w:name="_Toc19635"/>
      <w:bookmarkStart w:id="497" w:name="_Toc308084594"/>
      <w:bookmarkStart w:id="498" w:name="_Toc6805"/>
      <w:bookmarkStart w:id="499" w:name="_Toc23619"/>
      <w:bookmarkStart w:id="500" w:name="_Toc5019"/>
      <w:bookmarkStart w:id="501" w:name="_Toc23675"/>
      <w:bookmarkStart w:id="502" w:name="_Toc17010"/>
      <w:bookmarkStart w:id="503" w:name="_Toc319439897"/>
      <w:bookmarkStart w:id="504" w:name="_Toc307501106"/>
      <w:bookmarkStart w:id="505" w:name="_Toc309897512"/>
      <w:bookmarkStart w:id="506" w:name="_Toc308188149"/>
      <w:bookmarkStart w:id="507" w:name="_Toc13153"/>
      <w:bookmarkStart w:id="508" w:name="_Toc10555"/>
      <w:bookmarkStart w:id="509" w:name="_Toc27443"/>
      <w:bookmarkStart w:id="510" w:name="_Toc327196283"/>
      <w:bookmarkStart w:id="511" w:name="_Toc19839"/>
      <w:bookmarkStart w:id="512" w:name="_Toc307564849"/>
      <w:bookmarkStart w:id="513" w:name="_Toc217446053"/>
      <w:bookmarkStart w:id="514" w:name="_Toc16752"/>
      <w:bookmarkStart w:id="515" w:name="_Toc319440139"/>
      <w:r>
        <w:rPr>
          <w:rFonts w:hint="eastAsia"/>
          <w:color w:val="auto"/>
          <w:highlight w:val="none"/>
        </w:rPr>
        <w:t>投标文件分</w:t>
      </w:r>
      <w:r>
        <w:rPr>
          <w:rFonts w:hint="eastAsia"/>
          <w:color w:val="auto"/>
          <w:highlight w:val="none"/>
          <w:lang w:eastAsia="zh-CN"/>
        </w:rPr>
        <w:t>《</w:t>
      </w:r>
      <w:r>
        <w:rPr>
          <w:rFonts w:hint="eastAsia"/>
          <w:color w:val="auto"/>
          <w:highlight w:val="none"/>
        </w:rPr>
        <w:t>资格、资质性及其他类似效力投标文件</w:t>
      </w:r>
      <w:r>
        <w:rPr>
          <w:rFonts w:hint="eastAsia"/>
          <w:color w:val="auto"/>
          <w:highlight w:val="none"/>
          <w:lang w:eastAsia="zh-CN"/>
        </w:rPr>
        <w:t>》</w:t>
      </w:r>
      <w:r>
        <w:rPr>
          <w:rFonts w:hint="eastAsia"/>
          <w:color w:val="auto"/>
          <w:highlight w:val="none"/>
        </w:rPr>
        <w:t>、</w:t>
      </w:r>
      <w:r>
        <w:rPr>
          <w:rFonts w:hint="eastAsia"/>
          <w:color w:val="auto"/>
          <w:highlight w:val="none"/>
          <w:lang w:eastAsia="zh-CN"/>
        </w:rPr>
        <w:t>《</w:t>
      </w:r>
      <w:r>
        <w:rPr>
          <w:rFonts w:hint="eastAsia"/>
          <w:color w:val="auto"/>
          <w:highlight w:val="none"/>
        </w:rPr>
        <w:t>其他投标文件</w:t>
      </w:r>
      <w:r>
        <w:rPr>
          <w:rFonts w:hint="eastAsia"/>
          <w:color w:val="auto"/>
          <w:highlight w:val="none"/>
          <w:lang w:eastAsia="zh-CN"/>
        </w:rPr>
        <w:t>》</w:t>
      </w:r>
      <w:r>
        <w:rPr>
          <w:rFonts w:hint="eastAsia"/>
          <w:color w:val="auto"/>
          <w:highlight w:val="none"/>
        </w:rPr>
        <w:t>两部分，分册装订</w:t>
      </w:r>
      <w:r>
        <w:rPr>
          <w:rFonts w:hint="eastAsia"/>
          <w:color w:val="auto"/>
          <w:highlight w:val="none"/>
          <w:lang w:eastAsia="zh-CN"/>
        </w:rPr>
        <w:t>，</w:t>
      </w:r>
      <w:r>
        <w:rPr>
          <w:rFonts w:hint="eastAsia"/>
          <w:color w:val="auto"/>
          <w:highlight w:val="none"/>
          <w:lang w:val="en-US" w:eastAsia="zh-CN"/>
        </w:rPr>
        <w:t>内容不得相互混装</w:t>
      </w:r>
      <w:r>
        <w:rPr>
          <w:rFonts w:hint="eastAsia"/>
          <w:color w:val="auto"/>
          <w:highlight w:val="none"/>
        </w:rPr>
        <w:t>。</w:t>
      </w:r>
    </w:p>
    <w:p>
      <w:pPr>
        <w:pStyle w:val="63"/>
        <w:bidi w:val="0"/>
        <w:spacing w:line="520" w:lineRule="exact"/>
        <w:rPr>
          <w:color w:val="auto"/>
          <w:highlight w:val="none"/>
        </w:rPr>
      </w:pPr>
      <w:r>
        <w:rPr>
          <w:rFonts w:hint="eastAsia"/>
          <w:color w:val="auto"/>
          <w:highlight w:val="none"/>
        </w:rPr>
        <w:t>投标文件按招标文件要求的格式进行密封。资格、资质性及其他类似效力投标文件用于采购人或采购代理机构对投标人进行资格审查，其他投标文件用于评标委员会评审。</w:t>
      </w:r>
    </w:p>
    <w:p>
      <w:pPr>
        <w:pStyle w:val="63"/>
        <w:bidi w:val="0"/>
        <w:spacing w:line="520" w:lineRule="exact"/>
        <w:rPr>
          <w:rFonts w:hint="eastAsia"/>
          <w:color w:val="auto"/>
          <w:highlight w:val="none"/>
        </w:rPr>
      </w:pPr>
      <w:r>
        <w:rPr>
          <w:rFonts w:hint="eastAsia"/>
          <w:color w:val="auto"/>
          <w:highlight w:val="none"/>
        </w:rPr>
        <w:t>投标人递交的投标文件为</w:t>
      </w:r>
      <w:r>
        <w:rPr>
          <w:rFonts w:hint="eastAsia"/>
          <w:b/>
          <w:bCs/>
          <w:color w:val="auto"/>
          <w:highlight w:val="none"/>
        </w:rPr>
        <w:t>一式叁份</w:t>
      </w:r>
      <w:r>
        <w:rPr>
          <w:rFonts w:hint="eastAsia"/>
          <w:color w:val="auto"/>
          <w:highlight w:val="none"/>
        </w:rPr>
        <w:t>，其中</w:t>
      </w:r>
      <w:r>
        <w:rPr>
          <w:rFonts w:hint="eastAsia"/>
          <w:b/>
          <w:bCs/>
          <w:color w:val="auto"/>
          <w:highlight w:val="none"/>
        </w:rPr>
        <w:t>正本壹份</w:t>
      </w:r>
      <w:r>
        <w:rPr>
          <w:rFonts w:hint="eastAsia"/>
          <w:b/>
          <w:bCs/>
          <w:color w:val="auto"/>
          <w:highlight w:val="none"/>
          <w:lang w:eastAsia="zh-CN"/>
        </w:rPr>
        <w:t>、</w:t>
      </w:r>
      <w:r>
        <w:rPr>
          <w:rFonts w:hint="eastAsia"/>
          <w:b/>
          <w:bCs/>
          <w:color w:val="auto"/>
          <w:highlight w:val="none"/>
        </w:rPr>
        <w:t>副本贰份</w:t>
      </w:r>
      <w:r>
        <w:rPr>
          <w:rFonts w:hint="eastAsia"/>
          <w:color w:val="auto"/>
          <w:highlight w:val="none"/>
          <w:lang w:eastAsia="zh-CN"/>
        </w:rPr>
        <w:t>，</w:t>
      </w:r>
      <w:r>
        <w:rPr>
          <w:rFonts w:hint="eastAsia"/>
          <w:color w:val="auto"/>
          <w:highlight w:val="none"/>
        </w:rPr>
        <w:t>单独提交用于开标唱标的</w:t>
      </w:r>
      <w:r>
        <w:rPr>
          <w:rFonts w:hint="eastAsia"/>
          <w:b/>
          <w:bCs/>
          <w:color w:val="auto"/>
          <w:highlight w:val="none"/>
        </w:rPr>
        <w:t>“开标一览表”</w:t>
      </w:r>
      <w:r>
        <w:rPr>
          <w:rFonts w:hint="eastAsia"/>
          <w:b/>
          <w:bCs/>
          <w:color w:val="auto"/>
          <w:highlight w:val="none"/>
          <w:lang w:val="en-US" w:eastAsia="zh-CN"/>
        </w:rPr>
        <w:t>壹</w:t>
      </w:r>
      <w:r>
        <w:rPr>
          <w:rFonts w:hint="eastAsia"/>
          <w:b/>
          <w:bCs/>
          <w:color w:val="auto"/>
          <w:highlight w:val="none"/>
        </w:rPr>
        <w:t>份原件</w:t>
      </w:r>
      <w:r>
        <w:rPr>
          <w:rFonts w:hint="eastAsia"/>
          <w:color w:val="auto"/>
          <w:highlight w:val="none"/>
        </w:rPr>
        <w:t>。</w:t>
      </w:r>
    </w:p>
    <w:p>
      <w:pPr>
        <w:pStyle w:val="63"/>
        <w:bidi w:val="0"/>
        <w:spacing w:line="520" w:lineRule="exact"/>
        <w:rPr>
          <w:color w:val="auto"/>
          <w:highlight w:val="none"/>
        </w:rPr>
      </w:pPr>
      <w:r>
        <w:rPr>
          <w:rFonts w:hint="eastAsia"/>
          <w:color w:val="auto"/>
          <w:highlight w:val="none"/>
        </w:rPr>
        <w:t>投标文件正本应用不褪色、不变质的墨水书写或打印，并装订成册，由投标人的法定代表人或其授权代表在规定签章处签字或盖章。投标文件副本可采用正本的复印件，若正本和副本有不一致的内容，以正本书面投标文件为准。</w:t>
      </w:r>
    </w:p>
    <w:p>
      <w:pPr>
        <w:pStyle w:val="63"/>
        <w:bidi w:val="0"/>
        <w:spacing w:line="520" w:lineRule="exact"/>
        <w:rPr>
          <w:color w:val="auto"/>
          <w:highlight w:val="none"/>
        </w:rPr>
      </w:pPr>
      <w:r>
        <w:rPr>
          <w:rFonts w:hint="eastAsia"/>
          <w:color w:val="auto"/>
          <w:highlight w:val="none"/>
        </w:rPr>
        <w:t>“开标一览表”除单独密封提交外，还</w:t>
      </w:r>
      <w:r>
        <w:rPr>
          <w:rFonts w:hint="eastAsia"/>
          <w:color w:val="auto"/>
          <w:highlight w:val="none"/>
          <w:lang w:val="en-US" w:eastAsia="zh-CN"/>
        </w:rPr>
        <w:t>须</w:t>
      </w:r>
      <w:r>
        <w:rPr>
          <w:rFonts w:hint="eastAsia"/>
          <w:color w:val="auto"/>
          <w:highlight w:val="none"/>
        </w:rPr>
        <w:t>编制于其他投标文件正副本内。</w:t>
      </w:r>
    </w:p>
    <w:p>
      <w:pPr>
        <w:pStyle w:val="63"/>
        <w:bidi w:val="0"/>
        <w:spacing w:line="520" w:lineRule="exact"/>
        <w:rPr>
          <w:color w:val="auto"/>
          <w:highlight w:val="none"/>
        </w:rPr>
      </w:pPr>
      <w:r>
        <w:rPr>
          <w:rFonts w:hint="eastAsia"/>
          <w:color w:val="auto"/>
          <w:highlight w:val="none"/>
        </w:rPr>
        <w:t>投标文件正本和副本统一用A4幅面纸印制(图、表</w:t>
      </w:r>
      <w:r>
        <w:rPr>
          <w:rFonts w:hint="eastAsia"/>
          <w:color w:val="auto"/>
          <w:highlight w:val="none"/>
          <w:lang w:eastAsia="zh-CN"/>
        </w:rPr>
        <w:t>、</w:t>
      </w:r>
      <w:r>
        <w:rPr>
          <w:rFonts w:hint="eastAsia"/>
          <w:color w:val="auto"/>
          <w:highlight w:val="none"/>
        </w:rPr>
        <w:t>证件</w:t>
      </w:r>
      <w:r>
        <w:rPr>
          <w:rFonts w:hint="eastAsia"/>
          <w:color w:val="auto"/>
          <w:highlight w:val="none"/>
          <w:lang w:eastAsia="zh-CN"/>
        </w:rPr>
        <w:t>、</w:t>
      </w:r>
      <w:r>
        <w:rPr>
          <w:rFonts w:hint="eastAsia"/>
          <w:color w:val="auto"/>
          <w:highlight w:val="none"/>
          <w:lang w:val="en-US" w:eastAsia="zh-CN"/>
        </w:rPr>
        <w:t>宣传资料、技术证明材料</w:t>
      </w:r>
      <w:r>
        <w:rPr>
          <w:rFonts w:hint="eastAsia"/>
          <w:color w:val="auto"/>
          <w:highlight w:val="none"/>
        </w:rPr>
        <w:t>可以除外)，逐页编码，可双面打印。</w:t>
      </w:r>
    </w:p>
    <w:p>
      <w:pPr>
        <w:pStyle w:val="63"/>
        <w:bidi w:val="0"/>
        <w:spacing w:line="520" w:lineRule="exact"/>
        <w:rPr>
          <w:color w:val="auto"/>
          <w:highlight w:val="none"/>
        </w:rPr>
      </w:pPr>
      <w:r>
        <w:rPr>
          <w:rFonts w:hint="eastAsia"/>
          <w:color w:val="auto"/>
          <w:highlight w:val="none"/>
        </w:rPr>
        <w:t>投标文件的正本和副本应采用左侧胶装，不得散装或者活页装订</w:t>
      </w:r>
      <w:r>
        <w:rPr>
          <w:rFonts w:hint="eastAsia"/>
          <w:color w:val="auto"/>
          <w:highlight w:val="none"/>
          <w:lang w:eastAsia="zh-CN"/>
        </w:rPr>
        <w:t>。</w:t>
      </w:r>
    </w:p>
    <w:p>
      <w:pPr>
        <w:pStyle w:val="63"/>
        <w:bidi w:val="0"/>
        <w:spacing w:line="520" w:lineRule="exact"/>
        <w:rPr>
          <w:color w:val="auto"/>
          <w:highlight w:val="none"/>
        </w:rPr>
      </w:pPr>
      <w:r>
        <w:rPr>
          <w:rFonts w:hint="eastAsia"/>
          <w:color w:val="auto"/>
          <w:highlight w:val="none"/>
        </w:rPr>
        <w:t>若投标文件内容较多，可分册装订，并在封面标明次序及册数。</w:t>
      </w:r>
    </w:p>
    <w:p>
      <w:pPr>
        <w:pStyle w:val="63"/>
        <w:bidi w:val="0"/>
        <w:spacing w:line="520" w:lineRule="exact"/>
        <w:rPr>
          <w:color w:val="auto"/>
          <w:highlight w:val="none"/>
        </w:rPr>
      </w:pPr>
      <w:r>
        <w:rPr>
          <w:rFonts w:hint="eastAsia"/>
          <w:color w:val="auto"/>
          <w:highlight w:val="none"/>
        </w:rPr>
        <w:t>投标文件中的证明、证件及附件等复印件应集中紧附在相应正文内容后面，并尽量与前面正文部分的顺序相对应。</w:t>
      </w:r>
    </w:p>
    <w:p>
      <w:pPr>
        <w:pStyle w:val="63"/>
        <w:bidi w:val="0"/>
        <w:spacing w:line="520" w:lineRule="exact"/>
        <w:rPr>
          <w:color w:val="auto"/>
          <w:highlight w:val="none"/>
        </w:rPr>
      </w:pPr>
      <w:r>
        <w:rPr>
          <w:rFonts w:hint="eastAsia"/>
          <w:color w:val="auto"/>
          <w:highlight w:val="none"/>
        </w:rPr>
        <w:t>投标文件的打印和书写应清楚工整，任何签字、行间插字、涂改或增删，必须由投标人的法定代表人或其授权代表签字或盖个人印鉴(签字可用具有法定效力的个人印章代替)不得使用专用章(如经济合同章、投标专用章等)或下属单位印章代替</w:t>
      </w:r>
      <w:r>
        <w:rPr>
          <w:rFonts w:hint="eastAsia"/>
          <w:b/>
          <w:bCs/>
          <w:color w:val="auto"/>
          <w:highlight w:val="none"/>
        </w:rPr>
        <w:t>(实质性要求)</w:t>
      </w:r>
      <w:r>
        <w:rPr>
          <w:rFonts w:hint="eastAsia"/>
          <w:color w:val="auto"/>
          <w:highlight w:val="none"/>
        </w:rPr>
        <w:t>。</w:t>
      </w:r>
    </w:p>
    <w:p>
      <w:pPr>
        <w:pStyle w:val="63"/>
        <w:bidi w:val="0"/>
        <w:spacing w:line="520" w:lineRule="exact"/>
        <w:rPr>
          <w:color w:val="auto"/>
          <w:highlight w:val="none"/>
        </w:rPr>
      </w:pPr>
      <w:r>
        <w:rPr>
          <w:rFonts w:hint="eastAsia"/>
          <w:color w:val="auto"/>
          <w:highlight w:val="none"/>
        </w:rPr>
        <w:t>投标文件应根据上述要求制作，签署、盖章，内容应完整。</w:t>
      </w:r>
    </w:p>
    <w:p>
      <w:pPr>
        <w:pStyle w:val="63"/>
        <w:bidi w:val="0"/>
        <w:spacing w:line="520" w:lineRule="exact"/>
        <w:rPr>
          <w:color w:val="auto"/>
          <w:highlight w:val="none"/>
        </w:rPr>
      </w:pPr>
      <w:r>
        <w:rPr>
          <w:rFonts w:hint="eastAsia"/>
          <w:color w:val="auto"/>
          <w:highlight w:val="none"/>
        </w:rPr>
        <w:t>本招标文件要求的复印件是指对图文进行复制后的文件，包括扫描、复印、影印等方式复制的材料。</w:t>
      </w:r>
    </w:p>
    <w:p>
      <w:pPr>
        <w:pStyle w:val="63"/>
        <w:bidi w:val="0"/>
        <w:spacing w:line="520" w:lineRule="exact"/>
        <w:rPr>
          <w:color w:val="auto"/>
          <w:highlight w:val="none"/>
        </w:rPr>
      </w:pPr>
      <w:r>
        <w:rPr>
          <w:rFonts w:hint="eastAsia"/>
          <w:color w:val="auto"/>
          <w:highlight w:val="none"/>
          <w:lang w:val="en-US" w:eastAsia="zh-CN"/>
        </w:rPr>
        <w:t>为加强采购项目档案的数字化管理，便于采购人后期项目监督、审计及检查，倡导各投标人在递交本项目投标文件时一并递交项目的</w:t>
      </w:r>
      <w:r>
        <w:rPr>
          <w:rFonts w:hint="eastAsia"/>
          <w:b/>
          <w:bCs/>
          <w:color w:val="auto"/>
          <w:highlight w:val="none"/>
          <w:lang w:val="en-US" w:eastAsia="zh-CN"/>
        </w:rPr>
        <w:t>电子文档一份</w:t>
      </w:r>
      <w:r>
        <w:rPr>
          <w:rFonts w:hint="eastAsia"/>
          <w:color w:val="auto"/>
          <w:highlight w:val="none"/>
          <w:lang w:val="en-US" w:eastAsia="zh-CN"/>
        </w:rPr>
        <w:t>。电子文档为PDF格式版本，保存介质采用USB闪存盘(U盘)。制作要求为按招标文件要求制作完成并加盖投标人公章及签名的投标文件的扫描件。电子文档单独密封递交，外层标注投标人名称、电子文档、加盖投标人公章。如电子文档与书面的投标文件有不一致的内容，以书面投标文件正本为准。</w:t>
      </w:r>
    </w:p>
    <w:p>
      <w:pPr>
        <w:pStyle w:val="49"/>
        <w:bidi w:val="0"/>
        <w:spacing w:line="520" w:lineRule="exact"/>
        <w:rPr>
          <w:rFonts w:hint="eastAsia"/>
          <w:color w:val="auto"/>
          <w:highlight w:val="none"/>
        </w:rPr>
      </w:pPr>
      <w:bookmarkStart w:id="516" w:name="_Toc25979"/>
      <w:bookmarkStart w:id="517" w:name="_Toc7621"/>
      <w:r>
        <w:rPr>
          <w:rFonts w:hint="eastAsia"/>
          <w:color w:val="auto"/>
          <w:highlight w:val="none"/>
        </w:rPr>
        <w:t>投标文件的密封和标</w:t>
      </w:r>
      <w:bookmarkEnd w:id="492"/>
      <w:bookmarkEnd w:id="493"/>
      <w:bookmarkEnd w:id="494"/>
      <w:bookmarkEnd w:id="495"/>
      <w:r>
        <w:rPr>
          <w:rFonts w:hint="eastAsia"/>
          <w:color w:val="auto"/>
          <w:highlight w:val="none"/>
        </w:rPr>
        <w:t>注</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pPr>
        <w:pStyle w:val="63"/>
        <w:bidi w:val="0"/>
        <w:spacing w:line="520" w:lineRule="exact"/>
        <w:rPr>
          <w:rFonts w:hint="eastAsia"/>
          <w:color w:val="auto"/>
          <w:highlight w:val="none"/>
        </w:rPr>
      </w:pPr>
      <w:bookmarkStart w:id="518" w:name="_Toc183682364"/>
      <w:bookmarkStart w:id="519" w:name="_Toc183582227"/>
      <w:bookmarkStart w:id="520" w:name="_Toc327196284"/>
      <w:bookmarkStart w:id="521" w:name="_Toc7231"/>
      <w:bookmarkStart w:id="522" w:name="_Toc25113"/>
      <w:bookmarkStart w:id="523" w:name="_Toc309897513"/>
      <w:bookmarkStart w:id="524" w:name="_Toc54"/>
      <w:bookmarkStart w:id="525" w:name="_Toc20273"/>
      <w:bookmarkStart w:id="526" w:name="_Toc319440140"/>
      <w:bookmarkStart w:id="527" w:name="_Toc307501107"/>
      <w:bookmarkStart w:id="528" w:name="_Toc5768"/>
      <w:bookmarkStart w:id="529" w:name="_Toc319439898"/>
      <w:bookmarkStart w:id="530" w:name="_Toc308084595"/>
      <w:bookmarkStart w:id="531" w:name="_Toc308188150"/>
      <w:bookmarkStart w:id="532" w:name="_Toc217446054"/>
      <w:bookmarkStart w:id="533" w:name="_Toc2092"/>
      <w:bookmarkStart w:id="534" w:name="_Toc307564850"/>
      <w:r>
        <w:rPr>
          <w:rFonts w:hint="eastAsia"/>
          <w:color w:val="auto"/>
          <w:highlight w:val="none"/>
        </w:rPr>
        <w:t>投标人应在投标文件正本和所有副本的封面上注明投标人名称、项目编号、项目名称</w:t>
      </w:r>
      <w:r>
        <w:rPr>
          <w:rFonts w:hint="eastAsia"/>
          <w:color w:val="auto"/>
          <w:highlight w:val="none"/>
          <w:lang w:eastAsia="zh-CN"/>
        </w:rPr>
        <w:t>、</w:t>
      </w:r>
      <w:r>
        <w:rPr>
          <w:rFonts w:hint="eastAsia"/>
          <w:color w:val="auto"/>
          <w:highlight w:val="none"/>
        </w:rPr>
        <w:t>投标日期。</w:t>
      </w:r>
    </w:p>
    <w:p>
      <w:pPr>
        <w:pStyle w:val="63"/>
        <w:bidi w:val="0"/>
        <w:spacing w:line="520" w:lineRule="exact"/>
        <w:rPr>
          <w:rFonts w:hint="eastAsia"/>
          <w:color w:val="auto"/>
          <w:highlight w:val="none"/>
        </w:rPr>
      </w:pPr>
      <w:r>
        <w:rPr>
          <w:rFonts w:hint="eastAsia"/>
          <w:color w:val="auto"/>
          <w:highlight w:val="none"/>
          <w:lang w:eastAsia="zh-CN"/>
        </w:rPr>
        <w:t>资格、资质性及其他类似效力投标文件</w:t>
      </w:r>
      <w:r>
        <w:rPr>
          <w:rFonts w:hint="eastAsia"/>
          <w:color w:val="auto"/>
          <w:highlight w:val="none"/>
        </w:rPr>
        <w:t>、</w:t>
      </w:r>
      <w:r>
        <w:rPr>
          <w:rFonts w:hint="eastAsia"/>
          <w:color w:val="auto"/>
          <w:highlight w:val="none"/>
          <w:lang w:eastAsia="zh-CN"/>
        </w:rPr>
        <w:t>其他投标文件、</w:t>
      </w:r>
      <w:r>
        <w:rPr>
          <w:rFonts w:hint="eastAsia"/>
          <w:color w:val="auto"/>
          <w:highlight w:val="none"/>
        </w:rPr>
        <w:t>用于开标唱标单独提交的开标一览表，应分别封装于不同的密封袋内，密封袋的封口处应粘贴牢固</w:t>
      </w:r>
      <w:r>
        <w:rPr>
          <w:rFonts w:hint="eastAsia"/>
          <w:color w:val="auto"/>
          <w:highlight w:val="none"/>
          <w:lang w:eastAsia="zh-CN"/>
        </w:rPr>
        <w:t>，</w:t>
      </w:r>
      <w:r>
        <w:rPr>
          <w:rFonts w:hint="eastAsia"/>
          <w:color w:val="auto"/>
          <w:highlight w:val="none"/>
        </w:rPr>
        <w:t>密封袋上应分别标上“</w:t>
      </w:r>
      <w:r>
        <w:rPr>
          <w:rFonts w:hint="eastAsia"/>
          <w:color w:val="auto"/>
          <w:highlight w:val="none"/>
          <w:lang w:eastAsia="zh-CN"/>
        </w:rPr>
        <w:t>资格、资质性及其他类似效力投标文件</w:t>
      </w:r>
      <w:r>
        <w:rPr>
          <w:rFonts w:hint="eastAsia"/>
          <w:color w:val="auto"/>
          <w:highlight w:val="none"/>
        </w:rPr>
        <w:t>”、“</w:t>
      </w:r>
      <w:r>
        <w:rPr>
          <w:rFonts w:hint="eastAsia"/>
          <w:color w:val="auto"/>
          <w:highlight w:val="none"/>
          <w:lang w:eastAsia="zh-CN"/>
        </w:rPr>
        <w:t>其他投标文件</w:t>
      </w:r>
      <w:r>
        <w:rPr>
          <w:rFonts w:hint="eastAsia"/>
          <w:color w:val="auto"/>
          <w:highlight w:val="none"/>
        </w:rPr>
        <w:t>”、“开标一览表”字样，并注明投标人名称、项目名称</w:t>
      </w:r>
      <w:r>
        <w:rPr>
          <w:rFonts w:hint="eastAsia"/>
          <w:color w:val="auto"/>
          <w:highlight w:val="none"/>
          <w:lang w:eastAsia="zh-CN"/>
        </w:rPr>
        <w:t>、</w:t>
      </w:r>
      <w:r>
        <w:rPr>
          <w:rFonts w:hint="eastAsia"/>
          <w:color w:val="auto"/>
          <w:highlight w:val="none"/>
        </w:rPr>
        <w:t>项目编号、投标日期</w:t>
      </w:r>
      <w:r>
        <w:rPr>
          <w:rFonts w:hint="eastAsia"/>
          <w:color w:val="auto"/>
          <w:highlight w:val="none"/>
          <w:lang w:eastAsia="zh-CN"/>
        </w:rPr>
        <w:t>，</w:t>
      </w:r>
      <w:r>
        <w:rPr>
          <w:rFonts w:hint="eastAsia"/>
          <w:color w:val="auto"/>
          <w:highlight w:val="none"/>
        </w:rPr>
        <w:t>并</w:t>
      </w:r>
      <w:r>
        <w:rPr>
          <w:rFonts w:hint="eastAsia"/>
          <w:color w:val="auto"/>
          <w:highlight w:val="none"/>
          <w:lang w:eastAsia="zh-CN"/>
        </w:rPr>
        <w:t>在封口处</w:t>
      </w:r>
      <w:r>
        <w:rPr>
          <w:rFonts w:hint="eastAsia"/>
          <w:color w:val="auto"/>
          <w:highlight w:val="none"/>
        </w:rPr>
        <w:t>加盖投标人公章。</w:t>
      </w:r>
    </w:p>
    <w:p>
      <w:pPr>
        <w:pStyle w:val="63"/>
        <w:bidi w:val="0"/>
        <w:spacing w:line="520" w:lineRule="exact"/>
        <w:rPr>
          <w:rFonts w:hint="eastAsia"/>
          <w:color w:val="auto"/>
          <w:highlight w:val="none"/>
        </w:rPr>
      </w:pPr>
      <w:r>
        <w:rPr>
          <w:rFonts w:hint="eastAsia"/>
          <w:color w:val="auto"/>
          <w:highlight w:val="none"/>
        </w:rPr>
        <w:t>未按照招标文件要求密封的投标文件，</w:t>
      </w:r>
      <w:r>
        <w:rPr>
          <w:rFonts w:hint="eastAsia"/>
          <w:color w:val="auto"/>
          <w:highlight w:val="none"/>
          <w:lang w:val="en-US" w:eastAsia="zh-CN"/>
        </w:rPr>
        <w:t>将被</w:t>
      </w:r>
      <w:r>
        <w:rPr>
          <w:rFonts w:hint="eastAsia"/>
          <w:color w:val="auto"/>
          <w:highlight w:val="none"/>
        </w:rPr>
        <w:t>采购代理机构拒收。</w:t>
      </w:r>
    </w:p>
    <w:p>
      <w:pPr>
        <w:pStyle w:val="49"/>
        <w:bidi w:val="0"/>
        <w:spacing w:line="520" w:lineRule="exact"/>
        <w:rPr>
          <w:rFonts w:hint="eastAsia"/>
          <w:color w:val="auto"/>
          <w:highlight w:val="none"/>
        </w:rPr>
      </w:pPr>
      <w:bookmarkStart w:id="535" w:name="_Toc30361"/>
      <w:bookmarkStart w:id="536" w:name="_Toc27234"/>
      <w:bookmarkStart w:id="537" w:name="_Toc9965"/>
      <w:bookmarkStart w:id="538" w:name="_Toc29637"/>
      <w:bookmarkStart w:id="539" w:name="_Toc25947"/>
      <w:bookmarkStart w:id="540" w:name="_Toc25141"/>
      <w:bookmarkStart w:id="541" w:name="_Toc19406"/>
      <w:r>
        <w:rPr>
          <w:rFonts w:hint="eastAsia"/>
          <w:color w:val="auto"/>
          <w:highlight w:val="none"/>
        </w:rPr>
        <w:t>投标文件的</w:t>
      </w:r>
      <w:bookmarkEnd w:id="518"/>
      <w:bookmarkEnd w:id="519"/>
      <w:r>
        <w:rPr>
          <w:rFonts w:hint="eastAsia"/>
          <w:color w:val="auto"/>
          <w:highlight w:val="none"/>
        </w:rPr>
        <w:t>递交</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pPr>
        <w:pStyle w:val="63"/>
        <w:bidi w:val="0"/>
        <w:spacing w:line="520" w:lineRule="exact"/>
        <w:rPr>
          <w:rFonts w:hint="eastAsia"/>
          <w:color w:val="auto"/>
          <w:highlight w:val="none"/>
        </w:rPr>
      </w:pPr>
      <w:r>
        <w:rPr>
          <w:rFonts w:hint="eastAsia"/>
          <w:color w:val="auto"/>
          <w:highlight w:val="none"/>
        </w:rPr>
        <w:t>投标人应在招标文件规定的投标截止时间前，将投标文件按招标文件规定密封后送达开标地点。</w:t>
      </w:r>
    </w:p>
    <w:p>
      <w:pPr>
        <w:pStyle w:val="63"/>
        <w:bidi w:val="0"/>
        <w:spacing w:line="520" w:lineRule="exact"/>
        <w:rPr>
          <w:rFonts w:hint="eastAsia"/>
          <w:color w:val="auto"/>
          <w:highlight w:val="none"/>
        </w:rPr>
      </w:pPr>
      <w:r>
        <w:rPr>
          <w:rFonts w:hint="eastAsia"/>
          <w:color w:val="auto"/>
          <w:highlight w:val="none"/>
        </w:rPr>
        <w:t>逾期送达或者未按照招标文件要求密封的投标文件，</w:t>
      </w:r>
      <w:r>
        <w:rPr>
          <w:rFonts w:hint="eastAsia"/>
          <w:color w:val="auto"/>
          <w:highlight w:val="none"/>
          <w:lang w:val="en-US" w:eastAsia="zh-CN"/>
        </w:rPr>
        <w:t>将被</w:t>
      </w:r>
      <w:r>
        <w:rPr>
          <w:rFonts w:hint="eastAsia"/>
          <w:color w:val="auto"/>
          <w:highlight w:val="none"/>
        </w:rPr>
        <w:t>采购代理机构拒收</w:t>
      </w:r>
      <w:r>
        <w:rPr>
          <w:rFonts w:hint="eastAsia"/>
          <w:color w:val="auto"/>
          <w:highlight w:val="none"/>
          <w:lang w:eastAsia="zh-CN"/>
        </w:rPr>
        <w:t>，</w:t>
      </w:r>
      <w:r>
        <w:rPr>
          <w:rFonts w:hint="eastAsia"/>
          <w:color w:val="auto"/>
          <w:highlight w:val="none"/>
          <w:lang w:val="en-US" w:eastAsia="zh-CN"/>
        </w:rPr>
        <w:t>并</w:t>
      </w:r>
      <w:r>
        <w:rPr>
          <w:rFonts w:hint="eastAsia"/>
          <w:color w:val="auto"/>
          <w:highlight w:val="none"/>
        </w:rPr>
        <w:t>告知投标人不予接收的原因。</w:t>
      </w:r>
    </w:p>
    <w:p>
      <w:pPr>
        <w:pStyle w:val="63"/>
        <w:bidi w:val="0"/>
        <w:spacing w:line="520" w:lineRule="exact"/>
        <w:rPr>
          <w:rFonts w:hint="eastAsia"/>
          <w:color w:val="auto"/>
          <w:highlight w:val="none"/>
        </w:rPr>
      </w:pPr>
      <w:r>
        <w:rPr>
          <w:rFonts w:hint="eastAsia"/>
          <w:color w:val="auto"/>
          <w:highlight w:val="none"/>
        </w:rPr>
        <w:t>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pPr>
        <w:pStyle w:val="63"/>
        <w:bidi w:val="0"/>
        <w:spacing w:line="520" w:lineRule="exact"/>
        <w:rPr>
          <w:rFonts w:hint="eastAsia"/>
          <w:color w:val="auto"/>
          <w:highlight w:val="none"/>
        </w:rPr>
      </w:pPr>
      <w:r>
        <w:rPr>
          <w:rFonts w:hint="eastAsia"/>
          <w:color w:val="auto"/>
          <w:highlight w:val="none"/>
        </w:rPr>
        <w:t>递交投标文件时，</w:t>
      </w:r>
      <w:r>
        <w:rPr>
          <w:rFonts w:hint="eastAsia"/>
          <w:color w:val="auto"/>
          <w:highlight w:val="none"/>
          <w:lang w:val="en-US" w:eastAsia="zh-CN"/>
        </w:rPr>
        <w:t>投标人</w:t>
      </w:r>
      <w:r>
        <w:rPr>
          <w:rFonts w:hint="eastAsia"/>
          <w:color w:val="auto"/>
          <w:highlight w:val="none"/>
        </w:rPr>
        <w:t>名称和</w:t>
      </w:r>
      <w:r>
        <w:rPr>
          <w:rFonts w:hint="eastAsia"/>
          <w:color w:val="auto"/>
          <w:highlight w:val="none"/>
          <w:lang w:val="en-US" w:eastAsia="zh-CN"/>
        </w:rPr>
        <w:t>投标</w:t>
      </w:r>
      <w:r>
        <w:rPr>
          <w:rFonts w:hint="eastAsia"/>
          <w:color w:val="auto"/>
          <w:highlight w:val="none"/>
        </w:rPr>
        <w:t>文件的</w:t>
      </w:r>
      <w:r>
        <w:rPr>
          <w:rFonts w:hint="eastAsia"/>
          <w:color w:val="auto"/>
          <w:highlight w:val="none"/>
          <w:lang w:val="en-US" w:eastAsia="zh-CN"/>
        </w:rPr>
        <w:t>项目编号</w:t>
      </w:r>
      <w:r>
        <w:rPr>
          <w:rFonts w:hint="eastAsia"/>
          <w:color w:val="auto"/>
          <w:highlight w:val="none"/>
        </w:rPr>
        <w:t>应当与</w:t>
      </w:r>
      <w:r>
        <w:rPr>
          <w:rFonts w:hint="eastAsia"/>
          <w:color w:val="auto"/>
          <w:highlight w:val="none"/>
          <w:lang w:val="en-US" w:eastAsia="zh-CN"/>
        </w:rPr>
        <w:t>报名供应商</w:t>
      </w:r>
      <w:r>
        <w:rPr>
          <w:rFonts w:hint="eastAsia"/>
          <w:color w:val="auto"/>
          <w:highlight w:val="none"/>
        </w:rPr>
        <w:t>名称和招标文件的</w:t>
      </w:r>
      <w:r>
        <w:rPr>
          <w:rFonts w:hint="eastAsia"/>
          <w:color w:val="auto"/>
          <w:highlight w:val="none"/>
          <w:lang w:val="en-US" w:eastAsia="zh-CN"/>
        </w:rPr>
        <w:t>项目编号</w:t>
      </w:r>
      <w:r>
        <w:rPr>
          <w:rFonts w:hint="eastAsia"/>
          <w:color w:val="auto"/>
          <w:highlight w:val="none"/>
        </w:rPr>
        <w:t>一致。但是，投标文件实质内容</w:t>
      </w:r>
      <w:r>
        <w:rPr>
          <w:rFonts w:hint="eastAsia"/>
          <w:color w:val="auto"/>
          <w:highlight w:val="none"/>
          <w:lang w:val="en-US" w:eastAsia="zh-CN"/>
        </w:rPr>
        <w:t>与</w:t>
      </w:r>
      <w:r>
        <w:rPr>
          <w:rFonts w:hint="eastAsia"/>
          <w:color w:val="auto"/>
          <w:highlight w:val="none"/>
        </w:rPr>
        <w:t>报名供应商名称和招标文件的</w:t>
      </w:r>
      <w:r>
        <w:rPr>
          <w:rFonts w:hint="eastAsia"/>
          <w:color w:val="auto"/>
          <w:highlight w:val="none"/>
          <w:lang w:val="en-US" w:eastAsia="zh-CN"/>
        </w:rPr>
        <w:t>项目编号</w:t>
      </w:r>
      <w:r>
        <w:rPr>
          <w:rFonts w:hint="eastAsia"/>
          <w:color w:val="auto"/>
          <w:highlight w:val="none"/>
        </w:rPr>
        <w:t>一致，只是封面文字错误的，可以在评标过程中当面予以澄清，以有效的澄清材料作为认定投标文件是否有效的依据。</w:t>
      </w:r>
    </w:p>
    <w:p>
      <w:pPr>
        <w:pStyle w:val="63"/>
        <w:bidi w:val="0"/>
        <w:spacing w:line="520" w:lineRule="exact"/>
        <w:rPr>
          <w:rFonts w:hint="eastAsia"/>
          <w:color w:val="auto"/>
          <w:highlight w:val="none"/>
        </w:rPr>
      </w:pPr>
      <w:r>
        <w:rPr>
          <w:rFonts w:hint="eastAsia"/>
          <w:color w:val="auto"/>
          <w:highlight w:val="none"/>
        </w:rPr>
        <w:t>本次招标不接收邮寄的投标文件。</w:t>
      </w:r>
    </w:p>
    <w:p>
      <w:pPr>
        <w:pStyle w:val="49"/>
        <w:bidi w:val="0"/>
        <w:spacing w:line="520" w:lineRule="exact"/>
        <w:rPr>
          <w:rFonts w:hint="eastAsia"/>
          <w:color w:val="auto"/>
          <w:highlight w:val="none"/>
        </w:rPr>
      </w:pPr>
      <w:bookmarkStart w:id="542" w:name="_Toc183582228"/>
      <w:bookmarkStart w:id="543" w:name="_Toc183682365"/>
      <w:bookmarkStart w:id="544" w:name="_Toc15674"/>
      <w:bookmarkStart w:id="545" w:name="_Toc3865"/>
      <w:bookmarkStart w:id="546" w:name="_Toc307564851"/>
      <w:bookmarkStart w:id="547" w:name="_Toc307501108"/>
      <w:bookmarkStart w:id="548" w:name="_Toc6140"/>
      <w:bookmarkStart w:id="549" w:name="_Toc15882"/>
      <w:bookmarkStart w:id="550" w:name="_Toc309897514"/>
      <w:bookmarkStart w:id="551" w:name="_Toc12138"/>
      <w:bookmarkStart w:id="552" w:name="_Toc308188151"/>
      <w:bookmarkStart w:id="553" w:name="_Toc327196285"/>
      <w:bookmarkStart w:id="554" w:name="_Toc319440141"/>
      <w:bookmarkStart w:id="555" w:name="_Toc22634"/>
      <w:bookmarkStart w:id="556" w:name="_Toc308084596"/>
      <w:bookmarkStart w:id="557" w:name="_Toc26118"/>
      <w:bookmarkStart w:id="558" w:name="_Toc7313"/>
      <w:bookmarkStart w:id="559" w:name="_Toc319439899"/>
      <w:bookmarkStart w:id="560" w:name="_Toc23816"/>
      <w:bookmarkStart w:id="561" w:name="_Toc1451"/>
      <w:bookmarkStart w:id="562" w:name="_Toc4178"/>
      <w:bookmarkStart w:id="563" w:name="_Toc17045"/>
      <w:bookmarkStart w:id="564" w:name="_Toc217446055"/>
      <w:bookmarkStart w:id="565" w:name="_Toc19291"/>
      <w:r>
        <w:rPr>
          <w:rFonts w:hint="eastAsia"/>
          <w:color w:val="auto"/>
          <w:highlight w:val="none"/>
        </w:rPr>
        <w:t>投标文件的修改和撤</w:t>
      </w:r>
      <w:bookmarkEnd w:id="542"/>
      <w:bookmarkEnd w:id="543"/>
      <w:r>
        <w:rPr>
          <w:rFonts w:hint="eastAsia"/>
          <w:color w:val="auto"/>
          <w:highlight w:val="none"/>
        </w:rPr>
        <w:t>回</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pPr>
        <w:pStyle w:val="63"/>
        <w:bidi w:val="0"/>
        <w:spacing w:line="520" w:lineRule="exact"/>
        <w:rPr>
          <w:rFonts w:hint="eastAsia"/>
          <w:color w:val="auto"/>
          <w:highlight w:val="none"/>
        </w:rPr>
      </w:pPr>
      <w:r>
        <w:rPr>
          <w:rFonts w:hint="eastAsia"/>
          <w:color w:val="auto"/>
          <w:highlight w:val="none"/>
        </w:rPr>
        <w:t>投标人在投标截止时间前，可以对所递交的投标文件进行补充、修改或者撤回，并书面通知采购人或者采购代理机构。补充、修改的内容应当按照招标文件要求签署、盖章、密封后，作为投标文件的组成部分。</w:t>
      </w:r>
    </w:p>
    <w:p>
      <w:pPr>
        <w:pStyle w:val="63"/>
        <w:bidi w:val="0"/>
        <w:spacing w:line="520" w:lineRule="exact"/>
        <w:rPr>
          <w:rFonts w:hint="eastAsia"/>
          <w:color w:val="auto"/>
          <w:highlight w:val="none"/>
        </w:rPr>
      </w:pPr>
      <w:r>
        <w:rPr>
          <w:rFonts w:hint="eastAsia"/>
          <w:color w:val="auto"/>
          <w:highlight w:val="none"/>
        </w:rPr>
        <w:t>投标人的修改书或撤回通知书，应由其</w:t>
      </w:r>
      <w:r>
        <w:rPr>
          <w:rFonts w:hint="eastAsia"/>
          <w:color w:val="auto"/>
          <w:highlight w:val="none"/>
          <w:lang w:eastAsia="zh-CN"/>
        </w:rPr>
        <w:t>法定代表人/单位负责人或授权代表</w:t>
      </w:r>
      <w:r>
        <w:rPr>
          <w:rFonts w:hint="eastAsia"/>
          <w:color w:val="auto"/>
          <w:highlight w:val="none"/>
        </w:rPr>
        <w:t>签署并盖单位印章。修改书应按</w:t>
      </w:r>
      <w:r>
        <w:rPr>
          <w:rFonts w:hint="eastAsia"/>
          <w:color w:val="auto"/>
          <w:highlight w:val="none"/>
          <w:lang w:val="en-US" w:eastAsia="zh-CN"/>
        </w:rPr>
        <w:t>第二章第四节第十一</w:t>
      </w:r>
      <w:r>
        <w:rPr>
          <w:rFonts w:hint="eastAsia"/>
          <w:color w:val="auto"/>
          <w:highlight w:val="none"/>
        </w:rPr>
        <w:t>条规定进行密封和标注，并在密封袋上标注“修改”字样。</w:t>
      </w:r>
    </w:p>
    <w:p>
      <w:pPr>
        <w:pStyle w:val="63"/>
        <w:bidi w:val="0"/>
        <w:spacing w:line="520" w:lineRule="exact"/>
        <w:rPr>
          <w:rFonts w:hint="eastAsia"/>
          <w:color w:val="auto"/>
          <w:highlight w:val="none"/>
        </w:rPr>
      </w:pPr>
      <w:r>
        <w:rPr>
          <w:rFonts w:hint="eastAsia"/>
          <w:color w:val="auto"/>
          <w:highlight w:val="none"/>
        </w:rPr>
        <w:t>在投标截止时间之后，投标人不得对其递交的投标文件做任何修改，撤回投标的，将按照有关规定进行相应处理。</w:t>
      </w:r>
    </w:p>
    <w:p>
      <w:pPr>
        <w:pStyle w:val="43"/>
        <w:bidi w:val="0"/>
        <w:spacing w:line="520" w:lineRule="exact"/>
        <w:rPr>
          <w:rFonts w:hint="eastAsia"/>
          <w:color w:val="auto"/>
          <w:highlight w:val="none"/>
        </w:rPr>
      </w:pPr>
      <w:bookmarkStart w:id="566" w:name="_Toc217446056"/>
      <w:bookmarkStart w:id="567" w:name="_Toc16817"/>
      <w:bookmarkStart w:id="568" w:name="_Toc22123"/>
      <w:bookmarkStart w:id="569" w:name="_Toc21531"/>
      <w:bookmarkStart w:id="570" w:name="_Toc24962"/>
      <w:bookmarkStart w:id="571" w:name="_Toc15691"/>
      <w:bookmarkStart w:id="572" w:name="_Toc183682368"/>
      <w:bookmarkStart w:id="573" w:name="_Toc327196286"/>
      <w:bookmarkStart w:id="574" w:name="_Toc183582231"/>
      <w:bookmarkStart w:id="575" w:name="_Toc77400782"/>
      <w:bookmarkStart w:id="576" w:name="_Toc30863"/>
      <w:bookmarkStart w:id="577" w:name="_Toc89075878"/>
      <w:r>
        <w:rPr>
          <w:rFonts w:hint="eastAsia"/>
          <w:color w:val="auto"/>
          <w:highlight w:val="none"/>
        </w:rPr>
        <w:t>开标和中标</w:t>
      </w:r>
      <w:bookmarkEnd w:id="566"/>
      <w:bookmarkEnd w:id="567"/>
      <w:bookmarkEnd w:id="568"/>
      <w:bookmarkEnd w:id="569"/>
      <w:bookmarkEnd w:id="570"/>
      <w:bookmarkEnd w:id="571"/>
      <w:bookmarkEnd w:id="572"/>
      <w:bookmarkEnd w:id="573"/>
      <w:bookmarkEnd w:id="574"/>
      <w:bookmarkEnd w:id="575"/>
      <w:bookmarkEnd w:id="576"/>
      <w:bookmarkEnd w:id="577"/>
    </w:p>
    <w:p>
      <w:pPr>
        <w:pStyle w:val="49"/>
        <w:numPr>
          <w:ilvl w:val="2"/>
          <w:numId w:val="15"/>
        </w:numPr>
        <w:bidi w:val="0"/>
        <w:spacing w:line="520" w:lineRule="exact"/>
        <w:rPr>
          <w:rFonts w:hint="eastAsia"/>
          <w:color w:val="auto"/>
          <w:highlight w:val="none"/>
        </w:rPr>
      </w:pPr>
      <w:bookmarkStart w:id="578" w:name="_Toc29031"/>
      <w:bookmarkStart w:id="579" w:name="_Toc23998"/>
      <w:bookmarkStart w:id="580" w:name="_Toc19952"/>
      <w:bookmarkStart w:id="581" w:name="_Toc6289"/>
      <w:bookmarkStart w:id="582" w:name="_Toc13303"/>
      <w:bookmarkStart w:id="583" w:name="_Toc183582232"/>
      <w:bookmarkStart w:id="584" w:name="_Toc29749"/>
      <w:bookmarkStart w:id="585" w:name="_Toc13237"/>
      <w:bookmarkStart w:id="586" w:name="_Toc217446057"/>
      <w:bookmarkStart w:id="587" w:name="_Toc183682369"/>
      <w:bookmarkStart w:id="588" w:name="_Toc8915"/>
      <w:bookmarkStart w:id="589" w:name="_Toc327196287"/>
      <w:bookmarkStart w:id="590" w:name="_Toc307564853"/>
      <w:bookmarkStart w:id="591" w:name="_Toc307501110"/>
      <w:bookmarkStart w:id="592" w:name="_Toc319439901"/>
      <w:bookmarkStart w:id="593" w:name="_Toc11957"/>
      <w:bookmarkStart w:id="594" w:name="_Toc17058"/>
      <w:bookmarkStart w:id="595" w:name="_Toc308188153"/>
      <w:bookmarkStart w:id="596" w:name="_Toc308084598"/>
      <w:bookmarkStart w:id="597" w:name="_Toc309897516"/>
      <w:bookmarkStart w:id="598" w:name="_Toc18049"/>
      <w:bookmarkStart w:id="599" w:name="_Toc29493"/>
      <w:bookmarkStart w:id="600" w:name="_Toc15426"/>
      <w:bookmarkStart w:id="601" w:name="_Toc319440143"/>
      <w:r>
        <w:rPr>
          <w:rFonts w:hint="eastAsia"/>
          <w:color w:val="auto"/>
          <w:highlight w:val="none"/>
        </w:rPr>
        <w:t>开标</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pPr>
        <w:pStyle w:val="63"/>
        <w:numPr>
          <w:ilvl w:val="3"/>
          <w:numId w:val="16"/>
        </w:numPr>
        <w:bidi w:val="0"/>
        <w:spacing w:line="520" w:lineRule="exact"/>
        <w:rPr>
          <w:rFonts w:hint="eastAsia"/>
          <w:color w:val="auto"/>
          <w:highlight w:val="none"/>
          <w:lang w:eastAsia="zh-CN"/>
        </w:rPr>
      </w:pPr>
      <w:bookmarkStart w:id="602" w:name="_Toc319439902"/>
      <w:bookmarkStart w:id="603" w:name="_Toc319440144"/>
      <w:bookmarkStart w:id="604" w:name="_Toc309897517"/>
      <w:bookmarkStart w:id="605" w:name="_Toc308084599"/>
      <w:bookmarkStart w:id="606" w:name="_Toc307564854"/>
      <w:bookmarkStart w:id="607" w:name="_Toc327196288"/>
      <w:bookmarkStart w:id="608" w:name="_Toc308188154"/>
      <w:bookmarkStart w:id="609" w:name="_Toc307501111"/>
      <w:bookmarkStart w:id="610" w:name="_Toc217446058"/>
      <w:r>
        <w:rPr>
          <w:rFonts w:hint="eastAsia"/>
          <w:color w:val="auto"/>
          <w:highlight w:val="none"/>
        </w:rPr>
        <w:t>开标在招标文件规定的时间和地点公开进行，采购人、投标人须派代表参加并签到以证明其出席。开标由采购代理机构主持，采购人、投标人代表参加。评标专家不参加开标活动。投标人未参加开标的，视同认可开标结果</w:t>
      </w:r>
      <w:r>
        <w:rPr>
          <w:rFonts w:hint="eastAsia"/>
          <w:color w:val="auto"/>
          <w:highlight w:val="none"/>
          <w:lang w:eastAsia="zh-CN"/>
        </w:rPr>
        <w:t>。</w:t>
      </w:r>
    </w:p>
    <w:p>
      <w:pPr>
        <w:pStyle w:val="63"/>
        <w:numPr>
          <w:ilvl w:val="3"/>
          <w:numId w:val="16"/>
        </w:numPr>
        <w:bidi w:val="0"/>
        <w:spacing w:line="520" w:lineRule="exact"/>
        <w:rPr>
          <w:rFonts w:hint="eastAsia"/>
          <w:color w:val="auto"/>
          <w:highlight w:val="none"/>
        </w:rPr>
      </w:pPr>
      <w:r>
        <w:rPr>
          <w:rFonts w:hint="eastAsia"/>
          <w:color w:val="auto"/>
          <w:highlight w:val="none"/>
          <w:lang w:eastAsia="zh-CN"/>
        </w:rPr>
        <w:t>开标活动对外公开，在保证正常开标秩序的前提下，允许除投标人及其代表之外的其他人员观摩开标活动。</w:t>
      </w:r>
      <w:r>
        <w:rPr>
          <w:rFonts w:hint="eastAsia"/>
          <w:color w:val="auto"/>
          <w:highlight w:val="none"/>
          <w:lang w:val="en-US" w:eastAsia="zh-CN"/>
        </w:rPr>
        <w:t>其他人员需要参加开标活动的，须事先向采购代理机构书面申请并取得同意后方能参加，且在开标现场须服从采购代理机构的安排</w:t>
      </w:r>
      <w:r>
        <w:rPr>
          <w:rFonts w:hint="eastAsia"/>
          <w:color w:val="auto"/>
          <w:highlight w:val="none"/>
          <w:lang w:eastAsia="zh-CN"/>
        </w:rPr>
        <w:t>。</w:t>
      </w:r>
    </w:p>
    <w:p>
      <w:pPr>
        <w:pStyle w:val="63"/>
        <w:numPr>
          <w:ilvl w:val="3"/>
          <w:numId w:val="16"/>
        </w:numPr>
        <w:bidi w:val="0"/>
        <w:spacing w:line="520" w:lineRule="exact"/>
        <w:rPr>
          <w:rFonts w:hint="eastAsia"/>
          <w:color w:val="auto"/>
          <w:highlight w:val="none"/>
        </w:rPr>
      </w:pPr>
      <w:r>
        <w:rPr>
          <w:rFonts w:hint="eastAsia"/>
          <w:color w:val="auto"/>
          <w:highlight w:val="none"/>
        </w:rPr>
        <w:t>开标时，可根据具体情况邀请有关监督管理部门对开标活动进行现场监督。</w:t>
      </w:r>
    </w:p>
    <w:p>
      <w:pPr>
        <w:pStyle w:val="63"/>
        <w:numPr>
          <w:ilvl w:val="3"/>
          <w:numId w:val="16"/>
        </w:numPr>
        <w:bidi w:val="0"/>
        <w:spacing w:line="520" w:lineRule="exact"/>
        <w:rPr>
          <w:rFonts w:hint="eastAsia"/>
          <w:color w:val="auto"/>
          <w:highlight w:val="none"/>
        </w:rPr>
      </w:pPr>
      <w:r>
        <w:rPr>
          <w:rFonts w:hint="eastAsia"/>
          <w:color w:val="auto"/>
          <w:highlight w:val="none"/>
        </w:rPr>
        <w:t>开标时，由投标人或者其推选的代表先检查其自己递交的投标文件的密封情况，经确认无误后，由招标工作人员将投标人单独</w:t>
      </w:r>
      <w:r>
        <w:rPr>
          <w:rFonts w:hint="eastAsia"/>
          <w:color w:val="auto"/>
          <w:highlight w:val="none"/>
          <w:lang w:eastAsia="zh-CN"/>
        </w:rPr>
        <w:t>提</w:t>
      </w:r>
      <w:r>
        <w:rPr>
          <w:rFonts w:hint="eastAsia"/>
          <w:color w:val="auto"/>
          <w:highlight w:val="none"/>
        </w:rPr>
        <w:t>交</w:t>
      </w:r>
      <w:r>
        <w:rPr>
          <w:rFonts w:hint="eastAsia"/>
          <w:color w:val="auto"/>
          <w:highlight w:val="none"/>
          <w:lang w:eastAsia="zh-CN"/>
        </w:rPr>
        <w:t>用于开标唱标</w:t>
      </w:r>
      <w:r>
        <w:rPr>
          <w:rFonts w:hint="eastAsia"/>
          <w:color w:val="auto"/>
          <w:highlight w:val="none"/>
        </w:rPr>
        <w:t>的“开标一览表”当众拆封，并由唱标人员按照招标文件规定的内容进行宣读。</w:t>
      </w:r>
    </w:p>
    <w:p>
      <w:pPr>
        <w:pStyle w:val="63"/>
        <w:numPr>
          <w:ilvl w:val="3"/>
          <w:numId w:val="16"/>
        </w:numPr>
        <w:bidi w:val="0"/>
        <w:spacing w:line="520" w:lineRule="exact"/>
        <w:rPr>
          <w:rFonts w:hint="eastAsia"/>
          <w:color w:val="auto"/>
          <w:highlight w:val="none"/>
        </w:rPr>
      </w:pPr>
      <w:r>
        <w:rPr>
          <w:rFonts w:hint="eastAsia"/>
          <w:color w:val="auto"/>
          <w:highlight w:val="none"/>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w:t>
      </w:r>
      <w:r>
        <w:rPr>
          <w:rFonts w:hint="eastAsia"/>
          <w:color w:val="auto"/>
          <w:highlight w:val="none"/>
          <w:lang w:val="en-US" w:eastAsia="zh-CN"/>
        </w:rPr>
        <w:t>至</w:t>
      </w:r>
      <w:r>
        <w:rPr>
          <w:rFonts w:hint="eastAsia"/>
          <w:color w:val="auto"/>
          <w:highlight w:val="none"/>
        </w:rPr>
        <w:t>开标主持人或者现场监督人员，要求开标现场记录人员予以记录，但不得干扰、阻挠开标工作的正常进行。</w:t>
      </w:r>
    </w:p>
    <w:p>
      <w:pPr>
        <w:pStyle w:val="63"/>
        <w:numPr>
          <w:ilvl w:val="3"/>
          <w:numId w:val="16"/>
        </w:numPr>
        <w:bidi w:val="0"/>
        <w:spacing w:line="520" w:lineRule="exact"/>
        <w:rPr>
          <w:rFonts w:hint="eastAsia"/>
          <w:color w:val="auto"/>
          <w:highlight w:val="none"/>
        </w:rPr>
      </w:pPr>
      <w:r>
        <w:rPr>
          <w:rFonts w:hint="eastAsia"/>
          <w:color w:val="auto"/>
          <w:highlight w:val="none"/>
        </w:rPr>
        <w:t>开标时，“开标一览表”中的大写金额与小写金额不一致的，以大写金额为准；总价金额与按单价计算的汇总金额不一致的，以单价计算的汇总金额为准；单价金额有明显小数点错误的，以总价为准，并修改单价。</w:t>
      </w:r>
    </w:p>
    <w:p>
      <w:pPr>
        <w:pStyle w:val="63"/>
        <w:numPr>
          <w:ilvl w:val="3"/>
          <w:numId w:val="16"/>
        </w:numPr>
        <w:bidi w:val="0"/>
        <w:spacing w:line="520" w:lineRule="exact"/>
        <w:rPr>
          <w:rFonts w:hint="eastAsia"/>
          <w:color w:val="auto"/>
          <w:highlight w:val="none"/>
        </w:rPr>
      </w:pPr>
      <w:r>
        <w:rPr>
          <w:rFonts w:hint="eastAsia"/>
          <w:color w:val="auto"/>
          <w:highlight w:val="none"/>
        </w:rPr>
        <w:t>投标文件中相关内容与“开标一览表”不一致的，以“开标一览表”为准。对不同文字文本投标文件的解释发生异议的，以中文文本为准。</w:t>
      </w:r>
    </w:p>
    <w:p>
      <w:pPr>
        <w:pStyle w:val="63"/>
        <w:numPr>
          <w:ilvl w:val="3"/>
          <w:numId w:val="16"/>
        </w:numPr>
        <w:bidi w:val="0"/>
        <w:spacing w:line="520" w:lineRule="exact"/>
        <w:rPr>
          <w:rFonts w:hint="eastAsia"/>
          <w:color w:val="auto"/>
          <w:highlight w:val="none"/>
        </w:rPr>
      </w:pPr>
      <w:r>
        <w:rPr>
          <w:rFonts w:hint="eastAsia"/>
          <w:color w:val="auto"/>
          <w:highlight w:val="none"/>
        </w:rPr>
        <w:t>所有投标唱标完毕，如投标人代表对宣读的“开标一览表”上的内容有异议的，应在获得开标会主持人同意后当场提出。如确实属于唱标人员宣读错了的，经现场监督人员核实后，当场予以更正。</w:t>
      </w:r>
    </w:p>
    <w:p>
      <w:pPr>
        <w:pStyle w:val="49"/>
        <w:numPr>
          <w:ilvl w:val="2"/>
          <w:numId w:val="15"/>
        </w:numPr>
        <w:bidi w:val="0"/>
        <w:spacing w:line="520" w:lineRule="exact"/>
        <w:rPr>
          <w:rFonts w:hint="eastAsia"/>
          <w:color w:val="auto"/>
          <w:highlight w:val="none"/>
        </w:rPr>
      </w:pPr>
      <w:bookmarkStart w:id="611" w:name="_Toc24509"/>
      <w:bookmarkStart w:id="612" w:name="_Toc17927"/>
      <w:bookmarkStart w:id="613" w:name="_Toc15266"/>
      <w:bookmarkStart w:id="614" w:name="_Toc20885"/>
      <w:bookmarkStart w:id="615" w:name="_Toc5097"/>
      <w:bookmarkStart w:id="616" w:name="_Toc26350"/>
      <w:bookmarkStart w:id="617" w:name="_Toc18256"/>
      <w:bookmarkStart w:id="618" w:name="_Toc10782"/>
      <w:bookmarkStart w:id="619" w:name="_Toc827"/>
      <w:bookmarkStart w:id="620" w:name="_Toc16540"/>
      <w:bookmarkStart w:id="621" w:name="_Toc7168"/>
      <w:bookmarkStart w:id="622" w:name="_Toc12755"/>
      <w:bookmarkStart w:id="623" w:name="_Toc3192"/>
      <w:r>
        <w:rPr>
          <w:rFonts w:hint="eastAsia"/>
          <w:color w:val="auto"/>
          <w:highlight w:val="none"/>
        </w:rPr>
        <w:t>开标程序</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pPr>
        <w:pStyle w:val="46"/>
        <w:bidi w:val="0"/>
        <w:spacing w:line="520" w:lineRule="exact"/>
        <w:rPr>
          <w:rFonts w:hint="eastAsia"/>
          <w:color w:val="auto"/>
          <w:highlight w:val="none"/>
        </w:rPr>
      </w:pPr>
      <w:r>
        <w:rPr>
          <w:rFonts w:hint="eastAsia"/>
          <w:color w:val="auto"/>
          <w:highlight w:val="none"/>
        </w:rPr>
        <w:t>开标会主持人按照招标文件规定的开标时间宣布开标，按照规定要求主持开标会。开标将按以下程序进行：</w:t>
      </w:r>
    </w:p>
    <w:p>
      <w:pPr>
        <w:pStyle w:val="63"/>
        <w:numPr>
          <w:ilvl w:val="3"/>
          <w:numId w:val="15"/>
        </w:numPr>
        <w:bidi w:val="0"/>
        <w:spacing w:line="520" w:lineRule="exact"/>
        <w:rPr>
          <w:color w:val="auto"/>
          <w:highlight w:val="none"/>
        </w:rPr>
      </w:pPr>
      <w:bookmarkStart w:id="624" w:name="_Toc13447"/>
      <w:bookmarkStart w:id="625" w:name="_Toc13983"/>
      <w:bookmarkStart w:id="626" w:name="_Toc183682375"/>
      <w:bookmarkStart w:id="627" w:name="_Toc183582238"/>
      <w:bookmarkStart w:id="628" w:name="_Toc13751"/>
      <w:bookmarkStart w:id="629" w:name="_Toc217446063"/>
      <w:bookmarkStart w:id="630" w:name="_Toc489"/>
      <w:bookmarkStart w:id="631" w:name="_Toc307564855"/>
      <w:bookmarkStart w:id="632" w:name="_Toc308084600"/>
      <w:bookmarkStart w:id="633" w:name="_Toc15967"/>
      <w:bookmarkStart w:id="634" w:name="_Toc16512"/>
      <w:bookmarkStart w:id="635" w:name="_Toc307501112"/>
      <w:bookmarkStart w:id="636" w:name="_Toc319440145"/>
      <w:bookmarkStart w:id="637" w:name="_Toc308188155"/>
      <w:bookmarkStart w:id="638" w:name="_Toc28123"/>
      <w:bookmarkStart w:id="639" w:name="_Toc28481"/>
      <w:bookmarkStart w:id="640" w:name="_Toc309897518"/>
      <w:bookmarkStart w:id="641" w:name="_Toc8800"/>
      <w:bookmarkStart w:id="642" w:name="_Toc327196289"/>
      <w:bookmarkStart w:id="643" w:name="_Toc9806"/>
      <w:bookmarkStart w:id="644" w:name="_Toc319439903"/>
      <w:r>
        <w:rPr>
          <w:rFonts w:hint="eastAsia"/>
          <w:color w:val="auto"/>
          <w:highlight w:val="none"/>
        </w:rPr>
        <w:t>宣布开标会开始。当众宣布参加开标会主持人(唱标人)、会议记录人以及根据情况邀请的现场监督人等工作人员，根据“投标文件递交登记表”宣布参加投标的供应商名单。</w:t>
      </w:r>
    </w:p>
    <w:p>
      <w:pPr>
        <w:pStyle w:val="63"/>
        <w:numPr>
          <w:ilvl w:val="3"/>
          <w:numId w:val="15"/>
        </w:numPr>
        <w:bidi w:val="0"/>
        <w:spacing w:line="520" w:lineRule="exact"/>
        <w:rPr>
          <w:color w:val="auto"/>
          <w:highlight w:val="none"/>
        </w:rPr>
      </w:pPr>
      <w:r>
        <w:rPr>
          <w:rFonts w:hint="eastAsia"/>
          <w:color w:val="auto"/>
          <w:highlight w:val="none"/>
        </w:rPr>
        <w:t>宣布会场纪律和有关注意事项，根据投标人或者其推选的代表对投标文件密封的检查结果，当众宣布投标文件的密封情况。</w:t>
      </w:r>
    </w:p>
    <w:p>
      <w:pPr>
        <w:pStyle w:val="63"/>
        <w:numPr>
          <w:ilvl w:val="3"/>
          <w:numId w:val="15"/>
        </w:numPr>
        <w:bidi w:val="0"/>
        <w:spacing w:line="520" w:lineRule="exact"/>
        <w:rPr>
          <w:rFonts w:hint="eastAsia"/>
          <w:color w:val="auto"/>
          <w:highlight w:val="none"/>
          <w:lang w:val="en-US" w:eastAsia="zh-CN"/>
        </w:rPr>
      </w:pPr>
      <w:r>
        <w:rPr>
          <w:rFonts w:hint="eastAsia"/>
          <w:color w:val="auto"/>
          <w:highlight w:val="none"/>
          <w:lang w:val="en-US" w:eastAsia="zh-CN"/>
        </w:rPr>
        <w:t>投标人不足3家的，不得开标。</w:t>
      </w:r>
    </w:p>
    <w:p>
      <w:pPr>
        <w:pStyle w:val="63"/>
        <w:numPr>
          <w:ilvl w:val="3"/>
          <w:numId w:val="15"/>
        </w:numPr>
        <w:bidi w:val="0"/>
        <w:spacing w:line="520" w:lineRule="exact"/>
        <w:rPr>
          <w:color w:val="auto"/>
          <w:highlight w:val="none"/>
        </w:rPr>
      </w:pPr>
      <w:r>
        <w:rPr>
          <w:rFonts w:hint="eastAsia"/>
          <w:color w:val="auto"/>
          <w:highlight w:val="none"/>
        </w:rPr>
        <w:t>开标唱标。主持人宣布开标后，由现场工作人员按任意顺序对单独用于开标唱标的“开标一览表”当众进行拆封，由唱标人员宣读投标人名称、投标价格(价格折扣)、或招标文件允许提供的备选投标方案和投标文件的其他主要内容。未宣读的投标价格(价格折扣)或招标文件允许提供的备选投标方案，评标时不予承认。同时，做好开标记录。唱标人员在唱标过程中，如遇有字迹不清楚的，应即刻报告主持人，经工作人员和现场监督人员核实后，主持人立即请投标人代表现场进行澄清或确认。</w:t>
      </w:r>
    </w:p>
    <w:p>
      <w:pPr>
        <w:pStyle w:val="63"/>
        <w:numPr>
          <w:ilvl w:val="3"/>
          <w:numId w:val="15"/>
        </w:numPr>
        <w:bidi w:val="0"/>
        <w:spacing w:line="520" w:lineRule="exact"/>
        <w:rPr>
          <w:color w:val="auto"/>
          <w:highlight w:val="none"/>
        </w:rPr>
      </w:pPr>
      <w:r>
        <w:rPr>
          <w:rFonts w:hint="eastAsia"/>
          <w:color w:val="auto"/>
          <w:highlight w:val="none"/>
        </w:rPr>
        <w:t>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pPr>
        <w:pStyle w:val="63"/>
        <w:numPr>
          <w:ilvl w:val="3"/>
          <w:numId w:val="15"/>
        </w:numPr>
        <w:bidi w:val="0"/>
        <w:spacing w:line="520" w:lineRule="exact"/>
        <w:rPr>
          <w:color w:val="auto"/>
          <w:highlight w:val="none"/>
        </w:rPr>
      </w:pPr>
      <w:r>
        <w:rPr>
          <w:rFonts w:hint="eastAsia"/>
          <w:color w:val="auto"/>
          <w:highlight w:val="none"/>
        </w:rPr>
        <w:t>宣布开标会结束。主持人宣布开标会结束。所有投标人代表应立即退场(招标文件要求有演示、介绍等的除外)。同时所有投标人应保持通讯设备的畅通，以方便在评标过程中评标委员会要求投标人对投标文件的必要澄清。投标人自行在</w:t>
      </w:r>
      <w:r>
        <w:rPr>
          <w:rFonts w:hint="eastAsia"/>
          <w:color w:val="auto"/>
          <w:highlight w:val="none"/>
          <w:lang w:eastAsia="zh-CN"/>
        </w:rPr>
        <w:t>“中国招标投标公共服务平台”</w:t>
      </w:r>
      <w:r>
        <w:rPr>
          <w:rFonts w:hint="eastAsia"/>
          <w:color w:val="auto"/>
          <w:highlight w:val="none"/>
        </w:rPr>
        <w:t>查询评标结果。</w:t>
      </w:r>
    </w:p>
    <w:bookmarkEnd w:id="624"/>
    <w:bookmarkEnd w:id="625"/>
    <w:p>
      <w:pPr>
        <w:pStyle w:val="49"/>
        <w:bidi w:val="0"/>
        <w:spacing w:line="520" w:lineRule="exact"/>
        <w:rPr>
          <w:rFonts w:hint="eastAsia"/>
          <w:color w:val="auto"/>
          <w:highlight w:val="none"/>
          <w:lang w:val="en-US" w:eastAsia="zh-CN"/>
        </w:rPr>
      </w:pPr>
      <w:bookmarkStart w:id="645" w:name="_Toc14329"/>
      <w:bookmarkStart w:id="646" w:name="_Toc517"/>
      <w:bookmarkStart w:id="647" w:name="_Toc128"/>
      <w:bookmarkStart w:id="648" w:name="_Toc6332"/>
      <w:r>
        <w:rPr>
          <w:rFonts w:hint="eastAsia"/>
          <w:color w:val="auto"/>
          <w:highlight w:val="none"/>
          <w:lang w:val="en-US" w:eastAsia="zh-CN"/>
        </w:rPr>
        <w:t>开评标过程存档</w:t>
      </w:r>
      <w:bookmarkEnd w:id="645"/>
      <w:bookmarkEnd w:id="646"/>
    </w:p>
    <w:p>
      <w:pPr>
        <w:pStyle w:val="42"/>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color w:val="auto"/>
          <w:highlight w:val="none"/>
        </w:rPr>
      </w:pPr>
      <w:r>
        <w:rPr>
          <w:rFonts w:hint="eastAsia"/>
          <w:color w:val="auto"/>
          <w:highlight w:val="none"/>
        </w:rPr>
        <w:t>开标和评标过程进行全过程电子监控，并将电子监控资料存储介质留存归档。</w:t>
      </w:r>
    </w:p>
    <w:p>
      <w:pPr>
        <w:pStyle w:val="49"/>
        <w:bidi w:val="0"/>
        <w:spacing w:line="520" w:lineRule="exact"/>
        <w:rPr>
          <w:rFonts w:hint="eastAsia"/>
          <w:color w:val="auto"/>
          <w:highlight w:val="none"/>
          <w:lang w:val="en-US" w:eastAsia="zh-CN"/>
        </w:rPr>
      </w:pPr>
      <w:bookmarkStart w:id="649" w:name="_Toc22232"/>
      <w:bookmarkStart w:id="650" w:name="_Toc16921"/>
      <w:bookmarkStart w:id="651" w:name="_Toc32453"/>
      <w:r>
        <w:rPr>
          <w:rFonts w:hint="eastAsia"/>
          <w:color w:val="auto"/>
          <w:highlight w:val="none"/>
          <w:lang w:val="en-US" w:eastAsia="zh-CN"/>
        </w:rPr>
        <w:t>中标结果</w:t>
      </w:r>
      <w:bookmarkEnd w:id="649"/>
      <w:bookmarkEnd w:id="650"/>
    </w:p>
    <w:p>
      <w:pPr>
        <w:pStyle w:val="63"/>
        <w:bidi w:val="0"/>
        <w:spacing w:line="520" w:lineRule="exact"/>
        <w:rPr>
          <w:rFonts w:hint="eastAsia"/>
          <w:color w:val="auto"/>
          <w:highlight w:val="none"/>
          <w:lang w:val="en-US" w:eastAsia="zh-CN"/>
        </w:rPr>
      </w:pPr>
      <w:r>
        <w:rPr>
          <w:rFonts w:hint="eastAsia"/>
          <w:color w:val="auto"/>
          <w:highlight w:val="none"/>
          <w:lang w:val="en-US" w:eastAsia="zh-CN"/>
        </w:rPr>
        <w:t>采购代理机构在中标人确定后2个工作日内，在“中国招标投标公共服务平台”发布中标公告，同时采购代理机构将中标通知书发至中标人。</w:t>
      </w:r>
    </w:p>
    <w:p>
      <w:pPr>
        <w:pStyle w:val="63"/>
        <w:bidi w:val="0"/>
        <w:spacing w:line="520" w:lineRule="exact"/>
        <w:rPr>
          <w:rFonts w:hint="eastAsia"/>
          <w:color w:val="auto"/>
          <w:highlight w:val="none"/>
          <w:lang w:val="en-US" w:eastAsia="zh-CN"/>
        </w:rPr>
      </w:pPr>
      <w:bookmarkStart w:id="652" w:name="_Toc25350"/>
      <w:r>
        <w:rPr>
          <w:rFonts w:hint="eastAsia"/>
          <w:color w:val="auto"/>
          <w:highlight w:val="none"/>
          <w:lang w:val="en-US" w:eastAsia="zh-CN"/>
        </w:rPr>
        <w:t>采购项目需要交纳履约保证金的，中标人应当按照规定和要求及时向采购人交纳。</w:t>
      </w:r>
      <w:bookmarkEnd w:id="652"/>
    </w:p>
    <w:p>
      <w:pPr>
        <w:pStyle w:val="49"/>
        <w:bidi w:val="0"/>
        <w:spacing w:line="520" w:lineRule="exact"/>
        <w:rPr>
          <w:rFonts w:hint="eastAsia"/>
          <w:color w:val="auto"/>
          <w:highlight w:val="none"/>
        </w:rPr>
      </w:pPr>
      <w:bookmarkStart w:id="653" w:name="_Toc8386"/>
      <w:bookmarkStart w:id="654" w:name="_Toc19553"/>
      <w:r>
        <w:rPr>
          <w:rFonts w:hint="eastAsia"/>
          <w:color w:val="auto"/>
          <w:highlight w:val="none"/>
        </w:rPr>
        <w:t>中标通知</w:t>
      </w:r>
      <w:bookmarkEnd w:id="626"/>
      <w:bookmarkEnd w:id="627"/>
      <w:r>
        <w:rPr>
          <w:rFonts w:hint="eastAsia"/>
          <w:color w:val="auto"/>
          <w:highlight w:val="none"/>
        </w:rPr>
        <w:t>书</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7"/>
      <w:bookmarkEnd w:id="648"/>
      <w:bookmarkEnd w:id="651"/>
      <w:bookmarkEnd w:id="653"/>
      <w:bookmarkEnd w:id="654"/>
    </w:p>
    <w:p>
      <w:pPr>
        <w:pStyle w:val="63"/>
        <w:bidi w:val="0"/>
        <w:spacing w:line="520" w:lineRule="exact"/>
        <w:rPr>
          <w:rFonts w:hint="eastAsia"/>
          <w:color w:val="auto"/>
          <w:highlight w:val="none"/>
        </w:rPr>
      </w:pPr>
      <w:r>
        <w:rPr>
          <w:rFonts w:hint="eastAsia"/>
          <w:color w:val="auto"/>
          <w:highlight w:val="none"/>
        </w:rPr>
        <w:t>中标通知书为签订</w:t>
      </w:r>
      <w:r>
        <w:rPr>
          <w:rFonts w:hint="eastAsia"/>
          <w:color w:val="auto"/>
          <w:highlight w:val="none"/>
          <w:lang w:eastAsia="zh-CN"/>
        </w:rPr>
        <w:t>采购合同</w:t>
      </w:r>
      <w:r>
        <w:rPr>
          <w:rFonts w:hint="eastAsia"/>
          <w:color w:val="auto"/>
          <w:highlight w:val="none"/>
        </w:rPr>
        <w:t>的依据，是合同的有效组成部分。</w:t>
      </w:r>
    </w:p>
    <w:p>
      <w:pPr>
        <w:pStyle w:val="63"/>
        <w:bidi w:val="0"/>
        <w:spacing w:line="520" w:lineRule="exact"/>
        <w:rPr>
          <w:rFonts w:hint="eastAsia"/>
          <w:color w:val="auto"/>
          <w:highlight w:val="none"/>
        </w:rPr>
      </w:pPr>
      <w:r>
        <w:rPr>
          <w:rFonts w:hint="eastAsia"/>
          <w:color w:val="auto"/>
          <w:highlight w:val="none"/>
        </w:rPr>
        <w:t>中标通知书对采购人和中标人均具有法律效力。中标通知书发出后，采购人改变中标结果，或者中标人无正当理由放弃中标的，应当承担相应的法律责任。</w:t>
      </w:r>
    </w:p>
    <w:p>
      <w:pPr>
        <w:pStyle w:val="63"/>
        <w:bidi w:val="0"/>
        <w:spacing w:line="520" w:lineRule="exact"/>
        <w:rPr>
          <w:rFonts w:hint="eastAsia"/>
          <w:color w:val="auto"/>
          <w:highlight w:val="none"/>
        </w:rPr>
      </w:pPr>
      <w:r>
        <w:rPr>
          <w:rFonts w:hint="eastAsia"/>
          <w:color w:val="auto"/>
          <w:highlight w:val="none"/>
        </w:rPr>
        <w:t>中标人的投标文件本应作为无效投标处理或者有法律法规规章制度规定的中标无效情形的，采购代理机构在取得有权主体的认定以后，应当宣布发出的中标通知书无效，并收回发出的中标通知书(中标人也应当缴回)，依法重新确定中标人或者重新开展采购活动。</w:t>
      </w:r>
    </w:p>
    <w:p>
      <w:pPr>
        <w:pStyle w:val="63"/>
        <w:bidi w:val="0"/>
        <w:spacing w:line="520" w:lineRule="exact"/>
        <w:rPr>
          <w:rFonts w:hint="eastAsia"/>
          <w:color w:val="auto"/>
          <w:highlight w:val="none"/>
        </w:rPr>
      </w:pPr>
      <w:r>
        <w:rPr>
          <w:rFonts w:hint="eastAsia" w:cs="宋体"/>
          <w:color w:val="auto"/>
          <w:highlight w:val="none"/>
          <w:lang w:val="en-US" w:eastAsia="zh-CN"/>
        </w:rPr>
        <w:t>中标人应主动关注</w:t>
      </w:r>
      <w:r>
        <w:rPr>
          <w:rFonts w:hint="eastAsia"/>
          <w:color w:val="auto"/>
          <w:highlight w:val="none"/>
          <w:lang w:val="en-US" w:eastAsia="zh-CN"/>
        </w:rPr>
        <w:t>“中国招标投标公共服务平台”</w:t>
      </w:r>
      <w:r>
        <w:rPr>
          <w:rFonts w:hint="eastAsia" w:cs="宋体"/>
          <w:color w:val="auto"/>
          <w:highlight w:val="none"/>
          <w:lang w:val="en-US" w:eastAsia="zh-CN"/>
        </w:rPr>
        <w:t>公告信息，积极配合代理机构办理中标通知书事宜。</w:t>
      </w:r>
      <w:r>
        <w:rPr>
          <w:rFonts w:hint="eastAsia"/>
          <w:color w:val="auto"/>
          <w:highlight w:val="none"/>
          <w:lang w:val="en-US" w:eastAsia="zh-CN"/>
        </w:rPr>
        <w:t>逾期未主动领取</w:t>
      </w:r>
      <w:r>
        <w:rPr>
          <w:rFonts w:hint="eastAsia" w:cs="宋体"/>
          <w:color w:val="auto"/>
          <w:highlight w:val="none"/>
          <w:lang w:val="zh-CN"/>
        </w:rPr>
        <w:t>中标通知书</w:t>
      </w:r>
      <w:r>
        <w:rPr>
          <w:rFonts w:hint="eastAsia" w:cs="宋体"/>
          <w:color w:val="auto"/>
          <w:highlight w:val="none"/>
          <w:lang w:val="en-US" w:eastAsia="zh-CN"/>
        </w:rPr>
        <w:t>或不配合代理机构发出中标通知书</w:t>
      </w:r>
      <w:r>
        <w:rPr>
          <w:rFonts w:hint="eastAsia" w:cs="宋体"/>
          <w:color w:val="auto"/>
          <w:highlight w:val="none"/>
          <w:lang w:val="zh-CN"/>
        </w:rPr>
        <w:t>的</w:t>
      </w:r>
      <w:r>
        <w:rPr>
          <w:rFonts w:hint="eastAsia" w:cs="宋体"/>
          <w:color w:val="auto"/>
          <w:highlight w:val="none"/>
          <w:lang w:val="en-US" w:eastAsia="zh-CN"/>
        </w:rPr>
        <w:t>一切不利后果由中标人自行承担。</w:t>
      </w:r>
    </w:p>
    <w:p>
      <w:pPr>
        <w:pStyle w:val="43"/>
        <w:bidi w:val="0"/>
        <w:spacing w:line="520" w:lineRule="exact"/>
        <w:rPr>
          <w:rFonts w:hint="eastAsia"/>
          <w:color w:val="auto"/>
          <w:highlight w:val="none"/>
        </w:rPr>
      </w:pPr>
      <w:bookmarkStart w:id="655" w:name="_Toc327196290"/>
      <w:bookmarkStart w:id="656" w:name="_Toc13383"/>
      <w:bookmarkStart w:id="657" w:name="_Toc2685"/>
      <w:bookmarkStart w:id="658" w:name="_Toc10354"/>
      <w:bookmarkStart w:id="659" w:name="_Toc28511"/>
      <w:bookmarkStart w:id="660" w:name="_Toc30422"/>
      <w:bookmarkStart w:id="661" w:name="_Toc1969"/>
      <w:bookmarkStart w:id="662" w:name="_Toc217446064"/>
      <w:bookmarkStart w:id="663" w:name="_Toc183682377"/>
      <w:bookmarkStart w:id="664" w:name="_Toc183582240"/>
      <w:r>
        <w:rPr>
          <w:rFonts w:hint="eastAsia"/>
          <w:color w:val="auto"/>
          <w:highlight w:val="none"/>
        </w:rPr>
        <w:t>签订及履行合同和验收</w:t>
      </w:r>
      <w:bookmarkEnd w:id="655"/>
      <w:bookmarkEnd w:id="656"/>
      <w:bookmarkEnd w:id="657"/>
      <w:bookmarkEnd w:id="658"/>
      <w:bookmarkEnd w:id="659"/>
      <w:bookmarkEnd w:id="660"/>
      <w:bookmarkEnd w:id="661"/>
      <w:bookmarkEnd w:id="662"/>
    </w:p>
    <w:p>
      <w:pPr>
        <w:pStyle w:val="49"/>
        <w:numPr>
          <w:ilvl w:val="2"/>
          <w:numId w:val="17"/>
        </w:numPr>
        <w:bidi w:val="0"/>
        <w:spacing w:line="520" w:lineRule="exact"/>
        <w:rPr>
          <w:rFonts w:hint="eastAsia"/>
          <w:color w:val="auto"/>
          <w:highlight w:val="none"/>
        </w:rPr>
      </w:pPr>
      <w:bookmarkStart w:id="665" w:name="_Toc23098"/>
      <w:bookmarkStart w:id="666" w:name="_Toc217446065"/>
      <w:bookmarkStart w:id="667" w:name="_Toc319440147"/>
      <w:bookmarkStart w:id="668" w:name="_Toc5659"/>
      <w:bookmarkStart w:id="669" w:name="_Toc307501114"/>
      <w:bookmarkStart w:id="670" w:name="_Toc307564857"/>
      <w:bookmarkStart w:id="671" w:name="_Toc308188157"/>
      <w:bookmarkStart w:id="672" w:name="_Toc327196291"/>
      <w:bookmarkStart w:id="673" w:name="_Toc27214"/>
      <w:bookmarkStart w:id="674" w:name="_Toc309897520"/>
      <w:bookmarkStart w:id="675" w:name="_Toc308084602"/>
      <w:bookmarkStart w:id="676" w:name="_Toc3130"/>
      <w:bookmarkStart w:id="677" w:name="_Toc319439905"/>
      <w:bookmarkStart w:id="678" w:name="_Toc16835"/>
      <w:bookmarkStart w:id="679" w:name="_Toc20427"/>
      <w:bookmarkStart w:id="680" w:name="_Toc25992"/>
      <w:bookmarkStart w:id="681" w:name="_Toc515"/>
      <w:bookmarkStart w:id="682" w:name="_Toc24949"/>
      <w:bookmarkStart w:id="683" w:name="_Toc4460"/>
      <w:bookmarkStart w:id="684" w:name="_Toc27989"/>
      <w:bookmarkStart w:id="685" w:name="_Toc9464"/>
      <w:bookmarkStart w:id="686" w:name="_Toc24234"/>
      <w:r>
        <w:rPr>
          <w:rFonts w:hint="eastAsia"/>
          <w:color w:val="auto"/>
          <w:highlight w:val="none"/>
        </w:rPr>
        <w:t>签订合同</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pPr>
        <w:pStyle w:val="63"/>
        <w:bidi w:val="0"/>
        <w:spacing w:line="520" w:lineRule="exact"/>
        <w:rPr>
          <w:color w:val="auto"/>
          <w:highlight w:val="none"/>
        </w:rPr>
      </w:pPr>
      <w:bookmarkStart w:id="687" w:name="_Toc3758"/>
      <w:bookmarkStart w:id="688" w:name="_Toc31670"/>
      <w:bookmarkStart w:id="689" w:name="_Toc327196292"/>
      <w:bookmarkStart w:id="690" w:name="_Toc319439906"/>
      <w:bookmarkStart w:id="691" w:name="_Toc307501115"/>
      <w:bookmarkStart w:id="692" w:name="_Toc308188158"/>
      <w:bookmarkStart w:id="693" w:name="_Toc20139"/>
      <w:bookmarkStart w:id="694" w:name="_Toc308084603"/>
      <w:bookmarkStart w:id="695" w:name="_Toc319440148"/>
      <w:bookmarkStart w:id="696" w:name="_Toc307564858"/>
      <w:bookmarkStart w:id="697" w:name="_Toc309897521"/>
      <w:bookmarkStart w:id="698" w:name="_Toc12489"/>
      <w:bookmarkStart w:id="699" w:name="_Toc31397"/>
      <w:bookmarkStart w:id="700" w:name="_Toc12852"/>
      <w:bookmarkStart w:id="701" w:name="_Toc217446066"/>
      <w:bookmarkStart w:id="702" w:name="_Toc25756"/>
      <w:bookmarkStart w:id="703" w:name="_Toc24196"/>
      <w:bookmarkStart w:id="704" w:name="_Toc26000"/>
      <w:bookmarkStart w:id="705" w:name="_Toc29795"/>
      <w:r>
        <w:rPr>
          <w:rFonts w:hint="eastAsia"/>
          <w:color w:val="auto"/>
          <w:highlight w:val="none"/>
        </w:rPr>
        <w:t>中标人应在中标通知书发出</w:t>
      </w:r>
      <w:r>
        <w:rPr>
          <w:rFonts w:hint="eastAsia"/>
          <w:color w:val="auto"/>
          <w:highlight w:val="none"/>
          <w:lang w:val="en-US" w:eastAsia="zh-CN"/>
        </w:rPr>
        <w:t>后，按照招标文件第六章相关要求与</w:t>
      </w:r>
      <w:r>
        <w:rPr>
          <w:rFonts w:hint="eastAsia"/>
          <w:color w:val="auto"/>
          <w:highlight w:val="none"/>
        </w:rPr>
        <w:t>采购人签订采购合同。由于中标人的原因逾期未与采购人签订采购合同的，将视为放弃中标，取消其中标资格并将按相关规定进行处理。</w:t>
      </w:r>
      <w:r>
        <w:rPr>
          <w:rFonts w:hint="eastAsia"/>
          <w:color w:val="auto"/>
          <w:highlight w:val="none"/>
          <w:lang w:val="en-US" w:eastAsia="zh-Hans"/>
        </w:rPr>
        <w:t>若因采购人的原因未与中标人签订合同</w:t>
      </w:r>
      <w:r>
        <w:rPr>
          <w:rFonts w:hint="default"/>
          <w:color w:val="auto"/>
          <w:highlight w:val="none"/>
          <w:lang w:eastAsia="zh-Hans"/>
        </w:rPr>
        <w:t>，</w:t>
      </w:r>
      <w:r>
        <w:rPr>
          <w:rFonts w:hint="eastAsia"/>
          <w:color w:val="auto"/>
          <w:highlight w:val="none"/>
          <w:lang w:val="en-US" w:eastAsia="zh-Hans"/>
        </w:rPr>
        <w:t>采购人将向中标人支付中标人因本次采购事宜产生的标书制作等直接费用</w:t>
      </w:r>
      <w:r>
        <w:rPr>
          <w:rFonts w:hint="default"/>
          <w:color w:val="auto"/>
          <w:highlight w:val="none"/>
          <w:lang w:eastAsia="zh-Hans"/>
        </w:rPr>
        <w:t>。</w:t>
      </w:r>
    </w:p>
    <w:p>
      <w:pPr>
        <w:pStyle w:val="63"/>
        <w:bidi w:val="0"/>
        <w:spacing w:line="520" w:lineRule="exact"/>
        <w:rPr>
          <w:rFonts w:hint="eastAsia"/>
          <w:color w:val="auto"/>
          <w:highlight w:val="none"/>
        </w:rPr>
      </w:pPr>
      <w:r>
        <w:rPr>
          <w:rFonts w:hint="eastAsia"/>
          <w:color w:val="auto"/>
          <w:highlight w:val="none"/>
          <w:lang w:eastAsia="zh-CN"/>
        </w:rPr>
        <w:t>采购合同</w:t>
      </w:r>
      <w:r>
        <w:rPr>
          <w:rFonts w:hint="eastAsia"/>
          <w:color w:val="auto"/>
          <w:highlight w:val="none"/>
        </w:rPr>
        <w:t>应当包括采购人与中标人的名称和住所、标的、数量、质量、价款或者报酬、履行期限及地点和方式、验收要求、违约责任、解决争议的方法等内容。</w:t>
      </w:r>
    </w:p>
    <w:p>
      <w:pPr>
        <w:pStyle w:val="63"/>
        <w:bidi w:val="0"/>
        <w:spacing w:line="520" w:lineRule="exact"/>
        <w:rPr>
          <w:color w:val="auto"/>
          <w:highlight w:val="none"/>
        </w:rPr>
      </w:pPr>
      <w:r>
        <w:rPr>
          <w:rFonts w:hint="eastAsia"/>
          <w:color w:val="auto"/>
          <w:highlight w:val="none"/>
        </w:rPr>
        <w:t>采购人不得向中标人提出任何不合理的要求，作为签订合同的条件，不得与中标人私下订立背离合同实质性内容的任何协议，所签订的合同不得对招标文件和中标人投标文件确定的事项进行修改。</w:t>
      </w:r>
    </w:p>
    <w:p>
      <w:pPr>
        <w:pStyle w:val="63"/>
        <w:bidi w:val="0"/>
        <w:spacing w:line="520" w:lineRule="exact"/>
        <w:rPr>
          <w:color w:val="auto"/>
          <w:highlight w:val="none"/>
        </w:rPr>
      </w:pPr>
      <w:r>
        <w:rPr>
          <w:rFonts w:hint="eastAsia" w:ascii="宋体" w:hAnsi="宋体" w:eastAsia="宋体" w:cs="宋体"/>
          <w:i w:val="0"/>
          <w:iCs w:val="0"/>
          <w:caps w:val="0"/>
          <w:color w:val="auto"/>
          <w:spacing w:val="0"/>
          <w:sz w:val="24"/>
          <w:szCs w:val="24"/>
          <w:highlight w:val="none"/>
          <w:shd w:val="clear" w:fill="FFFFFF"/>
        </w:rPr>
        <w:t>采购人不得要求</w:t>
      </w:r>
      <w:r>
        <w:rPr>
          <w:rFonts w:hint="eastAsia" w:ascii="宋体" w:hAnsi="宋体" w:eastAsia="宋体" w:cs="宋体"/>
          <w:i w:val="0"/>
          <w:iCs w:val="0"/>
          <w:caps w:val="0"/>
          <w:color w:val="auto"/>
          <w:spacing w:val="0"/>
          <w:sz w:val="24"/>
          <w:szCs w:val="24"/>
          <w:highlight w:val="none"/>
          <w:shd w:val="clear" w:fill="FFFFFF"/>
          <w:lang w:val="en-US" w:eastAsia="zh-CN"/>
        </w:rPr>
        <w:t>中标</w:t>
      </w:r>
      <w:r>
        <w:rPr>
          <w:rFonts w:hint="eastAsia" w:ascii="宋体" w:hAnsi="宋体" w:eastAsia="宋体" w:cs="宋体"/>
          <w:i w:val="0"/>
          <w:iCs w:val="0"/>
          <w:caps w:val="0"/>
          <w:color w:val="auto"/>
          <w:spacing w:val="0"/>
          <w:sz w:val="24"/>
          <w:szCs w:val="24"/>
          <w:highlight w:val="none"/>
          <w:shd w:val="clear" w:fill="FFFFFF"/>
        </w:rPr>
        <w:t>供应商接受不合理的付款方式、期限、条件和违约责任等交易条件，不得约定以审计作为支付供应商款项的条件以及验收合格后分期付款和违规预留质量保证金。</w:t>
      </w:r>
    </w:p>
    <w:p>
      <w:pPr>
        <w:pStyle w:val="63"/>
        <w:bidi w:val="0"/>
        <w:spacing w:line="520" w:lineRule="exact"/>
        <w:rPr>
          <w:color w:val="auto"/>
          <w:highlight w:val="none"/>
        </w:rPr>
      </w:pPr>
      <w:r>
        <w:rPr>
          <w:rFonts w:hint="eastAsia"/>
          <w:color w:val="auto"/>
          <w:highlight w:val="none"/>
          <w:lang w:val="en-US" w:eastAsia="zh-CN"/>
        </w:rPr>
        <w:t>本项目的招标</w:t>
      </w:r>
      <w:r>
        <w:rPr>
          <w:rFonts w:hint="eastAsia"/>
          <w:color w:val="auto"/>
          <w:highlight w:val="none"/>
        </w:rPr>
        <w:t>文件、</w:t>
      </w:r>
      <w:r>
        <w:rPr>
          <w:rFonts w:hint="eastAsia"/>
          <w:color w:val="auto"/>
          <w:highlight w:val="none"/>
          <w:lang w:val="en-US" w:eastAsia="zh-CN"/>
        </w:rPr>
        <w:t>中标</w:t>
      </w:r>
      <w:r>
        <w:rPr>
          <w:rFonts w:hint="eastAsia"/>
          <w:color w:val="auto"/>
          <w:highlight w:val="none"/>
        </w:rPr>
        <w:t>供应商提交的</w:t>
      </w:r>
      <w:r>
        <w:rPr>
          <w:rFonts w:hint="eastAsia"/>
          <w:color w:val="auto"/>
          <w:highlight w:val="none"/>
          <w:lang w:val="en-US" w:eastAsia="zh-CN"/>
        </w:rPr>
        <w:t>投标</w:t>
      </w:r>
      <w:r>
        <w:rPr>
          <w:rFonts w:hint="eastAsia"/>
          <w:color w:val="auto"/>
          <w:highlight w:val="none"/>
        </w:rPr>
        <w:t>文件、</w:t>
      </w:r>
      <w:r>
        <w:rPr>
          <w:rFonts w:hint="eastAsia"/>
          <w:color w:val="auto"/>
          <w:highlight w:val="none"/>
          <w:lang w:val="en-US" w:eastAsia="zh-CN"/>
        </w:rPr>
        <w:t>评审</w:t>
      </w:r>
      <w:r>
        <w:rPr>
          <w:rFonts w:hint="eastAsia"/>
          <w:color w:val="auto"/>
          <w:highlight w:val="none"/>
        </w:rPr>
        <w:t>中的</w:t>
      </w:r>
      <w:r>
        <w:rPr>
          <w:rFonts w:hint="eastAsia"/>
          <w:color w:val="auto"/>
          <w:highlight w:val="none"/>
          <w:lang w:val="en-US" w:eastAsia="zh-CN"/>
        </w:rPr>
        <w:t>澄清</w:t>
      </w:r>
      <w:r>
        <w:rPr>
          <w:rFonts w:hint="eastAsia"/>
          <w:color w:val="auto"/>
          <w:highlight w:val="none"/>
        </w:rPr>
        <w:t>、</w:t>
      </w:r>
      <w:r>
        <w:rPr>
          <w:rFonts w:hint="eastAsia"/>
          <w:color w:val="auto"/>
          <w:highlight w:val="none"/>
          <w:lang w:val="en-US" w:eastAsia="zh-CN"/>
        </w:rPr>
        <w:t>中标</w:t>
      </w:r>
      <w:r>
        <w:rPr>
          <w:rFonts w:hint="eastAsia"/>
          <w:color w:val="auto"/>
          <w:highlight w:val="none"/>
        </w:rPr>
        <w:t>通知书等</w:t>
      </w:r>
      <w:r>
        <w:rPr>
          <w:rFonts w:hint="eastAsia"/>
          <w:color w:val="auto"/>
          <w:highlight w:val="none"/>
          <w:lang w:val="en-US" w:eastAsia="zh-CN"/>
        </w:rPr>
        <w:t>文件均具</w:t>
      </w:r>
      <w:r>
        <w:rPr>
          <w:rFonts w:hint="eastAsia"/>
          <w:color w:val="auto"/>
          <w:highlight w:val="none"/>
        </w:rPr>
        <w:t>有法律约束力</w:t>
      </w:r>
      <w:r>
        <w:rPr>
          <w:rFonts w:hint="eastAsia"/>
          <w:color w:val="auto"/>
          <w:highlight w:val="none"/>
          <w:lang w:eastAsia="zh-CN"/>
        </w:rPr>
        <w:t>，</w:t>
      </w:r>
      <w:r>
        <w:rPr>
          <w:rFonts w:hint="eastAsia"/>
          <w:color w:val="auto"/>
          <w:highlight w:val="none"/>
          <w:lang w:val="en-US" w:eastAsia="zh-CN"/>
        </w:rPr>
        <w:t>属于</w:t>
      </w:r>
      <w:r>
        <w:rPr>
          <w:rFonts w:hint="eastAsia"/>
          <w:color w:val="auto"/>
          <w:highlight w:val="none"/>
        </w:rPr>
        <w:t>合同组成</w:t>
      </w:r>
      <w:r>
        <w:rPr>
          <w:rFonts w:hint="eastAsia"/>
          <w:color w:val="auto"/>
          <w:highlight w:val="none"/>
          <w:lang w:val="en-US" w:eastAsia="zh-CN"/>
        </w:rPr>
        <w:t>部分。</w:t>
      </w:r>
    </w:p>
    <w:p>
      <w:pPr>
        <w:pStyle w:val="63"/>
        <w:bidi w:val="0"/>
        <w:spacing w:line="520" w:lineRule="exact"/>
        <w:rPr>
          <w:color w:val="auto"/>
          <w:highlight w:val="none"/>
        </w:rPr>
      </w:pPr>
      <w:r>
        <w:rPr>
          <w:rFonts w:hint="eastAsia"/>
          <w:color w:val="auto"/>
          <w:highlight w:val="none"/>
        </w:rPr>
        <w:t>中标供应商拒绝与采购人签订合同的，采购人可以按照评审报告推荐的中标候选人名单排序，确定下一候选人为中标供应商，也可以重新开展</w:t>
      </w:r>
      <w:r>
        <w:rPr>
          <w:rFonts w:hint="eastAsia"/>
          <w:color w:val="auto"/>
          <w:highlight w:val="none"/>
          <w:lang w:eastAsia="zh-CN"/>
        </w:rPr>
        <w:t>采购</w:t>
      </w:r>
      <w:r>
        <w:rPr>
          <w:rFonts w:hint="eastAsia"/>
          <w:color w:val="auto"/>
          <w:highlight w:val="none"/>
        </w:rPr>
        <w:t>活动。</w:t>
      </w:r>
    </w:p>
    <w:p>
      <w:pPr>
        <w:pStyle w:val="63"/>
        <w:bidi w:val="0"/>
        <w:spacing w:line="520" w:lineRule="exact"/>
        <w:rPr>
          <w:b/>
          <w:bCs/>
          <w:color w:val="auto"/>
          <w:highlight w:val="none"/>
        </w:rPr>
      </w:pPr>
      <w:r>
        <w:rPr>
          <w:rFonts w:hint="eastAsia"/>
          <w:b/>
          <w:bCs/>
          <w:color w:val="auto"/>
          <w:highlight w:val="none"/>
        </w:rPr>
        <w:t>中标人在合同签订之后2个工作日内，将签订的合同(</w:t>
      </w:r>
      <w:r>
        <w:rPr>
          <w:rFonts w:hint="eastAsia"/>
          <w:b/>
          <w:bCs/>
          <w:color w:val="auto"/>
          <w:highlight w:val="none"/>
          <w:lang w:val="en-US" w:eastAsia="zh-CN"/>
        </w:rPr>
        <w:t>1</w:t>
      </w:r>
      <w:r>
        <w:rPr>
          <w:rFonts w:hint="eastAsia"/>
          <w:b/>
          <w:bCs/>
          <w:color w:val="auto"/>
          <w:highlight w:val="none"/>
        </w:rPr>
        <w:t>份)送采购代理机构进行</w:t>
      </w:r>
      <w:r>
        <w:rPr>
          <w:rFonts w:hint="eastAsia"/>
          <w:b/>
          <w:bCs/>
          <w:color w:val="auto"/>
          <w:highlight w:val="none"/>
          <w:lang w:val="en-US" w:eastAsia="zh-CN"/>
        </w:rPr>
        <w:t>归档留存(也可将签订的采购合同扫描成PDF格式版本发送至</w:t>
      </w:r>
      <w:r>
        <w:rPr>
          <w:rFonts w:hint="eastAsia"/>
          <w:b/>
          <w:bCs/>
          <w:color w:val="auto"/>
          <w:highlight w:val="none"/>
          <w:lang w:val="en-US" w:eastAsia="zh-CN"/>
        </w:rPr>
        <w:fldChar w:fldCharType="begin"/>
      </w:r>
      <w:r>
        <w:rPr>
          <w:rFonts w:hint="eastAsia"/>
          <w:b/>
          <w:bCs/>
          <w:color w:val="auto"/>
          <w:highlight w:val="none"/>
          <w:lang w:val="en-US" w:eastAsia="zh-CN"/>
        </w:rPr>
        <w:instrText xml:space="preserve"> HYPERLINK "mailto:scqxzb@163.com" </w:instrText>
      </w:r>
      <w:r>
        <w:rPr>
          <w:rFonts w:hint="eastAsia"/>
          <w:b/>
          <w:bCs/>
          <w:color w:val="auto"/>
          <w:highlight w:val="none"/>
          <w:lang w:val="en-US" w:eastAsia="zh-CN"/>
        </w:rPr>
        <w:fldChar w:fldCharType="separate"/>
      </w:r>
      <w:r>
        <w:rPr>
          <w:rFonts w:hint="eastAsia"/>
          <w:b/>
          <w:bCs/>
          <w:color w:val="auto"/>
          <w:highlight w:val="none"/>
          <w:lang w:val="en-US" w:eastAsia="zh-CN"/>
        </w:rPr>
        <w:t>scqxzb@163.com</w:t>
      </w:r>
      <w:r>
        <w:rPr>
          <w:rFonts w:hint="eastAsia"/>
          <w:b/>
          <w:bCs/>
          <w:color w:val="auto"/>
          <w:highlight w:val="none"/>
          <w:lang w:val="en-US" w:eastAsia="zh-CN"/>
        </w:rPr>
        <w:fldChar w:fldCharType="end"/>
      </w:r>
      <w:r>
        <w:rPr>
          <w:rFonts w:hint="eastAsia"/>
          <w:b/>
          <w:bCs/>
          <w:color w:val="auto"/>
          <w:highlight w:val="none"/>
          <w:lang w:val="en-US" w:eastAsia="zh-CN"/>
        </w:rPr>
        <w:t>，邮件命名为“采购合同-项目名称-供应商名称”)</w:t>
      </w:r>
      <w:r>
        <w:rPr>
          <w:rFonts w:hint="eastAsia"/>
          <w:b/>
          <w:bCs/>
          <w:color w:val="auto"/>
          <w:highlight w:val="none"/>
        </w:rPr>
        <w:t>。</w:t>
      </w:r>
    </w:p>
    <w:p>
      <w:pPr>
        <w:pStyle w:val="49"/>
        <w:numPr>
          <w:ilvl w:val="2"/>
          <w:numId w:val="17"/>
        </w:numPr>
        <w:bidi w:val="0"/>
        <w:spacing w:line="520" w:lineRule="exact"/>
        <w:rPr>
          <w:rFonts w:hint="eastAsia"/>
          <w:color w:val="auto"/>
          <w:highlight w:val="none"/>
          <w:lang w:val="en-US"/>
        </w:rPr>
      </w:pPr>
      <w:bookmarkStart w:id="706" w:name="_Toc12864"/>
      <w:bookmarkStart w:id="707" w:name="_Toc4855"/>
      <w:bookmarkStart w:id="708" w:name="_Toc7894"/>
      <w:r>
        <w:rPr>
          <w:rFonts w:hint="eastAsia"/>
          <w:color w:val="auto"/>
          <w:highlight w:val="none"/>
        </w:rPr>
        <w:t>合同</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r>
        <w:rPr>
          <w:rFonts w:hint="eastAsia"/>
          <w:color w:val="auto"/>
          <w:highlight w:val="none"/>
        </w:rPr>
        <w:t>分包</w:t>
      </w:r>
      <w:bookmarkEnd w:id="702"/>
      <w:bookmarkEnd w:id="703"/>
      <w:r>
        <w:rPr>
          <w:rFonts w:hint="eastAsia"/>
          <w:color w:val="auto"/>
          <w:highlight w:val="none"/>
          <w:lang w:val="en-US" w:eastAsia="zh-CN"/>
        </w:rPr>
        <w:t>(实质性要求)</w:t>
      </w:r>
      <w:bookmarkEnd w:id="704"/>
      <w:bookmarkEnd w:id="705"/>
      <w:bookmarkEnd w:id="706"/>
      <w:bookmarkEnd w:id="707"/>
      <w:bookmarkEnd w:id="708"/>
    </w:p>
    <w:p>
      <w:pPr>
        <w:pStyle w:val="46"/>
        <w:keepNext w:val="0"/>
        <w:keepLines w:val="0"/>
        <w:pageBreakBefore w:val="0"/>
        <w:widowControl w:val="0"/>
        <w:kinsoku/>
        <w:overflowPunct/>
        <w:autoSpaceDE/>
        <w:autoSpaceDN/>
        <w:bidi w:val="0"/>
        <w:adjustRightInd w:val="0"/>
        <w:snapToGrid w:val="0"/>
        <w:spacing w:line="520" w:lineRule="exact"/>
        <w:textAlignment w:val="auto"/>
        <w:rPr>
          <w:rFonts w:hint="eastAsia" w:ascii="宋体" w:hAnsi="宋体" w:eastAsia="宋体" w:cstheme="minorBidi"/>
          <w:color w:val="auto"/>
          <w:kern w:val="2"/>
          <w:sz w:val="24"/>
          <w:szCs w:val="24"/>
          <w:highlight w:val="none"/>
          <w:lang w:val="en-US" w:eastAsia="zh-CN" w:bidi="ar-SA"/>
        </w:rPr>
      </w:pPr>
      <w:bookmarkStart w:id="709" w:name="_Toc5242"/>
      <w:bookmarkStart w:id="710" w:name="_Toc28937"/>
      <w:bookmarkStart w:id="711" w:name="_Toc29526"/>
      <w:bookmarkStart w:id="712" w:name="_Toc319440149"/>
      <w:bookmarkStart w:id="713" w:name="_Toc307501116"/>
      <w:bookmarkStart w:id="714" w:name="_Toc327196293"/>
      <w:bookmarkStart w:id="715" w:name="_Toc309897522"/>
      <w:bookmarkStart w:id="716" w:name="_Toc16143"/>
      <w:bookmarkStart w:id="717" w:name="_Toc307564859"/>
      <w:bookmarkStart w:id="718" w:name="_Toc30954"/>
      <w:bookmarkStart w:id="719" w:name="_Toc15644"/>
      <w:bookmarkStart w:id="720" w:name="_Toc30827"/>
      <w:bookmarkStart w:id="721" w:name="_Toc308084604"/>
      <w:bookmarkStart w:id="722" w:name="_Toc217446067"/>
      <w:bookmarkStart w:id="723" w:name="_Toc19999"/>
      <w:bookmarkStart w:id="724" w:name="_Toc308188159"/>
      <w:bookmarkStart w:id="725" w:name="_Toc29332"/>
      <w:bookmarkStart w:id="726" w:name="_Toc29842"/>
      <w:bookmarkStart w:id="727" w:name="_Toc319439907"/>
      <w:bookmarkStart w:id="728" w:name="_Toc29552"/>
      <w:r>
        <w:rPr>
          <w:rFonts w:hint="eastAsia"/>
          <w:color w:val="auto"/>
          <w:highlight w:val="none"/>
          <w:lang w:val="en-US" w:eastAsia="zh-CN"/>
        </w:rPr>
        <w:t>本项目不允许供应商以合同分包形式进行投标</w:t>
      </w:r>
      <w:r>
        <w:rPr>
          <w:rFonts w:hint="eastAsia" w:ascii="宋体" w:hAnsi="宋体" w:eastAsia="宋体" w:cstheme="minorBidi"/>
          <w:color w:val="auto"/>
          <w:kern w:val="2"/>
          <w:sz w:val="24"/>
          <w:szCs w:val="24"/>
          <w:highlight w:val="none"/>
          <w:lang w:val="en-US" w:eastAsia="zh-CN" w:bidi="ar-SA"/>
        </w:rPr>
        <w:t>。</w:t>
      </w:r>
    </w:p>
    <w:p>
      <w:pPr>
        <w:pStyle w:val="49"/>
        <w:numPr>
          <w:ilvl w:val="2"/>
          <w:numId w:val="17"/>
        </w:numPr>
        <w:bidi w:val="0"/>
        <w:spacing w:line="520" w:lineRule="exact"/>
        <w:rPr>
          <w:rFonts w:hint="eastAsia"/>
          <w:color w:val="auto"/>
          <w:highlight w:val="none"/>
        </w:rPr>
      </w:pPr>
      <w:bookmarkStart w:id="729" w:name="_Toc5596"/>
      <w:bookmarkStart w:id="730" w:name="_Toc30895"/>
      <w:r>
        <w:rPr>
          <w:rFonts w:hint="eastAsia"/>
          <w:color w:val="auto"/>
          <w:highlight w:val="none"/>
        </w:rPr>
        <w:t>合同转包</w:t>
      </w:r>
      <w:r>
        <w:rPr>
          <w:rFonts w:hint="eastAsia"/>
          <w:color w:val="auto"/>
          <w:highlight w:val="none"/>
          <w:lang w:val="en-US" w:eastAsia="zh-CN"/>
        </w:rPr>
        <w:t>(实质性要求)</w:t>
      </w:r>
      <w:bookmarkEnd w:id="709"/>
      <w:bookmarkEnd w:id="710"/>
      <w:bookmarkEnd w:id="711"/>
      <w:bookmarkEnd w:id="729"/>
      <w:bookmarkEnd w:id="730"/>
    </w:p>
    <w:p>
      <w:pPr>
        <w:pStyle w:val="46"/>
        <w:bidi w:val="0"/>
        <w:spacing w:line="520" w:lineRule="exact"/>
        <w:rPr>
          <w:rFonts w:hint="eastAsia"/>
          <w:color w:val="auto"/>
          <w:highlight w:val="none"/>
        </w:rPr>
      </w:pPr>
      <w:r>
        <w:rPr>
          <w:rFonts w:hint="eastAsia"/>
          <w:color w:val="auto"/>
          <w:highlight w:val="none"/>
        </w:rPr>
        <w:t>本项目</w:t>
      </w:r>
      <w:r>
        <w:rPr>
          <w:rFonts w:hint="eastAsia"/>
          <w:color w:val="auto"/>
          <w:highlight w:val="none"/>
          <w:lang w:val="en-US" w:eastAsia="zh-CN"/>
        </w:rPr>
        <w:t>禁止</w:t>
      </w:r>
      <w:r>
        <w:rPr>
          <w:rFonts w:hint="eastAsia"/>
          <w:color w:val="auto"/>
          <w:highlight w:val="none"/>
        </w:rPr>
        <w:t>中标人将任何</w:t>
      </w:r>
      <w:r>
        <w:rPr>
          <w:rFonts w:hint="eastAsia"/>
          <w:color w:val="auto"/>
          <w:highlight w:val="none"/>
          <w:lang w:eastAsia="zh-CN"/>
        </w:rPr>
        <w:t>采购合同</w:t>
      </w:r>
      <w:r>
        <w:rPr>
          <w:rFonts w:hint="eastAsia"/>
          <w:color w:val="auto"/>
          <w:highlight w:val="none"/>
        </w:rPr>
        <w:t>义务转包。本项目所称转包，是指中标人将</w:t>
      </w:r>
      <w:r>
        <w:rPr>
          <w:rFonts w:hint="eastAsia"/>
          <w:color w:val="auto"/>
          <w:highlight w:val="none"/>
          <w:lang w:eastAsia="zh-CN"/>
        </w:rPr>
        <w:t>采购合同</w:t>
      </w:r>
      <w:r>
        <w:rPr>
          <w:rFonts w:hint="eastAsia"/>
          <w:color w:val="auto"/>
          <w:highlight w:val="none"/>
        </w:rPr>
        <w:t>义务转让给第三人，并退出现有</w:t>
      </w:r>
      <w:r>
        <w:rPr>
          <w:rFonts w:hint="eastAsia"/>
          <w:color w:val="auto"/>
          <w:highlight w:val="none"/>
          <w:lang w:eastAsia="zh-CN"/>
        </w:rPr>
        <w:t>采购合同</w:t>
      </w:r>
      <w:r>
        <w:rPr>
          <w:rFonts w:hint="eastAsia"/>
          <w:color w:val="auto"/>
          <w:highlight w:val="none"/>
        </w:rPr>
        <w:t>当事人双方的权利义务关系，受让人(即第三人)成为</w:t>
      </w:r>
      <w:r>
        <w:rPr>
          <w:rFonts w:hint="eastAsia"/>
          <w:color w:val="auto"/>
          <w:highlight w:val="none"/>
          <w:lang w:eastAsia="zh-CN"/>
        </w:rPr>
        <w:t>采购合同</w:t>
      </w:r>
      <w:r>
        <w:rPr>
          <w:rFonts w:hint="eastAsia"/>
          <w:color w:val="auto"/>
          <w:highlight w:val="none"/>
        </w:rPr>
        <w:t>的另一方当事人的行为。</w:t>
      </w:r>
    </w:p>
    <w:p>
      <w:pPr>
        <w:pStyle w:val="46"/>
        <w:bidi w:val="0"/>
        <w:spacing w:line="520" w:lineRule="exact"/>
        <w:rPr>
          <w:rFonts w:hint="eastAsia"/>
          <w:color w:val="auto"/>
          <w:highlight w:val="none"/>
        </w:rPr>
      </w:pPr>
      <w:r>
        <w:rPr>
          <w:rFonts w:hint="eastAsia"/>
          <w:color w:val="auto"/>
          <w:highlight w:val="none"/>
        </w:rPr>
        <w:t>中标人转包的，视同拒绝履行</w:t>
      </w:r>
      <w:r>
        <w:rPr>
          <w:rFonts w:hint="eastAsia"/>
          <w:color w:val="auto"/>
          <w:highlight w:val="none"/>
          <w:lang w:eastAsia="zh-CN"/>
        </w:rPr>
        <w:t>采购合同</w:t>
      </w:r>
      <w:r>
        <w:rPr>
          <w:rFonts w:hint="eastAsia"/>
          <w:color w:val="auto"/>
          <w:highlight w:val="none"/>
        </w:rPr>
        <w:t>义务，将依法追究法律责任。</w:t>
      </w:r>
    </w:p>
    <w:p>
      <w:pPr>
        <w:pStyle w:val="49"/>
        <w:numPr>
          <w:ilvl w:val="2"/>
          <w:numId w:val="17"/>
        </w:numPr>
        <w:bidi w:val="0"/>
        <w:spacing w:line="520" w:lineRule="exact"/>
        <w:rPr>
          <w:rFonts w:hint="eastAsia"/>
          <w:color w:val="auto"/>
          <w:highlight w:val="none"/>
        </w:rPr>
      </w:pPr>
      <w:bookmarkStart w:id="731" w:name="_Toc10561"/>
      <w:bookmarkStart w:id="732" w:name="_Toc9500"/>
      <w:bookmarkStart w:id="733" w:name="_Toc11992"/>
      <w:bookmarkStart w:id="734" w:name="_Toc9592"/>
      <w:bookmarkStart w:id="735" w:name="_Toc12603"/>
      <w:r>
        <w:rPr>
          <w:rFonts w:hint="eastAsia"/>
          <w:color w:val="auto"/>
          <w:highlight w:val="none"/>
        </w:rPr>
        <w:t>补充合同</w:t>
      </w:r>
      <w:bookmarkEnd w:id="731"/>
      <w:bookmarkEnd w:id="732"/>
      <w:bookmarkEnd w:id="733"/>
      <w:bookmarkEnd w:id="734"/>
      <w:bookmarkEnd w:id="735"/>
    </w:p>
    <w:p>
      <w:pPr>
        <w:pStyle w:val="46"/>
        <w:bidi w:val="0"/>
        <w:spacing w:line="520" w:lineRule="exact"/>
        <w:rPr>
          <w:rFonts w:hint="eastAsia"/>
          <w:color w:val="auto"/>
          <w:highlight w:val="none"/>
        </w:rPr>
      </w:pPr>
      <w:r>
        <w:rPr>
          <w:rFonts w:hint="eastAsia"/>
          <w:color w:val="auto"/>
          <w:highlight w:val="none"/>
        </w:rPr>
        <w:t>采购合同履行过程中，采购人需要追加与合同标的相同的货物或者服务的，在不改变合同其他条款的前提下，可以与</w:t>
      </w:r>
      <w:r>
        <w:rPr>
          <w:rFonts w:hint="eastAsia"/>
          <w:color w:val="auto"/>
          <w:highlight w:val="none"/>
          <w:lang w:eastAsia="zh-CN"/>
        </w:rPr>
        <w:t>中标人</w:t>
      </w:r>
      <w:r>
        <w:rPr>
          <w:rFonts w:hint="eastAsia"/>
          <w:color w:val="auto"/>
          <w:highlight w:val="none"/>
        </w:rPr>
        <w:t>协商签订补充合同，但所有补充合同的采购金额不得超过原合同采购金额的百分之十，该补充合同应当在原</w:t>
      </w:r>
      <w:r>
        <w:rPr>
          <w:rFonts w:hint="eastAsia"/>
          <w:color w:val="auto"/>
          <w:highlight w:val="none"/>
          <w:lang w:eastAsia="zh-CN"/>
        </w:rPr>
        <w:t>采购合同</w:t>
      </w:r>
      <w:r>
        <w:rPr>
          <w:rFonts w:hint="eastAsia"/>
          <w:color w:val="auto"/>
          <w:highlight w:val="none"/>
        </w:rPr>
        <w:t>履行过程中，不得在原</w:t>
      </w:r>
      <w:r>
        <w:rPr>
          <w:rFonts w:hint="eastAsia"/>
          <w:color w:val="auto"/>
          <w:highlight w:val="none"/>
          <w:lang w:eastAsia="zh-CN"/>
        </w:rPr>
        <w:t>采购合同</w:t>
      </w:r>
      <w:r>
        <w:rPr>
          <w:rFonts w:hint="eastAsia"/>
          <w:color w:val="auto"/>
          <w:highlight w:val="none"/>
        </w:rPr>
        <w:t>履行结束后，且采购货物、服务的名称、价格、履约方式、验收标准等必须与原</w:t>
      </w:r>
      <w:r>
        <w:rPr>
          <w:rFonts w:hint="eastAsia"/>
          <w:color w:val="auto"/>
          <w:highlight w:val="none"/>
          <w:lang w:eastAsia="zh-CN"/>
        </w:rPr>
        <w:t>采购合同</w:t>
      </w:r>
      <w:r>
        <w:rPr>
          <w:rFonts w:hint="eastAsia"/>
          <w:color w:val="auto"/>
          <w:highlight w:val="none"/>
        </w:rPr>
        <w:t>一致。</w:t>
      </w:r>
    </w:p>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pPr>
        <w:pStyle w:val="49"/>
        <w:numPr>
          <w:ilvl w:val="2"/>
          <w:numId w:val="17"/>
        </w:numPr>
        <w:bidi w:val="0"/>
        <w:spacing w:line="520" w:lineRule="exact"/>
        <w:rPr>
          <w:rFonts w:hint="eastAsia"/>
          <w:color w:val="auto"/>
          <w:highlight w:val="none"/>
        </w:rPr>
      </w:pPr>
      <w:bookmarkStart w:id="736" w:name="_Toc308164812"/>
      <w:bookmarkStart w:id="737" w:name="_Toc31704"/>
      <w:bookmarkStart w:id="738" w:name="_Toc24237"/>
      <w:bookmarkStart w:id="739" w:name="_Toc24147"/>
      <w:bookmarkStart w:id="740" w:name="_Toc6124"/>
      <w:bookmarkStart w:id="741" w:name="_Toc5419"/>
      <w:bookmarkStart w:id="742" w:name="_Toc308188160"/>
      <w:bookmarkStart w:id="743" w:name="_Toc11533"/>
      <w:bookmarkStart w:id="744" w:name="_Toc16034"/>
      <w:bookmarkStart w:id="745" w:name="_Toc30856"/>
      <w:bookmarkStart w:id="746" w:name="_Toc217446068"/>
      <w:bookmarkStart w:id="747" w:name="_Toc28404"/>
      <w:bookmarkStart w:id="748" w:name="_Toc308084605"/>
      <w:bookmarkStart w:id="749" w:name="_Toc319439908"/>
      <w:bookmarkStart w:id="750" w:name="_Toc27686"/>
      <w:bookmarkStart w:id="751" w:name="_Toc22746"/>
      <w:bookmarkStart w:id="752" w:name="_Toc309897523"/>
      <w:bookmarkStart w:id="753" w:name="_Toc27331"/>
      <w:bookmarkStart w:id="754" w:name="_Toc327196294"/>
      <w:bookmarkStart w:id="755" w:name="_Toc307564860"/>
      <w:bookmarkStart w:id="756" w:name="_Toc19537"/>
      <w:bookmarkStart w:id="757" w:name="_Toc319440150"/>
      <w:bookmarkStart w:id="758" w:name="_Toc307501117"/>
      <w:r>
        <w:rPr>
          <w:rFonts w:hint="eastAsia"/>
          <w:color w:val="auto"/>
          <w:highlight w:val="none"/>
        </w:rPr>
        <w:t>履约保证金</w:t>
      </w:r>
      <w:bookmarkEnd w:id="736"/>
      <w:r>
        <w:rPr>
          <w:rFonts w:hint="eastAsia"/>
          <w:color w:val="auto"/>
          <w:highlight w:val="none"/>
          <w:lang w:val="en-US" w:eastAsia="zh-CN"/>
        </w:rPr>
        <w:t>(实质性要求)</w:t>
      </w:r>
      <w:bookmarkEnd w:id="737"/>
      <w:bookmarkEnd w:id="738"/>
      <w:bookmarkEnd w:id="739"/>
      <w:bookmarkEnd w:id="740"/>
      <w:bookmarkEnd w:id="741"/>
    </w:p>
    <w:p>
      <w:pPr>
        <w:pStyle w:val="46"/>
        <w:bidi w:val="0"/>
        <w:spacing w:line="520" w:lineRule="exact"/>
        <w:rPr>
          <w:rFonts w:hint="eastAsia"/>
          <w:color w:val="auto"/>
          <w:highlight w:val="none"/>
          <w:lang w:val="en-US" w:eastAsia="zh-CN"/>
        </w:rPr>
      </w:pPr>
      <w:r>
        <w:rPr>
          <w:rFonts w:hint="eastAsia"/>
          <w:color w:val="auto"/>
          <w:highlight w:val="none"/>
          <w:lang w:val="en-US" w:eastAsia="zh-CN"/>
        </w:rPr>
        <w:t>详见招标文件第六章。</w:t>
      </w:r>
    </w:p>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Pr>
        <w:pStyle w:val="49"/>
        <w:numPr>
          <w:ilvl w:val="2"/>
          <w:numId w:val="17"/>
        </w:numPr>
        <w:bidi w:val="0"/>
        <w:spacing w:line="520" w:lineRule="exact"/>
        <w:rPr>
          <w:rFonts w:hint="eastAsia"/>
          <w:color w:val="auto"/>
          <w:highlight w:val="none"/>
        </w:rPr>
      </w:pPr>
      <w:bookmarkStart w:id="759" w:name="_Toc13194"/>
      <w:bookmarkStart w:id="760" w:name="_Toc15310"/>
      <w:bookmarkStart w:id="761" w:name="_Toc22407"/>
      <w:bookmarkStart w:id="762" w:name="_Toc8785"/>
      <w:bookmarkStart w:id="763" w:name="_Toc29503"/>
      <w:bookmarkStart w:id="764" w:name="_Toc27872"/>
      <w:bookmarkStart w:id="765" w:name="_Toc319440152"/>
      <w:bookmarkStart w:id="766" w:name="_Toc319439910"/>
      <w:bookmarkStart w:id="767" w:name="_Toc309897525"/>
      <w:bookmarkStart w:id="768" w:name="_Toc308188162"/>
      <w:bookmarkStart w:id="769" w:name="_Toc307564862"/>
      <w:bookmarkStart w:id="770" w:name="_Toc308084607"/>
      <w:bookmarkStart w:id="771" w:name="_Toc27114"/>
      <w:bookmarkStart w:id="772" w:name="_Toc9916"/>
      <w:bookmarkStart w:id="773" w:name="_Toc307501119"/>
      <w:bookmarkStart w:id="774" w:name="_Toc17018"/>
      <w:bookmarkStart w:id="775" w:name="_Toc18547"/>
      <w:bookmarkStart w:id="776" w:name="_Toc327196296"/>
      <w:bookmarkStart w:id="777" w:name="_Toc15219"/>
      <w:bookmarkStart w:id="778" w:name="_Toc9815"/>
      <w:bookmarkStart w:id="779" w:name="_Toc5754"/>
      <w:bookmarkStart w:id="780" w:name="_Toc217446070"/>
      <w:r>
        <w:rPr>
          <w:rFonts w:hint="eastAsia"/>
          <w:color w:val="auto"/>
          <w:highlight w:val="none"/>
        </w:rPr>
        <w:t>履行合同</w:t>
      </w:r>
      <w:bookmarkEnd w:id="759"/>
      <w:bookmarkEnd w:id="760"/>
      <w:bookmarkEnd w:id="761"/>
      <w:bookmarkEnd w:id="762"/>
      <w:bookmarkEnd w:id="763"/>
    </w:p>
    <w:p>
      <w:pPr>
        <w:pStyle w:val="63"/>
        <w:bidi w:val="0"/>
        <w:spacing w:line="520" w:lineRule="exact"/>
        <w:rPr>
          <w:color w:val="auto"/>
          <w:highlight w:val="none"/>
        </w:rPr>
      </w:pPr>
      <w:bookmarkStart w:id="781" w:name="_Toc31"/>
      <w:bookmarkStart w:id="782" w:name="_Toc12435"/>
      <w:r>
        <w:rPr>
          <w:rFonts w:hint="eastAsia"/>
          <w:color w:val="auto"/>
          <w:highlight w:val="none"/>
        </w:rPr>
        <w:t>采购人与中标人应当根据合同的约定依法履行合同义务。</w:t>
      </w:r>
    </w:p>
    <w:p>
      <w:pPr>
        <w:pStyle w:val="63"/>
        <w:bidi w:val="0"/>
        <w:spacing w:line="520" w:lineRule="exact"/>
        <w:rPr>
          <w:rFonts w:hint="eastAsia"/>
          <w:color w:val="auto"/>
          <w:highlight w:val="none"/>
          <w:lang w:eastAsia="zh-CN"/>
        </w:rPr>
      </w:pPr>
      <w:r>
        <w:rPr>
          <w:rFonts w:hint="eastAsia"/>
          <w:color w:val="auto"/>
          <w:highlight w:val="none"/>
          <w:lang w:eastAsia="zh-CN"/>
        </w:rPr>
        <w:t>采购合同</w:t>
      </w:r>
      <w:r>
        <w:rPr>
          <w:rFonts w:hint="eastAsia"/>
          <w:color w:val="auto"/>
          <w:highlight w:val="none"/>
        </w:rPr>
        <w:t>的履行、违约责任和解决争议的方法等适用</w:t>
      </w:r>
      <w:r>
        <w:rPr>
          <w:rFonts w:hint="eastAsia"/>
          <w:color w:val="auto"/>
          <w:highlight w:val="none"/>
          <w:lang w:eastAsia="zh-CN"/>
        </w:rPr>
        <w:t>《中华人民共和国民法典》。</w:t>
      </w:r>
    </w:p>
    <w:p>
      <w:pPr>
        <w:pStyle w:val="49"/>
        <w:numPr>
          <w:ilvl w:val="2"/>
          <w:numId w:val="17"/>
        </w:numPr>
        <w:bidi w:val="0"/>
        <w:spacing w:line="520" w:lineRule="exact"/>
        <w:rPr>
          <w:rFonts w:hint="eastAsia"/>
          <w:color w:val="auto"/>
          <w:highlight w:val="none"/>
        </w:rPr>
      </w:pPr>
      <w:bookmarkStart w:id="783" w:name="_Toc26839"/>
      <w:bookmarkStart w:id="784" w:name="_Toc24734"/>
      <w:bookmarkStart w:id="785" w:name="_Toc22276"/>
      <w:r>
        <w:rPr>
          <w:rFonts w:hint="eastAsia"/>
          <w:color w:val="auto"/>
          <w:highlight w:val="none"/>
        </w:rPr>
        <w:t>验收</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bookmarkEnd w:id="663"/>
    <w:bookmarkEnd w:id="664"/>
    <w:p>
      <w:pPr>
        <w:pStyle w:val="46"/>
        <w:bidi w:val="0"/>
        <w:spacing w:line="520" w:lineRule="exact"/>
        <w:rPr>
          <w:rFonts w:hint="default" w:eastAsia="宋体"/>
          <w:b w:val="0"/>
          <w:bCs/>
          <w:color w:val="auto"/>
          <w:highlight w:val="none"/>
          <w:lang w:val="en-US" w:eastAsia="zh-CN"/>
        </w:rPr>
      </w:pPr>
      <w:bookmarkStart w:id="786" w:name="_Toc308164818"/>
      <w:bookmarkStart w:id="787" w:name="_Toc2566"/>
      <w:bookmarkStart w:id="788" w:name="_Toc3266"/>
      <w:bookmarkStart w:id="789" w:name="_Toc16716"/>
      <w:bookmarkStart w:id="790" w:name="_Toc17896"/>
      <w:bookmarkStart w:id="791" w:name="_Toc327196297"/>
      <w:bookmarkStart w:id="792" w:name="_Toc16219"/>
      <w:bookmarkStart w:id="793" w:name="_Toc217446074"/>
      <w:bookmarkStart w:id="794" w:name="_Toc183682380"/>
      <w:bookmarkStart w:id="795" w:name="_Toc183582243"/>
      <w:r>
        <w:rPr>
          <w:rFonts w:hint="eastAsia"/>
          <w:b w:val="0"/>
          <w:bCs/>
          <w:color w:val="auto"/>
          <w:highlight w:val="none"/>
          <w:lang w:val="en-US" w:eastAsia="zh-CN"/>
        </w:rPr>
        <w:t>详见招标文件第六章</w:t>
      </w:r>
    </w:p>
    <w:p>
      <w:pPr>
        <w:pStyle w:val="49"/>
        <w:numPr>
          <w:ilvl w:val="2"/>
          <w:numId w:val="17"/>
        </w:numPr>
        <w:bidi w:val="0"/>
        <w:spacing w:line="520" w:lineRule="exact"/>
        <w:rPr>
          <w:rFonts w:hint="eastAsia"/>
          <w:color w:val="auto"/>
          <w:highlight w:val="none"/>
        </w:rPr>
      </w:pPr>
      <w:bookmarkStart w:id="796" w:name="_Toc4693"/>
      <w:r>
        <w:rPr>
          <w:rFonts w:hint="eastAsia"/>
          <w:color w:val="auto"/>
          <w:highlight w:val="none"/>
        </w:rPr>
        <w:t>资金支付</w:t>
      </w:r>
      <w:bookmarkEnd w:id="786"/>
      <w:r>
        <w:rPr>
          <w:rFonts w:hint="eastAsia"/>
          <w:color w:val="auto"/>
          <w:highlight w:val="none"/>
          <w:lang w:val="en-US" w:eastAsia="zh-CN"/>
        </w:rPr>
        <w:t>方式、时间、条件</w:t>
      </w:r>
      <w:bookmarkEnd w:id="787"/>
      <w:bookmarkEnd w:id="788"/>
      <w:bookmarkEnd w:id="789"/>
      <w:bookmarkEnd w:id="790"/>
      <w:bookmarkEnd w:id="796"/>
    </w:p>
    <w:p>
      <w:pPr>
        <w:pStyle w:val="63"/>
        <w:numPr>
          <w:ilvl w:val="3"/>
          <w:numId w:val="0"/>
        </w:numPr>
        <w:bidi w:val="0"/>
        <w:spacing w:line="520" w:lineRule="exact"/>
        <w:ind w:leftChars="200"/>
        <w:rPr>
          <w:rFonts w:hint="eastAsia"/>
          <w:color w:val="auto"/>
          <w:highlight w:val="none"/>
        </w:rPr>
      </w:pPr>
      <w:r>
        <w:rPr>
          <w:rFonts w:hint="eastAsia"/>
          <w:color w:val="auto"/>
          <w:highlight w:val="none"/>
          <w:lang w:val="en-US" w:eastAsia="zh-CN"/>
        </w:rPr>
        <w:t>详见招标文件第六章</w:t>
      </w:r>
      <w:r>
        <w:rPr>
          <w:rFonts w:hint="eastAsia"/>
          <w:color w:val="auto"/>
          <w:highlight w:val="none"/>
          <w:lang w:eastAsia="zh-CN"/>
        </w:rPr>
        <w:t>。</w:t>
      </w:r>
    </w:p>
    <w:p>
      <w:pPr>
        <w:pStyle w:val="43"/>
        <w:bidi w:val="0"/>
        <w:spacing w:line="520" w:lineRule="exact"/>
        <w:rPr>
          <w:rFonts w:hint="eastAsia"/>
          <w:color w:val="auto"/>
          <w:highlight w:val="none"/>
        </w:rPr>
      </w:pPr>
      <w:bookmarkStart w:id="797" w:name="_Toc3955"/>
      <w:bookmarkStart w:id="798" w:name="_Toc21534"/>
      <w:bookmarkStart w:id="799" w:name="_Toc17693"/>
      <w:bookmarkStart w:id="800" w:name="_Toc27770"/>
      <w:bookmarkStart w:id="801" w:name="_Toc15972"/>
      <w:r>
        <w:rPr>
          <w:rFonts w:hint="eastAsia"/>
          <w:color w:val="auto"/>
          <w:highlight w:val="none"/>
        </w:rPr>
        <w:t>投标纪律要求</w:t>
      </w:r>
      <w:bookmarkEnd w:id="791"/>
      <w:bookmarkEnd w:id="792"/>
      <w:bookmarkEnd w:id="793"/>
      <w:bookmarkEnd w:id="797"/>
      <w:bookmarkEnd w:id="798"/>
      <w:bookmarkEnd w:id="799"/>
      <w:bookmarkEnd w:id="800"/>
      <w:bookmarkEnd w:id="801"/>
    </w:p>
    <w:p>
      <w:pPr>
        <w:pStyle w:val="46"/>
        <w:bidi w:val="0"/>
        <w:spacing w:line="520" w:lineRule="exact"/>
        <w:rPr>
          <w:rFonts w:hint="eastAsia" w:eastAsia="宋体"/>
          <w:color w:val="auto"/>
          <w:highlight w:val="none"/>
          <w:lang w:eastAsia="zh-CN"/>
        </w:rPr>
      </w:pPr>
      <w:bookmarkStart w:id="802" w:name="_Toc6284"/>
      <w:bookmarkStart w:id="803" w:name="_Toc11074"/>
      <w:bookmarkStart w:id="804" w:name="_Toc20490"/>
      <w:bookmarkStart w:id="805" w:name="_Toc27399"/>
      <w:bookmarkStart w:id="806" w:name="_Toc307501121"/>
      <w:bookmarkStart w:id="807" w:name="_Toc5014"/>
      <w:bookmarkStart w:id="808" w:name="_Toc327196298"/>
      <w:bookmarkStart w:id="809" w:name="_Toc31498"/>
      <w:bookmarkStart w:id="810" w:name="_Toc21018"/>
      <w:bookmarkStart w:id="811" w:name="_Toc319440154"/>
      <w:bookmarkStart w:id="812" w:name="_Toc217446075"/>
      <w:bookmarkStart w:id="813" w:name="_Toc17887"/>
      <w:bookmarkStart w:id="814" w:name="_Toc308084609"/>
      <w:bookmarkStart w:id="815" w:name="_Toc1828"/>
      <w:bookmarkStart w:id="816" w:name="_Toc10754"/>
      <w:bookmarkStart w:id="817" w:name="_Toc30964"/>
      <w:bookmarkStart w:id="818" w:name="_Toc319439912"/>
      <w:bookmarkStart w:id="819" w:name="_Toc307564864"/>
      <w:bookmarkStart w:id="820" w:name="_Toc308188164"/>
      <w:bookmarkStart w:id="821" w:name="_Toc309897527"/>
      <w:r>
        <w:rPr>
          <w:rFonts w:hint="eastAsia"/>
          <w:color w:val="auto"/>
          <w:highlight w:val="none"/>
        </w:rPr>
        <w:t>投标人不得具有的情形</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r>
        <w:rPr>
          <w:rFonts w:hint="eastAsia"/>
          <w:color w:val="auto"/>
          <w:highlight w:val="none"/>
          <w:lang w:eastAsia="zh-CN"/>
        </w:rPr>
        <w:t>：</w:t>
      </w:r>
    </w:p>
    <w:p>
      <w:pPr>
        <w:pStyle w:val="32"/>
        <w:numPr>
          <w:ilvl w:val="1"/>
          <w:numId w:val="18"/>
        </w:numPr>
        <w:bidi w:val="0"/>
        <w:spacing w:line="520" w:lineRule="exact"/>
        <w:rPr>
          <w:rFonts w:hint="eastAsia"/>
          <w:color w:val="auto"/>
          <w:highlight w:val="none"/>
        </w:rPr>
      </w:pPr>
      <w:r>
        <w:rPr>
          <w:rFonts w:hint="eastAsia"/>
          <w:color w:val="auto"/>
          <w:highlight w:val="none"/>
        </w:rPr>
        <w:t>提供虚假材料谋取中标；</w:t>
      </w:r>
    </w:p>
    <w:p>
      <w:pPr>
        <w:pStyle w:val="32"/>
        <w:numPr>
          <w:ilvl w:val="1"/>
          <w:numId w:val="18"/>
        </w:numPr>
        <w:bidi w:val="0"/>
        <w:spacing w:line="520" w:lineRule="exact"/>
        <w:rPr>
          <w:rFonts w:hint="eastAsia"/>
          <w:color w:val="auto"/>
          <w:highlight w:val="none"/>
        </w:rPr>
      </w:pPr>
      <w:r>
        <w:rPr>
          <w:rFonts w:hint="eastAsia"/>
          <w:color w:val="auto"/>
          <w:highlight w:val="none"/>
        </w:rPr>
        <w:t>采取不正当手段诋毁、排挤其他投标人；</w:t>
      </w:r>
    </w:p>
    <w:p>
      <w:pPr>
        <w:pStyle w:val="32"/>
        <w:numPr>
          <w:ilvl w:val="1"/>
          <w:numId w:val="18"/>
        </w:numPr>
        <w:bidi w:val="0"/>
        <w:spacing w:line="520" w:lineRule="exact"/>
        <w:rPr>
          <w:rFonts w:hint="eastAsia"/>
          <w:color w:val="auto"/>
          <w:highlight w:val="none"/>
        </w:rPr>
      </w:pPr>
      <w:r>
        <w:rPr>
          <w:rFonts w:hint="eastAsia"/>
          <w:color w:val="auto"/>
          <w:highlight w:val="none"/>
        </w:rPr>
        <w:t>与招标采购单位、其他投标人恶意串通；</w:t>
      </w:r>
    </w:p>
    <w:p>
      <w:pPr>
        <w:pStyle w:val="32"/>
        <w:numPr>
          <w:ilvl w:val="1"/>
          <w:numId w:val="18"/>
        </w:numPr>
        <w:bidi w:val="0"/>
        <w:spacing w:line="520" w:lineRule="exact"/>
        <w:rPr>
          <w:rFonts w:hint="eastAsia"/>
          <w:color w:val="auto"/>
          <w:highlight w:val="none"/>
        </w:rPr>
      </w:pPr>
      <w:r>
        <w:rPr>
          <w:rFonts w:hint="eastAsia"/>
          <w:color w:val="auto"/>
          <w:highlight w:val="none"/>
        </w:rPr>
        <w:t>向招标采购单位、评标委员会成员行贿或者提供其他不正当利益；</w:t>
      </w:r>
    </w:p>
    <w:p>
      <w:pPr>
        <w:pStyle w:val="32"/>
        <w:numPr>
          <w:ilvl w:val="1"/>
          <w:numId w:val="18"/>
        </w:numPr>
        <w:bidi w:val="0"/>
        <w:spacing w:line="520" w:lineRule="exact"/>
        <w:rPr>
          <w:rFonts w:hint="eastAsia"/>
          <w:color w:val="auto"/>
          <w:highlight w:val="none"/>
        </w:rPr>
      </w:pPr>
      <w:r>
        <w:rPr>
          <w:rFonts w:hint="eastAsia"/>
          <w:color w:val="auto"/>
          <w:highlight w:val="none"/>
        </w:rPr>
        <w:t>在招标过程中与招标采购单位进行协商谈判；</w:t>
      </w:r>
    </w:p>
    <w:p>
      <w:pPr>
        <w:pStyle w:val="32"/>
        <w:numPr>
          <w:ilvl w:val="1"/>
          <w:numId w:val="18"/>
        </w:numPr>
        <w:bidi w:val="0"/>
        <w:spacing w:line="520" w:lineRule="exact"/>
        <w:rPr>
          <w:rFonts w:hint="eastAsia"/>
          <w:color w:val="auto"/>
          <w:highlight w:val="none"/>
        </w:rPr>
      </w:pPr>
      <w:r>
        <w:rPr>
          <w:rFonts w:hint="eastAsia"/>
          <w:color w:val="auto"/>
          <w:highlight w:val="none"/>
        </w:rPr>
        <w:t>中标或者成交后无正当理由拒不与采购人签订</w:t>
      </w:r>
      <w:r>
        <w:rPr>
          <w:rFonts w:hint="eastAsia"/>
          <w:color w:val="auto"/>
          <w:highlight w:val="none"/>
          <w:lang w:eastAsia="zh-CN"/>
        </w:rPr>
        <w:t>采购合同</w:t>
      </w:r>
      <w:r>
        <w:rPr>
          <w:rFonts w:hint="eastAsia"/>
          <w:color w:val="auto"/>
          <w:highlight w:val="none"/>
        </w:rPr>
        <w:t>；</w:t>
      </w:r>
    </w:p>
    <w:p>
      <w:pPr>
        <w:pStyle w:val="32"/>
        <w:numPr>
          <w:ilvl w:val="1"/>
          <w:numId w:val="18"/>
        </w:numPr>
        <w:bidi w:val="0"/>
        <w:spacing w:line="520" w:lineRule="exact"/>
        <w:rPr>
          <w:rFonts w:hint="eastAsia"/>
          <w:color w:val="auto"/>
          <w:highlight w:val="none"/>
        </w:rPr>
      </w:pPr>
      <w:r>
        <w:rPr>
          <w:rFonts w:hint="eastAsia"/>
          <w:color w:val="auto"/>
          <w:highlight w:val="none"/>
        </w:rPr>
        <w:t>未按照采购文件确定的事项签订</w:t>
      </w:r>
      <w:r>
        <w:rPr>
          <w:rFonts w:hint="eastAsia"/>
          <w:color w:val="auto"/>
          <w:highlight w:val="none"/>
          <w:lang w:eastAsia="zh-CN"/>
        </w:rPr>
        <w:t>采购合同</w:t>
      </w:r>
      <w:r>
        <w:rPr>
          <w:rFonts w:hint="eastAsia"/>
          <w:color w:val="auto"/>
          <w:highlight w:val="none"/>
        </w:rPr>
        <w:t>；</w:t>
      </w:r>
    </w:p>
    <w:p>
      <w:pPr>
        <w:pStyle w:val="32"/>
        <w:numPr>
          <w:ilvl w:val="1"/>
          <w:numId w:val="18"/>
        </w:numPr>
        <w:bidi w:val="0"/>
        <w:spacing w:line="520" w:lineRule="exact"/>
        <w:rPr>
          <w:rFonts w:hint="eastAsia"/>
          <w:color w:val="auto"/>
          <w:highlight w:val="none"/>
        </w:rPr>
      </w:pPr>
      <w:r>
        <w:rPr>
          <w:rFonts w:hint="eastAsia"/>
          <w:color w:val="auto"/>
          <w:highlight w:val="none"/>
        </w:rPr>
        <w:t>将</w:t>
      </w:r>
      <w:r>
        <w:rPr>
          <w:rFonts w:hint="eastAsia"/>
          <w:color w:val="auto"/>
          <w:highlight w:val="none"/>
          <w:lang w:eastAsia="zh-CN"/>
        </w:rPr>
        <w:t>采购合同</w:t>
      </w:r>
      <w:r>
        <w:rPr>
          <w:rFonts w:hint="eastAsia"/>
          <w:color w:val="auto"/>
          <w:highlight w:val="none"/>
        </w:rPr>
        <w:t>转包或者违规分包；</w:t>
      </w:r>
    </w:p>
    <w:p>
      <w:pPr>
        <w:pStyle w:val="32"/>
        <w:numPr>
          <w:ilvl w:val="1"/>
          <w:numId w:val="18"/>
        </w:numPr>
        <w:bidi w:val="0"/>
        <w:spacing w:line="520" w:lineRule="exact"/>
        <w:rPr>
          <w:rFonts w:hint="eastAsia"/>
          <w:color w:val="auto"/>
          <w:highlight w:val="none"/>
        </w:rPr>
      </w:pPr>
      <w:r>
        <w:rPr>
          <w:rFonts w:hint="eastAsia"/>
          <w:color w:val="auto"/>
          <w:highlight w:val="none"/>
        </w:rPr>
        <w:t>提供假冒伪劣产品；</w:t>
      </w:r>
    </w:p>
    <w:p>
      <w:pPr>
        <w:pStyle w:val="32"/>
        <w:numPr>
          <w:ilvl w:val="1"/>
          <w:numId w:val="18"/>
        </w:numPr>
        <w:bidi w:val="0"/>
        <w:spacing w:line="520" w:lineRule="exact"/>
        <w:rPr>
          <w:rFonts w:hint="eastAsia"/>
          <w:color w:val="auto"/>
          <w:highlight w:val="none"/>
        </w:rPr>
      </w:pPr>
      <w:r>
        <w:rPr>
          <w:rFonts w:hint="eastAsia"/>
          <w:color w:val="auto"/>
          <w:highlight w:val="none"/>
        </w:rPr>
        <w:t>擅自变更、中止或者终止</w:t>
      </w:r>
      <w:r>
        <w:rPr>
          <w:rFonts w:hint="eastAsia"/>
          <w:color w:val="auto"/>
          <w:highlight w:val="none"/>
          <w:lang w:eastAsia="zh-CN"/>
        </w:rPr>
        <w:t>采购合同</w:t>
      </w:r>
      <w:r>
        <w:rPr>
          <w:rFonts w:hint="eastAsia"/>
          <w:color w:val="auto"/>
          <w:highlight w:val="none"/>
        </w:rPr>
        <w:t>；</w:t>
      </w:r>
    </w:p>
    <w:p>
      <w:pPr>
        <w:pStyle w:val="32"/>
        <w:numPr>
          <w:ilvl w:val="1"/>
          <w:numId w:val="18"/>
        </w:numPr>
        <w:bidi w:val="0"/>
        <w:spacing w:line="520" w:lineRule="exact"/>
        <w:rPr>
          <w:rFonts w:hint="eastAsia"/>
          <w:color w:val="auto"/>
          <w:highlight w:val="none"/>
        </w:rPr>
      </w:pPr>
      <w:r>
        <w:rPr>
          <w:rFonts w:hint="eastAsia"/>
          <w:color w:val="auto"/>
          <w:highlight w:val="none"/>
        </w:rPr>
        <w:t>拒绝有关部门的监督检查或者向监督检查部门提供虚假情况；</w:t>
      </w:r>
    </w:p>
    <w:p>
      <w:pPr>
        <w:pStyle w:val="32"/>
        <w:numPr>
          <w:ilvl w:val="1"/>
          <w:numId w:val="18"/>
        </w:numPr>
        <w:bidi w:val="0"/>
        <w:spacing w:line="520" w:lineRule="exact"/>
        <w:rPr>
          <w:rFonts w:hint="eastAsia"/>
          <w:color w:val="auto"/>
          <w:highlight w:val="none"/>
        </w:rPr>
      </w:pPr>
      <w:r>
        <w:rPr>
          <w:rFonts w:hint="eastAsia"/>
          <w:color w:val="auto"/>
          <w:highlight w:val="none"/>
        </w:rPr>
        <w:t>法律法规规定的其他情形。</w:t>
      </w:r>
    </w:p>
    <w:p>
      <w:pPr>
        <w:pStyle w:val="42"/>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color w:val="auto"/>
          <w:highlight w:val="none"/>
        </w:rPr>
      </w:pPr>
      <w:bookmarkStart w:id="822" w:name="_Toc525"/>
      <w:bookmarkStart w:id="823" w:name="_Toc20327"/>
      <w:bookmarkStart w:id="824" w:name="_Toc8765"/>
      <w:bookmarkStart w:id="825" w:name="_Toc217446078"/>
      <w:r>
        <w:rPr>
          <w:rFonts w:hint="eastAsia"/>
          <w:color w:val="auto"/>
          <w:highlight w:val="none"/>
        </w:rPr>
        <w:t>投标人有上述情形的，按照规定追究法律责任，具备</w:t>
      </w:r>
      <w:r>
        <w:rPr>
          <w:rFonts w:hint="eastAsia"/>
          <w:color w:val="auto"/>
          <w:highlight w:val="none"/>
          <w:lang w:val="en-US" w:eastAsia="zh-CN"/>
        </w:rPr>
        <w:t>(一)～(十)</w:t>
      </w:r>
      <w:r>
        <w:rPr>
          <w:rFonts w:hint="eastAsia"/>
          <w:color w:val="auto"/>
          <w:highlight w:val="none"/>
        </w:rPr>
        <w:t>条情形之一的，同时将取消中标资格或者认定中标无效。</w:t>
      </w:r>
    </w:p>
    <w:bookmarkEnd w:id="794"/>
    <w:bookmarkEnd w:id="795"/>
    <w:bookmarkEnd w:id="822"/>
    <w:bookmarkEnd w:id="823"/>
    <w:bookmarkEnd w:id="824"/>
    <w:bookmarkEnd w:id="825"/>
    <w:p>
      <w:pPr>
        <w:pStyle w:val="43"/>
        <w:bidi w:val="0"/>
        <w:spacing w:line="520" w:lineRule="exact"/>
        <w:rPr>
          <w:rFonts w:hint="eastAsia"/>
          <w:color w:val="auto"/>
          <w:highlight w:val="none"/>
        </w:rPr>
      </w:pPr>
      <w:bookmarkStart w:id="826" w:name="_Toc1009"/>
      <w:bookmarkStart w:id="827" w:name="_Toc29608"/>
      <w:bookmarkStart w:id="828" w:name="_Toc12421"/>
      <w:bookmarkStart w:id="829" w:name="_Toc1652"/>
      <w:bookmarkStart w:id="830" w:name="_Toc414"/>
      <w:bookmarkStart w:id="831" w:name="_Toc24165"/>
      <w:bookmarkStart w:id="832" w:name="_Toc9092"/>
      <w:bookmarkStart w:id="833" w:name="_Toc24434"/>
      <w:bookmarkStart w:id="834" w:name="_Toc327196301"/>
      <w:bookmarkStart w:id="835" w:name="_Toc21424"/>
      <w:bookmarkStart w:id="836" w:name="_Toc5589"/>
      <w:r>
        <w:rPr>
          <w:rFonts w:hint="eastAsia"/>
          <w:color w:val="auto"/>
          <w:highlight w:val="none"/>
          <w:lang w:val="en-US" w:eastAsia="zh-CN"/>
        </w:rPr>
        <w:t>其他</w:t>
      </w:r>
      <w:bookmarkEnd w:id="826"/>
      <w:bookmarkEnd w:id="827"/>
    </w:p>
    <w:p>
      <w:pPr>
        <w:pStyle w:val="49"/>
        <w:numPr>
          <w:ilvl w:val="2"/>
          <w:numId w:val="19"/>
        </w:numPr>
        <w:bidi w:val="0"/>
        <w:spacing w:line="520" w:lineRule="exact"/>
        <w:rPr>
          <w:rFonts w:hint="eastAsia"/>
          <w:color w:val="auto"/>
          <w:highlight w:val="none"/>
        </w:rPr>
      </w:pPr>
      <w:bookmarkStart w:id="837" w:name="_Toc21262"/>
      <w:bookmarkStart w:id="838" w:name="_Toc18255"/>
      <w:r>
        <w:rPr>
          <w:rFonts w:hint="eastAsia"/>
          <w:color w:val="auto"/>
          <w:highlight w:val="none"/>
        </w:rPr>
        <w:t>询问</w:t>
      </w:r>
      <w:bookmarkEnd w:id="828"/>
      <w:bookmarkEnd w:id="829"/>
      <w:bookmarkEnd w:id="830"/>
      <w:bookmarkEnd w:id="831"/>
      <w:bookmarkEnd w:id="832"/>
      <w:bookmarkEnd w:id="833"/>
      <w:r>
        <w:rPr>
          <w:rFonts w:hint="eastAsia"/>
          <w:color w:val="auto"/>
          <w:highlight w:val="none"/>
          <w:lang w:eastAsia="zh-CN"/>
        </w:rPr>
        <w:t>、</w:t>
      </w:r>
      <w:r>
        <w:rPr>
          <w:rFonts w:hint="eastAsia"/>
          <w:color w:val="auto"/>
          <w:highlight w:val="none"/>
          <w:lang w:val="en-US" w:eastAsia="zh-CN"/>
        </w:rPr>
        <w:t>质疑和投诉</w:t>
      </w:r>
      <w:bookmarkEnd w:id="837"/>
      <w:bookmarkEnd w:id="838"/>
    </w:p>
    <w:bookmarkEnd w:id="834"/>
    <w:bookmarkEnd w:id="835"/>
    <w:p>
      <w:pPr>
        <w:pStyle w:val="46"/>
        <w:keepNext w:val="0"/>
        <w:keepLines w:val="0"/>
        <w:pageBreakBefore w:val="0"/>
        <w:widowControl w:val="0"/>
        <w:kinsoku/>
        <w:wordWrap w:val="0"/>
        <w:overflowPunct/>
        <w:topLinePunct/>
        <w:autoSpaceDE/>
        <w:autoSpaceDN/>
        <w:bidi w:val="0"/>
        <w:adjustRightInd w:val="0"/>
        <w:snapToGrid w:val="0"/>
        <w:spacing w:line="520" w:lineRule="exact"/>
        <w:ind w:left="0" w:leftChars="0" w:firstLine="480" w:firstLineChars="200"/>
        <w:jc w:val="left"/>
        <w:textAlignment w:val="auto"/>
        <w:rPr>
          <w:rFonts w:hint="eastAsia"/>
          <w:color w:val="auto"/>
          <w:highlight w:val="none"/>
        </w:rPr>
      </w:pPr>
      <w:r>
        <w:rPr>
          <w:rFonts w:hint="eastAsia"/>
          <w:color w:val="auto"/>
          <w:highlight w:val="none"/>
          <w:lang w:val="en-US" w:eastAsia="zh-CN"/>
        </w:rPr>
        <w:t>具体详见投标人须知前附表</w:t>
      </w:r>
      <w:r>
        <w:rPr>
          <w:rFonts w:hint="eastAsia"/>
          <w:color w:val="auto"/>
          <w:highlight w:val="none"/>
        </w:rPr>
        <w:t>。</w:t>
      </w:r>
    </w:p>
    <w:p>
      <w:pPr>
        <w:pStyle w:val="49"/>
        <w:numPr>
          <w:ilvl w:val="2"/>
          <w:numId w:val="19"/>
        </w:numPr>
        <w:bidi w:val="0"/>
        <w:spacing w:line="520" w:lineRule="exact"/>
        <w:rPr>
          <w:rFonts w:hint="eastAsia"/>
          <w:color w:val="auto"/>
          <w:highlight w:val="none"/>
        </w:rPr>
      </w:pPr>
      <w:bookmarkStart w:id="839" w:name="_Toc27417"/>
      <w:bookmarkStart w:id="840" w:name="_Toc8852"/>
      <w:bookmarkStart w:id="841" w:name="_Toc21175"/>
      <w:bookmarkStart w:id="842" w:name="_Toc11575"/>
      <w:bookmarkStart w:id="843" w:name="_Toc22454"/>
      <w:bookmarkStart w:id="844" w:name="_Toc1626"/>
      <w:r>
        <w:rPr>
          <w:rFonts w:hint="eastAsia"/>
          <w:color w:val="auto"/>
          <w:highlight w:val="none"/>
        </w:rPr>
        <w:t>关于行贿犯罪档案查询工作的规定</w:t>
      </w:r>
      <w:bookmarkEnd w:id="839"/>
      <w:bookmarkEnd w:id="840"/>
      <w:bookmarkEnd w:id="841"/>
      <w:bookmarkEnd w:id="842"/>
      <w:bookmarkEnd w:id="843"/>
      <w:bookmarkEnd w:id="844"/>
    </w:p>
    <w:p>
      <w:pPr>
        <w:pStyle w:val="46"/>
        <w:bidi w:val="0"/>
        <w:spacing w:line="520" w:lineRule="exact"/>
        <w:rPr>
          <w:rFonts w:hint="eastAsia"/>
          <w:color w:val="auto"/>
          <w:highlight w:val="none"/>
          <w:lang w:val="en-US"/>
        </w:rPr>
      </w:pPr>
      <w:bookmarkStart w:id="845" w:name="_Toc25217"/>
      <w:bookmarkStart w:id="846" w:name="_Toc24870"/>
      <w:r>
        <w:rPr>
          <w:rFonts w:hint="eastAsia"/>
          <w:color w:val="auto"/>
          <w:highlight w:val="none"/>
          <w:lang w:val="en-US" w:eastAsia="zh-CN"/>
        </w:rPr>
        <w:t>因国家检察机关职务犯罪侦查部门转隶工作已经完成，供应商参与采购活动时须按照采购文件要求提供承诺函或由</w:t>
      </w:r>
      <w:r>
        <w:rPr>
          <w:rFonts w:hint="eastAsia"/>
          <w:color w:val="auto"/>
          <w:highlight w:val="none"/>
        </w:rPr>
        <w:t>采购代理机构通过</w:t>
      </w:r>
      <w:r>
        <w:rPr>
          <w:rFonts w:hint="eastAsia"/>
          <w:color w:val="auto"/>
          <w:highlight w:val="none"/>
          <w:lang w:val="en-US" w:eastAsia="zh-CN"/>
        </w:rPr>
        <w:t>“中国裁判文书网”查询</w:t>
      </w:r>
      <w:r>
        <w:rPr>
          <w:rFonts w:hint="eastAsia"/>
          <w:color w:val="auto"/>
          <w:highlight w:val="none"/>
        </w:rPr>
        <w:t>，并将查询记录存档</w:t>
      </w:r>
      <w:r>
        <w:rPr>
          <w:rFonts w:hint="eastAsia"/>
          <w:color w:val="auto"/>
          <w:highlight w:val="none"/>
          <w:lang w:val="en-US" w:eastAsia="zh-CN"/>
        </w:rPr>
        <w:t>。</w:t>
      </w:r>
    </w:p>
    <w:p>
      <w:pPr>
        <w:pStyle w:val="49"/>
        <w:numPr>
          <w:ilvl w:val="2"/>
          <w:numId w:val="19"/>
        </w:numPr>
        <w:bidi w:val="0"/>
        <w:spacing w:line="520" w:lineRule="exact"/>
        <w:rPr>
          <w:rFonts w:hint="eastAsia"/>
          <w:color w:val="auto"/>
          <w:highlight w:val="none"/>
          <w:lang w:val="en-US" w:eastAsia="zh-CN"/>
        </w:rPr>
      </w:pPr>
      <w:bookmarkStart w:id="847" w:name="_Toc1490"/>
      <w:bookmarkStart w:id="848" w:name="_Toc64"/>
      <w:bookmarkStart w:id="849" w:name="_Toc28559"/>
      <w:r>
        <w:rPr>
          <w:rFonts w:hint="eastAsia"/>
          <w:color w:val="auto"/>
          <w:highlight w:val="none"/>
          <w:lang w:val="en-US" w:eastAsia="zh-CN"/>
        </w:rPr>
        <w:t>串通投标的情形</w:t>
      </w:r>
      <w:bookmarkEnd w:id="845"/>
      <w:bookmarkEnd w:id="846"/>
      <w:bookmarkEnd w:id="847"/>
      <w:bookmarkEnd w:id="848"/>
      <w:bookmarkEnd w:id="849"/>
    </w:p>
    <w:p>
      <w:pPr>
        <w:pStyle w:val="46"/>
        <w:bidi w:val="0"/>
        <w:spacing w:line="520" w:lineRule="exact"/>
        <w:rPr>
          <w:rFonts w:hint="eastAsia"/>
          <w:color w:val="auto"/>
          <w:highlight w:val="none"/>
        </w:rPr>
      </w:pPr>
      <w:r>
        <w:rPr>
          <w:rFonts w:hint="eastAsia"/>
          <w:color w:val="auto"/>
          <w:highlight w:val="none"/>
        </w:rPr>
        <w:t>有下列情形之一的，视为投标人串通投标，其投标无效</w:t>
      </w:r>
      <w:r>
        <w:rPr>
          <w:rFonts w:hint="eastAsia"/>
          <w:color w:val="auto"/>
          <w:highlight w:val="none"/>
          <w:lang w:eastAsia="zh-CN"/>
        </w:rPr>
        <w:t>。</w:t>
      </w:r>
    </w:p>
    <w:p>
      <w:pPr>
        <w:pStyle w:val="46"/>
        <w:bidi w:val="0"/>
        <w:spacing w:line="520" w:lineRule="exact"/>
        <w:rPr>
          <w:rFonts w:hint="eastAsia"/>
          <w:color w:val="auto"/>
          <w:highlight w:val="none"/>
        </w:rPr>
      </w:pPr>
      <w:r>
        <w:rPr>
          <w:rFonts w:hint="eastAsia"/>
          <w:color w:val="auto"/>
          <w:highlight w:val="none"/>
          <w:lang w:val="en-US" w:eastAsia="zh-CN"/>
        </w:rPr>
        <w:t>1.</w:t>
      </w:r>
      <w:r>
        <w:rPr>
          <w:rFonts w:hint="eastAsia"/>
          <w:color w:val="auto"/>
          <w:highlight w:val="none"/>
        </w:rPr>
        <w:t>不同投标人的投标文件由同一单位或者个人编制；</w:t>
      </w:r>
    </w:p>
    <w:p>
      <w:pPr>
        <w:pStyle w:val="46"/>
        <w:bidi w:val="0"/>
        <w:spacing w:line="520" w:lineRule="exact"/>
        <w:rPr>
          <w:rFonts w:hint="eastAsia"/>
          <w:color w:val="auto"/>
          <w:highlight w:val="none"/>
        </w:rPr>
      </w:pPr>
      <w:r>
        <w:rPr>
          <w:rFonts w:hint="eastAsia"/>
          <w:color w:val="auto"/>
          <w:highlight w:val="none"/>
          <w:lang w:val="en-US" w:eastAsia="zh-CN"/>
        </w:rPr>
        <w:t>2.</w:t>
      </w:r>
      <w:r>
        <w:rPr>
          <w:rFonts w:hint="eastAsia"/>
          <w:color w:val="auto"/>
          <w:highlight w:val="none"/>
        </w:rPr>
        <w:t>不同投标人委托同一单位或者个人办理投标事宜；</w:t>
      </w:r>
    </w:p>
    <w:p>
      <w:pPr>
        <w:pStyle w:val="46"/>
        <w:bidi w:val="0"/>
        <w:spacing w:line="520" w:lineRule="exact"/>
        <w:rPr>
          <w:rFonts w:hint="eastAsia"/>
          <w:color w:val="auto"/>
          <w:highlight w:val="none"/>
        </w:rPr>
      </w:pPr>
      <w:r>
        <w:rPr>
          <w:rFonts w:hint="eastAsia"/>
          <w:color w:val="auto"/>
          <w:highlight w:val="none"/>
          <w:lang w:val="en-US" w:eastAsia="zh-CN"/>
        </w:rPr>
        <w:t>3.</w:t>
      </w:r>
      <w:r>
        <w:rPr>
          <w:rFonts w:hint="eastAsia"/>
          <w:color w:val="auto"/>
          <w:highlight w:val="none"/>
        </w:rPr>
        <w:t>不同投标人的投标文件载明的项目管理成员或者联系人员为同一人；</w:t>
      </w:r>
    </w:p>
    <w:p>
      <w:pPr>
        <w:pStyle w:val="46"/>
        <w:bidi w:val="0"/>
        <w:spacing w:line="520" w:lineRule="exact"/>
        <w:rPr>
          <w:rFonts w:hint="eastAsia"/>
          <w:color w:val="auto"/>
          <w:highlight w:val="none"/>
        </w:rPr>
      </w:pPr>
      <w:r>
        <w:rPr>
          <w:rFonts w:hint="eastAsia"/>
          <w:color w:val="auto"/>
          <w:highlight w:val="none"/>
          <w:lang w:val="en-US" w:eastAsia="zh-CN"/>
        </w:rPr>
        <w:t>4.</w:t>
      </w:r>
      <w:r>
        <w:rPr>
          <w:rFonts w:hint="eastAsia"/>
          <w:color w:val="auto"/>
          <w:highlight w:val="none"/>
        </w:rPr>
        <w:t>不同投标人的投标文件异常一致或者投标报价呈规律性差异；</w:t>
      </w:r>
    </w:p>
    <w:p>
      <w:pPr>
        <w:pStyle w:val="46"/>
        <w:bidi w:val="0"/>
        <w:spacing w:line="520" w:lineRule="exact"/>
        <w:rPr>
          <w:rFonts w:hint="eastAsia" w:eastAsia="宋体"/>
          <w:color w:val="auto"/>
          <w:highlight w:val="none"/>
          <w:lang w:eastAsia="zh-CN"/>
        </w:rPr>
      </w:pPr>
      <w:r>
        <w:rPr>
          <w:rFonts w:hint="eastAsia"/>
          <w:color w:val="auto"/>
          <w:highlight w:val="none"/>
          <w:lang w:val="en-US" w:eastAsia="zh-CN"/>
        </w:rPr>
        <w:t>5.</w:t>
      </w:r>
      <w:r>
        <w:rPr>
          <w:rFonts w:hint="eastAsia"/>
          <w:color w:val="auto"/>
          <w:highlight w:val="none"/>
        </w:rPr>
        <w:t>不同投标人的投标文件相互混装</w:t>
      </w:r>
      <w:r>
        <w:rPr>
          <w:rFonts w:hint="eastAsia"/>
          <w:color w:val="auto"/>
          <w:highlight w:val="none"/>
          <w:lang w:eastAsia="zh-CN"/>
        </w:rPr>
        <w:t>；</w:t>
      </w:r>
    </w:p>
    <w:p>
      <w:pPr>
        <w:pStyle w:val="46"/>
        <w:bidi w:val="0"/>
        <w:spacing w:line="520" w:lineRule="exact"/>
        <w:rPr>
          <w:rFonts w:hint="eastAsia" w:eastAsia="宋体"/>
          <w:color w:val="auto"/>
          <w:highlight w:val="none"/>
          <w:lang w:eastAsia="zh-CN"/>
        </w:rPr>
      </w:pPr>
      <w:r>
        <w:rPr>
          <w:rFonts w:hint="eastAsia"/>
          <w:color w:val="auto"/>
          <w:highlight w:val="none"/>
          <w:lang w:val="en-US" w:eastAsia="zh-CN"/>
        </w:rPr>
        <w:t>6.不同投标人的投标保证金从同一单位或者个人的账户转出</w:t>
      </w:r>
      <w:r>
        <w:rPr>
          <w:rFonts w:hint="eastAsia"/>
          <w:color w:val="auto"/>
          <w:highlight w:val="none"/>
          <w:lang w:eastAsia="zh-CN"/>
        </w:rPr>
        <w:t>。</w:t>
      </w:r>
    </w:p>
    <w:p>
      <w:pPr>
        <w:pStyle w:val="49"/>
        <w:numPr>
          <w:ilvl w:val="2"/>
          <w:numId w:val="19"/>
        </w:numPr>
        <w:bidi w:val="0"/>
        <w:spacing w:line="520" w:lineRule="exact"/>
        <w:rPr>
          <w:rFonts w:hint="eastAsia"/>
          <w:color w:val="auto"/>
          <w:highlight w:val="none"/>
          <w:lang w:val="en-US" w:eastAsia="zh-CN"/>
        </w:rPr>
      </w:pPr>
      <w:bookmarkStart w:id="850" w:name="_Toc17038"/>
      <w:bookmarkStart w:id="851" w:name="_Toc22192"/>
      <w:bookmarkStart w:id="852" w:name="_Toc29498"/>
      <w:bookmarkStart w:id="853" w:name="_Toc10983"/>
      <w:bookmarkStart w:id="854" w:name="_Toc32334"/>
      <w:bookmarkStart w:id="855" w:name="_Toc21656"/>
      <w:bookmarkStart w:id="856" w:name="_Toc13852"/>
      <w:r>
        <w:rPr>
          <w:rFonts w:hint="eastAsia"/>
          <w:color w:val="auto"/>
          <w:highlight w:val="none"/>
          <w:lang w:val="en-US" w:eastAsia="zh-CN"/>
        </w:rPr>
        <w:t>投标人信用信息查询</w:t>
      </w:r>
      <w:bookmarkEnd w:id="850"/>
      <w:bookmarkEnd w:id="851"/>
      <w:bookmarkEnd w:id="852"/>
      <w:bookmarkEnd w:id="853"/>
      <w:bookmarkEnd w:id="854"/>
      <w:bookmarkEnd w:id="855"/>
      <w:bookmarkEnd w:id="856"/>
    </w:p>
    <w:p>
      <w:pPr>
        <w:pStyle w:val="32"/>
        <w:keepNext w:val="0"/>
        <w:keepLines w:val="0"/>
        <w:pageBreakBefore w:val="0"/>
        <w:widowControl w:val="0"/>
        <w:numPr>
          <w:ilvl w:val="1"/>
          <w:numId w:val="0"/>
        </w:numPr>
        <w:kinsoku/>
        <w:wordWrap w:val="0"/>
        <w:overflowPunct/>
        <w:topLinePunct/>
        <w:autoSpaceDE/>
        <w:autoSpaceDN/>
        <w:bidi w:val="0"/>
        <w:adjustRightInd w:val="0"/>
        <w:snapToGrid w:val="0"/>
        <w:spacing w:line="520" w:lineRule="exact"/>
        <w:ind w:leftChars="0" w:firstLine="480" w:firstLineChars="200"/>
        <w:textAlignment w:val="auto"/>
        <w:rPr>
          <w:rFonts w:hint="eastAsia"/>
          <w:color w:val="auto"/>
          <w:highlight w:val="none"/>
          <w:lang w:val="en-US" w:eastAsia="zh-CN"/>
        </w:rPr>
      </w:pPr>
      <w:r>
        <w:rPr>
          <w:rFonts w:hint="eastAsia"/>
          <w:color w:val="auto"/>
          <w:highlight w:val="none"/>
          <w:lang w:val="en-US" w:eastAsia="zh-CN"/>
        </w:rPr>
        <w:t>1.投标人信用信息查询渠道</w:t>
      </w:r>
    </w:p>
    <w:p>
      <w:pPr>
        <w:pStyle w:val="46"/>
        <w:keepNext w:val="0"/>
        <w:keepLines w:val="0"/>
        <w:pageBreakBefore w:val="0"/>
        <w:widowControl w:val="0"/>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highlight w:val="none"/>
        </w:rPr>
      </w:pPr>
      <w:r>
        <w:rPr>
          <w:rFonts w:hint="eastAsia"/>
          <w:color w:val="auto"/>
          <w:highlight w:val="none"/>
        </w:rPr>
        <w:t>“信用中国”网站(www.creditchina.gov.cn)、</w:t>
      </w:r>
      <w:r>
        <w:rPr>
          <w:rFonts w:hint="eastAsia"/>
          <w:color w:val="auto"/>
          <w:highlight w:val="none"/>
          <w:lang w:eastAsia="zh-CN"/>
        </w:rPr>
        <w:t>“</w:t>
      </w:r>
      <w:r>
        <w:rPr>
          <w:rFonts w:hint="eastAsia"/>
          <w:color w:val="auto"/>
          <w:highlight w:val="none"/>
        </w:rPr>
        <w:t>中国政府采购网</w:t>
      </w:r>
      <w:r>
        <w:rPr>
          <w:rFonts w:hint="eastAsia"/>
          <w:color w:val="auto"/>
          <w:highlight w:val="none"/>
          <w:lang w:eastAsia="zh-CN"/>
        </w:rPr>
        <w:t>”</w:t>
      </w:r>
      <w:r>
        <w:rPr>
          <w:rFonts w:hint="eastAsia"/>
          <w:color w:val="auto"/>
          <w:highlight w:val="none"/>
        </w:rPr>
        <w:t>(www.ccgp.gov.cn)等。</w:t>
      </w:r>
    </w:p>
    <w:p>
      <w:pPr>
        <w:pStyle w:val="32"/>
        <w:keepNext w:val="0"/>
        <w:keepLines w:val="0"/>
        <w:pageBreakBefore w:val="0"/>
        <w:widowControl w:val="0"/>
        <w:numPr>
          <w:ilvl w:val="1"/>
          <w:numId w:val="0"/>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2.投标人信用信息查询截止时点</w:t>
      </w:r>
    </w:p>
    <w:p>
      <w:pPr>
        <w:pStyle w:val="46"/>
        <w:keepNext w:val="0"/>
        <w:keepLines w:val="0"/>
        <w:pageBreakBefore w:val="0"/>
        <w:widowControl w:val="0"/>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信用信息查询在资格审查阶段完成。</w:t>
      </w:r>
    </w:p>
    <w:p>
      <w:pPr>
        <w:pStyle w:val="32"/>
        <w:keepNext w:val="0"/>
        <w:keepLines w:val="0"/>
        <w:pageBreakBefore w:val="0"/>
        <w:widowControl w:val="0"/>
        <w:numPr>
          <w:ilvl w:val="1"/>
          <w:numId w:val="0"/>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3.投标人信用信息查询记录和证据留存的具体方式</w:t>
      </w:r>
    </w:p>
    <w:p>
      <w:pPr>
        <w:pStyle w:val="46"/>
        <w:keepNext w:val="0"/>
        <w:keepLines w:val="0"/>
        <w:pageBreakBefore w:val="0"/>
        <w:widowControl w:val="0"/>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highlight w:val="none"/>
          <w:lang w:val="en-US" w:eastAsia="zh-CN"/>
        </w:rPr>
      </w:pPr>
      <w:r>
        <w:rPr>
          <w:rFonts w:hint="eastAsia"/>
          <w:color w:val="auto"/>
          <w:highlight w:val="none"/>
        </w:rPr>
        <w:t>采购代理机构通过</w:t>
      </w:r>
      <w:r>
        <w:rPr>
          <w:rFonts w:hint="eastAsia"/>
          <w:color w:val="auto"/>
          <w:highlight w:val="none"/>
          <w:lang w:eastAsia="zh-CN"/>
        </w:rPr>
        <w:t>“</w:t>
      </w:r>
      <w:r>
        <w:rPr>
          <w:rFonts w:hint="eastAsia"/>
          <w:color w:val="auto"/>
          <w:highlight w:val="none"/>
        </w:rPr>
        <w:t>信用中国</w:t>
      </w:r>
      <w:r>
        <w:rPr>
          <w:rFonts w:hint="eastAsia"/>
          <w:color w:val="auto"/>
          <w:highlight w:val="none"/>
          <w:lang w:eastAsia="zh-CN"/>
        </w:rPr>
        <w:t>”</w:t>
      </w:r>
      <w:r>
        <w:rPr>
          <w:rFonts w:hint="eastAsia"/>
          <w:color w:val="auto"/>
          <w:highlight w:val="none"/>
        </w:rPr>
        <w:t>网站、</w:t>
      </w:r>
      <w:r>
        <w:rPr>
          <w:rFonts w:hint="eastAsia"/>
          <w:color w:val="auto"/>
          <w:highlight w:val="none"/>
          <w:lang w:eastAsia="zh-CN"/>
        </w:rPr>
        <w:t>“</w:t>
      </w:r>
      <w:r>
        <w:rPr>
          <w:rFonts w:hint="eastAsia"/>
          <w:color w:val="auto"/>
          <w:highlight w:val="none"/>
        </w:rPr>
        <w:t>中国政府采购网</w:t>
      </w:r>
      <w:r>
        <w:rPr>
          <w:rFonts w:hint="eastAsia"/>
          <w:color w:val="auto"/>
          <w:highlight w:val="none"/>
          <w:lang w:eastAsia="zh-CN"/>
        </w:rPr>
        <w:t>”</w:t>
      </w:r>
      <w:r>
        <w:rPr>
          <w:rFonts w:hint="eastAsia"/>
          <w:color w:val="auto"/>
          <w:highlight w:val="none"/>
        </w:rPr>
        <w:t>等渠道对供应商进行信用记录查询，并将查询记录存档。</w:t>
      </w:r>
    </w:p>
    <w:p>
      <w:pPr>
        <w:pStyle w:val="32"/>
        <w:keepNext w:val="0"/>
        <w:keepLines w:val="0"/>
        <w:pageBreakBefore w:val="0"/>
        <w:widowControl w:val="0"/>
        <w:numPr>
          <w:ilvl w:val="0"/>
          <w:numId w:val="11"/>
        </w:numPr>
        <w:tabs>
          <w:tab w:val="clear" w:pos="312"/>
        </w:tabs>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投标人信用信息的使用：</w:t>
      </w:r>
      <w:r>
        <w:rPr>
          <w:rFonts w:hint="eastAsia"/>
          <w:color w:val="auto"/>
          <w:highlight w:val="none"/>
        </w:rPr>
        <w:t>凡被列入失信被执行人、重大税收违法案件当事人名单</w:t>
      </w:r>
      <w:r>
        <w:rPr>
          <w:rFonts w:hint="eastAsia"/>
          <w:color w:val="auto"/>
          <w:highlight w:val="none"/>
          <w:lang w:val="en-US" w:eastAsia="zh-CN"/>
        </w:rPr>
        <w:t>(重大税收违法失信主体)</w:t>
      </w:r>
      <w:r>
        <w:rPr>
          <w:rFonts w:hint="eastAsia"/>
          <w:color w:val="auto"/>
          <w:highlight w:val="none"/>
        </w:rPr>
        <w:t>、政府采购严重违法失信行为记录名单的，视为存在不良信用记录，参与本项目的将被拒绝</w:t>
      </w:r>
      <w:r>
        <w:rPr>
          <w:rFonts w:hint="eastAsia"/>
          <w:color w:val="auto"/>
          <w:highlight w:val="none"/>
          <w:lang w:val="en-US" w:eastAsia="zh-CN"/>
        </w:rPr>
        <w:t>。</w:t>
      </w:r>
    </w:p>
    <w:p>
      <w:pPr>
        <w:pStyle w:val="49"/>
        <w:numPr>
          <w:ilvl w:val="2"/>
          <w:numId w:val="19"/>
        </w:numPr>
        <w:bidi w:val="0"/>
        <w:spacing w:line="520" w:lineRule="exact"/>
        <w:rPr>
          <w:rFonts w:hint="eastAsia"/>
          <w:color w:val="auto"/>
          <w:highlight w:val="none"/>
          <w:lang w:val="en-US" w:eastAsia="zh-CN"/>
        </w:rPr>
      </w:pPr>
      <w:bookmarkStart w:id="857" w:name="_Toc5438"/>
      <w:bookmarkStart w:id="858" w:name="_Toc19725"/>
      <w:bookmarkStart w:id="859" w:name="_Toc17093"/>
      <w:r>
        <w:rPr>
          <w:rFonts w:hint="eastAsia"/>
          <w:color w:val="auto"/>
          <w:highlight w:val="none"/>
          <w:lang w:val="en-US" w:eastAsia="zh-CN"/>
        </w:rPr>
        <w:t>保密</w:t>
      </w:r>
      <w:bookmarkEnd w:id="857"/>
      <w:bookmarkEnd w:id="858"/>
      <w:bookmarkEnd w:id="859"/>
    </w:p>
    <w:p>
      <w:pPr>
        <w:pStyle w:val="9"/>
        <w:keepNext w:val="0"/>
        <w:keepLines w:val="0"/>
        <w:pageBreakBefore w:val="0"/>
        <w:widowControl w:val="0"/>
        <w:numPr>
          <w:ilvl w:val="0"/>
          <w:numId w:val="0"/>
        </w:numPr>
        <w:tabs>
          <w:tab w:val="left" w:pos="1134"/>
          <w:tab w:val="clear" w:pos="0"/>
        </w:tabs>
        <w:kinsoku/>
        <w:wordWrap/>
        <w:overflowPunct/>
        <w:topLinePunct w:val="0"/>
        <w:autoSpaceDE/>
        <w:autoSpaceDN/>
        <w:bidi w:val="0"/>
        <w:adjustRightInd w:val="0"/>
        <w:snapToGrid w:val="0"/>
        <w:spacing w:after="0" w:line="520" w:lineRule="exact"/>
        <w:ind w:leftChars="0"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1.</w:t>
      </w:r>
      <w:r>
        <w:rPr>
          <w:rFonts w:hint="eastAsia" w:cstheme="minorBidi"/>
          <w:color w:val="auto"/>
          <w:kern w:val="2"/>
          <w:sz w:val="24"/>
          <w:szCs w:val="24"/>
          <w:highlight w:val="none"/>
          <w:lang w:val="en-US" w:eastAsia="zh-CN" w:bidi="ar-SA"/>
        </w:rPr>
        <w:t>各采购当事人</w:t>
      </w:r>
      <w:r>
        <w:rPr>
          <w:rFonts w:hint="eastAsia" w:ascii="宋体" w:hAnsi="宋体" w:eastAsia="宋体" w:cstheme="minorBidi"/>
          <w:color w:val="auto"/>
          <w:kern w:val="2"/>
          <w:sz w:val="24"/>
          <w:szCs w:val="24"/>
          <w:highlight w:val="none"/>
          <w:lang w:val="en-US" w:eastAsia="zh-CN" w:bidi="ar-SA"/>
        </w:rPr>
        <w:t>不得透露有关成功</w:t>
      </w:r>
      <w:r>
        <w:rPr>
          <w:rFonts w:hint="eastAsia" w:cstheme="minorBidi"/>
          <w:color w:val="auto"/>
          <w:kern w:val="2"/>
          <w:sz w:val="24"/>
          <w:szCs w:val="24"/>
          <w:highlight w:val="none"/>
          <w:lang w:val="en-US" w:eastAsia="zh-CN" w:bidi="ar-SA"/>
        </w:rPr>
        <w:t>获取采购文件</w:t>
      </w:r>
      <w:r>
        <w:rPr>
          <w:rFonts w:hint="eastAsia" w:ascii="宋体" w:hAnsi="宋体" w:eastAsia="宋体" w:cstheme="minorBidi"/>
          <w:color w:val="auto"/>
          <w:kern w:val="2"/>
          <w:sz w:val="24"/>
          <w:szCs w:val="24"/>
          <w:highlight w:val="none"/>
          <w:lang w:val="en-US" w:eastAsia="zh-CN" w:bidi="ar-SA"/>
        </w:rPr>
        <w:t>的潜在投标人的任何情况。</w:t>
      </w:r>
    </w:p>
    <w:p>
      <w:pPr>
        <w:pStyle w:val="9"/>
        <w:keepNext w:val="0"/>
        <w:keepLines w:val="0"/>
        <w:pageBreakBefore w:val="0"/>
        <w:widowControl w:val="0"/>
        <w:numPr>
          <w:ilvl w:val="0"/>
          <w:numId w:val="0"/>
        </w:numPr>
        <w:tabs>
          <w:tab w:val="left" w:pos="1134"/>
          <w:tab w:val="clear" w:pos="0"/>
        </w:tabs>
        <w:kinsoku/>
        <w:wordWrap/>
        <w:overflowPunct/>
        <w:topLinePunct w:val="0"/>
        <w:autoSpaceDE/>
        <w:autoSpaceDN/>
        <w:bidi w:val="0"/>
        <w:adjustRightInd w:val="0"/>
        <w:snapToGrid w:val="0"/>
        <w:spacing w:after="0" w:line="520" w:lineRule="exact"/>
        <w:ind w:leftChars="0"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2.</w:t>
      </w:r>
      <w:r>
        <w:rPr>
          <w:rFonts w:hint="eastAsia" w:cstheme="minorBidi"/>
          <w:color w:val="auto"/>
          <w:kern w:val="2"/>
          <w:sz w:val="24"/>
          <w:szCs w:val="24"/>
          <w:highlight w:val="none"/>
          <w:lang w:val="en-US" w:eastAsia="zh-CN" w:bidi="ar-SA"/>
        </w:rPr>
        <w:t>投标人</w:t>
      </w:r>
      <w:r>
        <w:rPr>
          <w:rFonts w:hint="eastAsia" w:ascii="宋体" w:hAnsi="宋体" w:eastAsia="宋体" w:cstheme="minorBidi"/>
          <w:color w:val="auto"/>
          <w:kern w:val="2"/>
          <w:sz w:val="24"/>
          <w:szCs w:val="24"/>
          <w:highlight w:val="none"/>
          <w:lang w:val="en-US" w:eastAsia="zh-CN" w:bidi="ar-SA"/>
        </w:rPr>
        <w:t>有关投标文件的审查、澄清、评估和比较以及合同授予意向等情况</w:t>
      </w:r>
      <w:r>
        <w:rPr>
          <w:rFonts w:hint="eastAsia" w:cstheme="minorBidi"/>
          <w:color w:val="auto"/>
          <w:kern w:val="2"/>
          <w:sz w:val="24"/>
          <w:szCs w:val="24"/>
          <w:highlight w:val="none"/>
          <w:lang w:val="en-US" w:eastAsia="zh-CN" w:bidi="ar-SA"/>
        </w:rPr>
        <w:t>均</w:t>
      </w:r>
      <w:r>
        <w:rPr>
          <w:rFonts w:hint="eastAsia" w:ascii="宋体" w:hAnsi="宋体" w:eastAsia="宋体" w:cstheme="minorBidi"/>
          <w:color w:val="auto"/>
          <w:kern w:val="2"/>
          <w:sz w:val="24"/>
          <w:szCs w:val="24"/>
          <w:highlight w:val="none"/>
          <w:lang w:val="en-US" w:eastAsia="zh-CN" w:bidi="ar-SA"/>
        </w:rPr>
        <w:t>不得对外透露。</w:t>
      </w:r>
    </w:p>
    <w:p>
      <w:pPr>
        <w:pStyle w:val="49"/>
        <w:numPr>
          <w:ilvl w:val="2"/>
          <w:numId w:val="19"/>
        </w:numPr>
        <w:bidi w:val="0"/>
        <w:spacing w:line="520" w:lineRule="exact"/>
        <w:rPr>
          <w:rFonts w:hint="eastAsia"/>
          <w:color w:val="auto"/>
          <w:highlight w:val="none"/>
          <w:lang w:val="en-US" w:eastAsia="zh-CN"/>
        </w:rPr>
      </w:pPr>
      <w:bookmarkStart w:id="860" w:name="_Toc18705"/>
      <w:bookmarkStart w:id="861" w:name="_Toc13024"/>
      <w:bookmarkStart w:id="862" w:name="_Toc9400"/>
      <w:r>
        <w:rPr>
          <w:rFonts w:hint="eastAsia"/>
          <w:color w:val="auto"/>
          <w:highlight w:val="none"/>
          <w:lang w:val="en-US" w:eastAsia="zh-CN"/>
        </w:rPr>
        <w:t>回避</w:t>
      </w:r>
      <w:bookmarkEnd w:id="860"/>
      <w:bookmarkEnd w:id="861"/>
      <w:bookmarkEnd w:id="862"/>
    </w:p>
    <w:p>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center"/>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在</w:t>
      </w:r>
      <w:r>
        <w:rPr>
          <w:rFonts w:hint="eastAsia" w:cstheme="minorBidi"/>
          <w:color w:val="auto"/>
          <w:kern w:val="2"/>
          <w:sz w:val="24"/>
          <w:szCs w:val="24"/>
          <w:highlight w:val="none"/>
          <w:lang w:val="en-US" w:eastAsia="zh-CN" w:bidi="ar-SA"/>
        </w:rPr>
        <w:t>采购</w:t>
      </w:r>
      <w:r>
        <w:rPr>
          <w:rFonts w:hint="eastAsia" w:ascii="宋体" w:hAnsi="宋体" w:eastAsia="宋体" w:cstheme="minorBidi"/>
          <w:color w:val="auto"/>
          <w:kern w:val="2"/>
          <w:sz w:val="24"/>
          <w:szCs w:val="24"/>
          <w:highlight w:val="none"/>
          <w:lang w:val="en-US" w:eastAsia="zh-CN" w:bidi="ar-SA"/>
        </w:rPr>
        <w:t>活动中，采购人员及相关人员与供应商有下列利害关系之一的，应当回避：</w:t>
      </w:r>
    </w:p>
    <w:p>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center"/>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1.参加采购活动前3年内与供应商存在劳动关系；</w:t>
      </w:r>
    </w:p>
    <w:p>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center"/>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2.参加采购活动前3年内担任供应商的董事、监事；</w:t>
      </w:r>
    </w:p>
    <w:p>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center"/>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3.参加采购活动前3年内是供应商的控股股东或者实际控制人；</w:t>
      </w:r>
    </w:p>
    <w:p>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center"/>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4.与供应商的法定代表人或者负责人有夫妻、直系血亲、三代以内旁系血亲或者近姻亲关系；</w:t>
      </w:r>
    </w:p>
    <w:p>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center"/>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5.与供应商有其他可能影响</w:t>
      </w:r>
      <w:r>
        <w:rPr>
          <w:rFonts w:hint="eastAsia" w:cstheme="minorBidi"/>
          <w:color w:val="auto"/>
          <w:kern w:val="2"/>
          <w:sz w:val="24"/>
          <w:szCs w:val="24"/>
          <w:highlight w:val="none"/>
          <w:lang w:val="en-US" w:eastAsia="zh-CN" w:bidi="ar-SA"/>
        </w:rPr>
        <w:t>采购</w:t>
      </w:r>
      <w:r>
        <w:rPr>
          <w:rFonts w:hint="eastAsia" w:ascii="宋体" w:hAnsi="宋体" w:eastAsia="宋体" w:cstheme="minorBidi"/>
          <w:color w:val="auto"/>
          <w:kern w:val="2"/>
          <w:sz w:val="24"/>
          <w:szCs w:val="24"/>
          <w:highlight w:val="none"/>
          <w:lang w:val="en-US" w:eastAsia="zh-CN" w:bidi="ar-SA"/>
        </w:rPr>
        <w:t>活动公平、公正进行的关系。</w:t>
      </w:r>
    </w:p>
    <w:p>
      <w:pPr>
        <w:pStyle w:val="9"/>
        <w:keepNext w:val="0"/>
        <w:keepLines w:val="0"/>
        <w:pageBreakBefore w:val="0"/>
        <w:widowControl w:val="0"/>
        <w:numPr>
          <w:ilvl w:val="0"/>
          <w:numId w:val="0"/>
        </w:numPr>
        <w:tabs>
          <w:tab w:val="left" w:pos="1134"/>
          <w:tab w:val="clear" w:pos="0"/>
        </w:tabs>
        <w:kinsoku/>
        <w:wordWrap/>
        <w:overflowPunct/>
        <w:topLinePunct w:val="0"/>
        <w:autoSpaceDE/>
        <w:autoSpaceDN/>
        <w:bidi w:val="0"/>
        <w:adjustRightInd w:val="0"/>
        <w:snapToGrid w:val="0"/>
        <w:spacing w:after="0" w:line="520" w:lineRule="exact"/>
        <w:ind w:leftChars="0" w:firstLine="480" w:firstLineChars="200"/>
        <w:textAlignment w:val="auto"/>
        <w:rPr>
          <w:rFonts w:hint="eastAsia"/>
          <w:color w:val="auto"/>
          <w:highlight w:val="none"/>
          <w:lang w:val="en-US" w:eastAsia="zh-CN"/>
        </w:rPr>
      </w:pPr>
      <w:r>
        <w:rPr>
          <w:rFonts w:hint="eastAsia" w:ascii="宋体" w:hAnsi="宋体" w:eastAsia="宋体" w:cstheme="minorBidi"/>
          <w:color w:val="auto"/>
          <w:kern w:val="2"/>
          <w:sz w:val="24"/>
          <w:szCs w:val="24"/>
          <w:highlight w:val="none"/>
          <w:lang w:val="en-US" w:eastAsia="zh-CN" w:bidi="ar-SA"/>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9"/>
        <w:numPr>
          <w:ilvl w:val="2"/>
          <w:numId w:val="19"/>
        </w:numPr>
        <w:bidi w:val="0"/>
        <w:spacing w:line="520" w:lineRule="exact"/>
        <w:rPr>
          <w:rFonts w:hint="eastAsia"/>
          <w:color w:val="auto"/>
          <w:highlight w:val="none"/>
          <w:lang w:val="en-US" w:eastAsia="zh-CN"/>
        </w:rPr>
      </w:pPr>
      <w:bookmarkStart w:id="863" w:name="_Toc25304"/>
      <w:bookmarkStart w:id="864" w:name="_Toc8612"/>
      <w:r>
        <w:rPr>
          <w:rFonts w:hint="eastAsia"/>
          <w:color w:val="auto"/>
          <w:highlight w:val="none"/>
          <w:lang w:val="en-US" w:eastAsia="zh-CN"/>
        </w:rPr>
        <w:t>解释说明</w:t>
      </w:r>
      <w:bookmarkEnd w:id="863"/>
      <w:bookmarkEnd w:id="864"/>
    </w:p>
    <w:p>
      <w:pPr>
        <w:pStyle w:val="32"/>
        <w:keepNext w:val="0"/>
        <w:keepLines w:val="0"/>
        <w:pageBreakBefore w:val="0"/>
        <w:widowControl w:val="0"/>
        <w:numPr>
          <w:ilvl w:val="1"/>
          <w:numId w:val="0"/>
        </w:numPr>
        <w:kinsoku/>
        <w:wordWrap w:val="0"/>
        <w:overflowPunct/>
        <w:topLinePunct/>
        <w:autoSpaceDE/>
        <w:autoSpaceDN/>
        <w:bidi w:val="0"/>
        <w:adjustRightInd w:val="0"/>
        <w:snapToGrid w:val="0"/>
        <w:spacing w:line="520" w:lineRule="exact"/>
        <w:ind w:leftChars="0" w:firstLine="480" w:firstLineChars="200"/>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本</w:t>
      </w:r>
      <w:r>
        <w:rPr>
          <w:rFonts w:hint="eastAsia"/>
          <w:color w:val="auto"/>
          <w:highlight w:val="none"/>
          <w:lang w:val="en-US" w:eastAsia="zh-CN"/>
        </w:rPr>
        <w:t>招标文件</w:t>
      </w:r>
      <w:r>
        <w:rPr>
          <w:rFonts w:hint="eastAsia"/>
          <w:color w:val="auto"/>
          <w:highlight w:val="none"/>
        </w:rPr>
        <w:t>中作为实质性要求的内容，除明确要求</w:t>
      </w:r>
      <w:r>
        <w:rPr>
          <w:rFonts w:hint="eastAsia"/>
          <w:color w:val="auto"/>
          <w:highlight w:val="none"/>
          <w:lang w:val="en-US" w:eastAsia="zh-CN"/>
        </w:rPr>
        <w:t>需在投标时</w:t>
      </w:r>
      <w:r>
        <w:rPr>
          <w:rFonts w:hint="eastAsia"/>
          <w:color w:val="auto"/>
          <w:highlight w:val="none"/>
        </w:rPr>
        <w:t>提供承诺函等证明材料的外，采购人或采购代理机构或评标委员会在评审时，仅对投标文件是否违背实质性要求进行审查</w:t>
      </w:r>
      <w:r>
        <w:rPr>
          <w:rFonts w:hint="eastAsia"/>
          <w:color w:val="auto"/>
          <w:highlight w:val="none"/>
          <w:lang w:eastAsia="zh-CN"/>
        </w:rPr>
        <w:t>，</w:t>
      </w:r>
      <w:r>
        <w:rPr>
          <w:rFonts w:hint="eastAsia"/>
          <w:color w:val="auto"/>
          <w:highlight w:val="none"/>
          <w:lang w:val="en-US" w:eastAsia="zh-CN"/>
        </w:rPr>
        <w:t>如该项未</w:t>
      </w:r>
      <w:r>
        <w:rPr>
          <w:rFonts w:hint="eastAsia"/>
          <w:color w:val="auto"/>
          <w:highlight w:val="none"/>
        </w:rPr>
        <w:t>违背实质性</w:t>
      </w:r>
      <w:r>
        <w:rPr>
          <w:rFonts w:hint="eastAsia"/>
          <w:color w:val="auto"/>
          <w:highlight w:val="none"/>
          <w:lang w:val="en-US" w:eastAsia="zh-CN"/>
        </w:rPr>
        <w:t>要求，视为满足实质性要求</w:t>
      </w:r>
      <w:r>
        <w:rPr>
          <w:rFonts w:hint="eastAsia"/>
          <w:color w:val="auto"/>
          <w:highlight w:val="none"/>
        </w:rPr>
        <w:t>。</w:t>
      </w:r>
    </w:p>
    <w:p>
      <w:pPr>
        <w:pStyle w:val="32"/>
        <w:keepNext w:val="0"/>
        <w:keepLines w:val="0"/>
        <w:pageBreakBefore w:val="0"/>
        <w:widowControl w:val="0"/>
        <w:numPr>
          <w:ilvl w:val="1"/>
          <w:numId w:val="0"/>
        </w:numPr>
        <w:kinsoku/>
        <w:wordWrap w:val="0"/>
        <w:overflowPunct/>
        <w:topLinePunct/>
        <w:autoSpaceDE/>
        <w:autoSpaceDN/>
        <w:bidi w:val="0"/>
        <w:adjustRightInd w:val="0"/>
        <w:snapToGrid w:val="0"/>
        <w:spacing w:line="520" w:lineRule="exact"/>
        <w:ind w:leftChars="0" w:firstLine="480" w:firstLineChars="200"/>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本招标文件中所引</w:t>
      </w:r>
      <w:r>
        <w:rPr>
          <w:rFonts w:hint="eastAsia"/>
          <w:color w:val="auto"/>
          <w:highlight w:val="none"/>
          <w:lang w:val="en-US" w:eastAsia="zh-CN"/>
        </w:rPr>
        <w:t>用的</w:t>
      </w:r>
      <w:r>
        <w:rPr>
          <w:rFonts w:hint="eastAsia"/>
          <w:color w:val="auto"/>
          <w:highlight w:val="none"/>
        </w:rPr>
        <w:t>相关法律</w:t>
      </w:r>
      <w:r>
        <w:rPr>
          <w:rFonts w:hint="eastAsia"/>
          <w:color w:val="auto"/>
          <w:highlight w:val="none"/>
          <w:lang w:val="en-US" w:eastAsia="zh-CN"/>
        </w:rPr>
        <w:t>法规</w:t>
      </w:r>
      <w:r>
        <w:rPr>
          <w:rFonts w:hint="eastAsia"/>
          <w:color w:val="auto"/>
          <w:highlight w:val="none"/>
        </w:rPr>
        <w:t>规定，在</w:t>
      </w:r>
      <w:r>
        <w:rPr>
          <w:rFonts w:hint="eastAsia"/>
          <w:color w:val="auto"/>
          <w:highlight w:val="none"/>
          <w:lang w:eastAsia="zh-CN"/>
        </w:rPr>
        <w:t>采购</w:t>
      </w:r>
      <w:r>
        <w:rPr>
          <w:rFonts w:hint="eastAsia"/>
          <w:color w:val="auto"/>
          <w:highlight w:val="none"/>
        </w:rPr>
        <w:t>中有</w:t>
      </w:r>
      <w:r>
        <w:rPr>
          <w:rFonts w:hint="eastAsia"/>
          <w:color w:val="auto"/>
          <w:highlight w:val="none"/>
          <w:lang w:val="en-US" w:eastAsia="zh-CN"/>
        </w:rPr>
        <w:t>调整</w:t>
      </w:r>
      <w:r>
        <w:rPr>
          <w:rFonts w:hint="eastAsia"/>
          <w:color w:val="auto"/>
          <w:highlight w:val="none"/>
        </w:rPr>
        <w:t>的，按照</w:t>
      </w:r>
      <w:r>
        <w:rPr>
          <w:rFonts w:hint="eastAsia"/>
          <w:color w:val="auto"/>
          <w:highlight w:val="none"/>
          <w:lang w:val="en-US" w:eastAsia="zh-CN"/>
        </w:rPr>
        <w:t>调整</w:t>
      </w:r>
      <w:r>
        <w:rPr>
          <w:rFonts w:hint="eastAsia"/>
          <w:color w:val="auto"/>
          <w:highlight w:val="none"/>
        </w:rPr>
        <w:t>后的相关法律</w:t>
      </w:r>
      <w:r>
        <w:rPr>
          <w:rFonts w:hint="eastAsia"/>
          <w:color w:val="auto"/>
          <w:highlight w:val="none"/>
          <w:lang w:val="en-US" w:eastAsia="zh-CN"/>
        </w:rPr>
        <w:t>法规</w:t>
      </w:r>
      <w:r>
        <w:rPr>
          <w:rFonts w:hint="eastAsia"/>
          <w:color w:val="auto"/>
          <w:highlight w:val="none"/>
        </w:rPr>
        <w:t>规定执行。本章和第七章中“1.总则、2.评标方法、3.评标程序”规定的内容条款，在本项目投标截止时间届满后，因相关法律</w:t>
      </w:r>
      <w:r>
        <w:rPr>
          <w:rFonts w:hint="eastAsia"/>
          <w:color w:val="auto"/>
          <w:highlight w:val="none"/>
          <w:lang w:val="en-US" w:eastAsia="zh-CN"/>
        </w:rPr>
        <w:t>法规</w:t>
      </w:r>
      <w:r>
        <w:rPr>
          <w:rFonts w:hint="eastAsia"/>
          <w:color w:val="auto"/>
          <w:highlight w:val="none"/>
        </w:rPr>
        <w:t>规定的</w:t>
      </w:r>
      <w:r>
        <w:rPr>
          <w:rFonts w:hint="eastAsia"/>
          <w:color w:val="auto"/>
          <w:highlight w:val="none"/>
          <w:lang w:val="en-US" w:eastAsia="zh-CN"/>
        </w:rPr>
        <w:t>调整</w:t>
      </w:r>
      <w:r>
        <w:rPr>
          <w:rFonts w:hint="eastAsia"/>
          <w:color w:val="auto"/>
          <w:highlight w:val="none"/>
        </w:rPr>
        <w:t>导致不符合相关法律</w:t>
      </w:r>
      <w:r>
        <w:rPr>
          <w:rFonts w:hint="eastAsia"/>
          <w:color w:val="auto"/>
          <w:highlight w:val="none"/>
          <w:lang w:val="en-US" w:eastAsia="zh-CN"/>
        </w:rPr>
        <w:t>法规</w:t>
      </w:r>
      <w:r>
        <w:rPr>
          <w:rFonts w:hint="eastAsia"/>
          <w:color w:val="auto"/>
          <w:highlight w:val="none"/>
        </w:rPr>
        <w:t>规定的，按照</w:t>
      </w:r>
      <w:r>
        <w:rPr>
          <w:rFonts w:hint="eastAsia"/>
          <w:color w:val="auto"/>
          <w:highlight w:val="none"/>
          <w:lang w:val="en-US" w:eastAsia="zh-CN"/>
        </w:rPr>
        <w:t>调整</w:t>
      </w:r>
      <w:r>
        <w:rPr>
          <w:rFonts w:hint="eastAsia"/>
          <w:color w:val="auto"/>
          <w:highlight w:val="none"/>
        </w:rPr>
        <w:t>后的相关法律</w:t>
      </w:r>
      <w:r>
        <w:rPr>
          <w:rFonts w:hint="eastAsia"/>
          <w:color w:val="auto"/>
          <w:highlight w:val="none"/>
          <w:lang w:val="en-US" w:eastAsia="zh-CN"/>
        </w:rPr>
        <w:t>法规</w:t>
      </w:r>
      <w:r>
        <w:rPr>
          <w:rFonts w:hint="eastAsia"/>
          <w:color w:val="auto"/>
          <w:highlight w:val="none"/>
        </w:rPr>
        <w:t>规定执行，本招标文件不再做调整。</w:t>
      </w:r>
    </w:p>
    <w:p>
      <w:pPr>
        <w:pStyle w:val="32"/>
        <w:keepNext w:val="0"/>
        <w:keepLines w:val="0"/>
        <w:pageBreakBefore w:val="0"/>
        <w:widowControl w:val="0"/>
        <w:numPr>
          <w:ilvl w:val="1"/>
          <w:numId w:val="0"/>
        </w:numPr>
        <w:kinsoku/>
        <w:wordWrap w:val="0"/>
        <w:overflowPunct/>
        <w:topLinePunct/>
        <w:autoSpaceDE/>
        <w:autoSpaceDN/>
        <w:bidi w:val="0"/>
        <w:adjustRightInd w:val="0"/>
        <w:snapToGrid w:val="0"/>
        <w:spacing w:line="520" w:lineRule="exact"/>
        <w:ind w:leftChars="0" w:firstLine="480" w:firstLineChars="200"/>
        <w:textAlignment w:val="auto"/>
        <w:rPr>
          <w:rFonts w:hint="eastAsia"/>
          <w:color w:val="auto"/>
          <w:highlight w:val="none"/>
        </w:rPr>
      </w:pPr>
      <w:r>
        <w:rPr>
          <w:rFonts w:hint="eastAsia"/>
          <w:color w:val="auto"/>
          <w:highlight w:val="none"/>
          <w:lang w:val="en-US" w:eastAsia="zh-CN"/>
        </w:rPr>
        <w:t>3.</w:t>
      </w:r>
      <w:r>
        <w:rPr>
          <w:rFonts w:hint="eastAsia"/>
          <w:color w:val="auto"/>
          <w:highlight w:val="none"/>
        </w:rPr>
        <w:t>国家或行业主管部门对供应商和采购产品的技术标准、质量标准和资格资质条件等有强制性规定的，必须符合其要求</w:t>
      </w:r>
      <w:r>
        <w:rPr>
          <w:rFonts w:hint="eastAsia"/>
          <w:b/>
          <w:bCs/>
          <w:color w:val="auto"/>
          <w:highlight w:val="none"/>
          <w:lang w:eastAsia="zh-CN"/>
        </w:rPr>
        <w:t>(</w:t>
      </w:r>
      <w:r>
        <w:rPr>
          <w:rFonts w:hint="eastAsia"/>
          <w:b/>
          <w:bCs/>
          <w:color w:val="auto"/>
          <w:highlight w:val="none"/>
        </w:rPr>
        <w:t>实质性要求</w:t>
      </w:r>
      <w:r>
        <w:rPr>
          <w:rFonts w:hint="eastAsia"/>
          <w:b/>
          <w:bCs/>
          <w:color w:val="auto"/>
          <w:highlight w:val="none"/>
          <w:lang w:eastAsia="zh-CN"/>
        </w:rPr>
        <w:t>)</w:t>
      </w:r>
      <w:r>
        <w:rPr>
          <w:rFonts w:hint="eastAsia"/>
          <w:color w:val="auto"/>
          <w:highlight w:val="none"/>
        </w:rPr>
        <w:t>。</w:t>
      </w:r>
    </w:p>
    <w:p>
      <w:pPr>
        <w:pStyle w:val="32"/>
        <w:numPr>
          <w:ilvl w:val="1"/>
          <w:numId w:val="0"/>
        </w:numPr>
        <w:bidi w:val="0"/>
        <w:spacing w:line="520" w:lineRule="exact"/>
        <w:ind w:firstLine="480" w:firstLineChars="200"/>
        <w:rPr>
          <w:color w:val="auto"/>
          <w:highlight w:val="none"/>
        </w:rPr>
      </w:pPr>
      <w:r>
        <w:rPr>
          <w:rFonts w:hint="eastAsia" w:eastAsia="宋体"/>
          <w:color w:val="auto"/>
          <w:highlight w:val="none"/>
          <w:lang w:val="en-US" w:eastAsia="zh-CN"/>
        </w:rPr>
        <w:t>4.</w:t>
      </w:r>
      <w:r>
        <w:rPr>
          <w:rFonts w:hint="eastAsia" w:ascii="宋体" w:hAnsi="宋体" w:eastAsia="宋体" w:cs="宋体"/>
          <w:color w:val="auto"/>
          <w:sz w:val="24"/>
          <w:szCs w:val="24"/>
          <w:highlight w:val="none"/>
          <w:lang w:val="en-US" w:eastAsia="zh-CN"/>
        </w:rPr>
        <w:t>本项目涉及企业资质、产品认证、人员执业资格等描述与国家最新要求不一致时以最新要求为准。</w:t>
      </w:r>
    </w:p>
    <w:p>
      <w:pPr>
        <w:pStyle w:val="48"/>
        <w:numPr>
          <w:ilvl w:val="0"/>
          <w:numId w:val="13"/>
        </w:numPr>
        <w:bidi w:val="0"/>
        <w:rPr>
          <w:rFonts w:hint="eastAsia"/>
          <w:color w:val="auto"/>
          <w:highlight w:val="none"/>
        </w:rPr>
      </w:pPr>
      <w:r>
        <w:rPr>
          <w:rFonts w:hint="eastAsia"/>
          <w:color w:val="auto"/>
          <w:highlight w:val="none"/>
        </w:rPr>
        <w:br w:type="page"/>
      </w:r>
      <w:bookmarkEnd w:id="836"/>
      <w:bookmarkStart w:id="865" w:name="_Toc4206"/>
      <w:bookmarkStart w:id="866" w:name="_Toc25961"/>
      <w:bookmarkStart w:id="867" w:name="_Toc31402"/>
      <w:bookmarkStart w:id="868" w:name="_Toc29575"/>
      <w:bookmarkStart w:id="869" w:name="_Toc16256"/>
      <w:bookmarkStart w:id="870" w:name="_Toc11566"/>
      <w:r>
        <w:rPr>
          <w:rFonts w:hint="eastAsia"/>
          <w:color w:val="auto"/>
          <w:highlight w:val="none"/>
        </w:rPr>
        <w:t>投标文件格式</w:t>
      </w:r>
      <w:bookmarkEnd w:id="865"/>
      <w:bookmarkEnd w:id="866"/>
      <w:bookmarkEnd w:id="867"/>
      <w:bookmarkEnd w:id="868"/>
      <w:bookmarkEnd w:id="869"/>
      <w:bookmarkEnd w:id="870"/>
    </w:p>
    <w:p>
      <w:pPr>
        <w:pStyle w:val="50"/>
        <w:bidi w:val="0"/>
        <w:spacing w:line="520" w:lineRule="exact"/>
        <w:rPr>
          <w:rFonts w:hint="eastAsia"/>
          <w:color w:val="auto"/>
          <w:highlight w:val="none"/>
        </w:rPr>
      </w:pPr>
      <w:bookmarkStart w:id="871" w:name="_Toc316462354"/>
      <w:bookmarkStart w:id="872" w:name="_Toc439161746"/>
      <w:bookmarkStart w:id="873" w:name="_Toc287367101"/>
      <w:bookmarkStart w:id="874" w:name="_Toc211218954"/>
      <w:bookmarkStart w:id="875" w:name="_Toc294688711"/>
      <w:bookmarkStart w:id="876" w:name="_Toc294701519"/>
      <w:bookmarkStart w:id="877" w:name="_Toc295978802"/>
      <w:bookmarkStart w:id="878" w:name="_Toc182629023"/>
      <w:bookmarkStart w:id="879" w:name="_Toc182759327"/>
      <w:bookmarkStart w:id="880" w:name="_Toc16460"/>
      <w:r>
        <w:rPr>
          <w:rFonts w:hint="eastAsia"/>
          <w:color w:val="auto"/>
          <w:highlight w:val="none"/>
        </w:rPr>
        <w:t>一、本章所制</w:t>
      </w:r>
      <w:r>
        <w:rPr>
          <w:rFonts w:hint="eastAsia"/>
          <w:color w:val="auto"/>
          <w:highlight w:val="none"/>
          <w:lang w:val="en-US" w:eastAsia="zh-CN"/>
        </w:rPr>
        <w:t>投标</w:t>
      </w:r>
      <w:r>
        <w:rPr>
          <w:rFonts w:hint="eastAsia"/>
          <w:color w:val="auto"/>
          <w:highlight w:val="none"/>
        </w:rPr>
        <w:t>文件格式，除格式中明确将该格式作为实质性要求的，一律不具有强制性。</w:t>
      </w:r>
    </w:p>
    <w:p>
      <w:pPr>
        <w:pStyle w:val="50"/>
        <w:bidi w:val="0"/>
        <w:spacing w:line="520" w:lineRule="exact"/>
        <w:rPr>
          <w:rFonts w:hint="eastAsia"/>
          <w:color w:val="auto"/>
          <w:highlight w:val="none"/>
        </w:rPr>
      </w:pPr>
      <w:r>
        <w:rPr>
          <w:rFonts w:hint="eastAsia"/>
          <w:color w:val="auto"/>
          <w:highlight w:val="none"/>
        </w:rPr>
        <w:t>二、本章所制</w:t>
      </w:r>
      <w:r>
        <w:rPr>
          <w:rFonts w:hint="eastAsia"/>
          <w:color w:val="auto"/>
          <w:highlight w:val="none"/>
          <w:lang w:val="en-US" w:eastAsia="zh-CN"/>
        </w:rPr>
        <w:t>投标</w:t>
      </w:r>
      <w:r>
        <w:rPr>
          <w:rFonts w:hint="eastAsia"/>
          <w:color w:val="auto"/>
          <w:highlight w:val="none"/>
        </w:rPr>
        <w:t>文件格式有关表格中的备注栏，由</w:t>
      </w:r>
      <w:r>
        <w:rPr>
          <w:rFonts w:hint="eastAsia"/>
          <w:color w:val="auto"/>
          <w:highlight w:val="none"/>
          <w:lang w:val="en-US" w:eastAsia="zh-CN"/>
        </w:rPr>
        <w:t>投标人</w:t>
      </w:r>
      <w:r>
        <w:rPr>
          <w:rFonts w:hint="eastAsia"/>
          <w:color w:val="auto"/>
          <w:highlight w:val="none"/>
        </w:rPr>
        <w:t>根据自身</w:t>
      </w:r>
      <w:r>
        <w:rPr>
          <w:rFonts w:hint="eastAsia"/>
          <w:color w:val="auto"/>
          <w:highlight w:val="none"/>
          <w:lang w:val="en-US" w:eastAsia="zh-CN"/>
        </w:rPr>
        <w:t>投标</w:t>
      </w:r>
      <w:r>
        <w:rPr>
          <w:rFonts w:hint="eastAsia"/>
          <w:color w:val="auto"/>
          <w:highlight w:val="none"/>
        </w:rPr>
        <w:t>情况作解释性说明，不作为必填项。</w:t>
      </w:r>
    </w:p>
    <w:p>
      <w:pPr>
        <w:pStyle w:val="50"/>
        <w:bidi w:val="0"/>
        <w:spacing w:line="520" w:lineRule="exact"/>
        <w:rPr>
          <w:rFonts w:hint="eastAsia"/>
          <w:color w:val="auto"/>
          <w:highlight w:val="none"/>
        </w:rPr>
      </w:pPr>
      <w:r>
        <w:rPr>
          <w:rFonts w:hint="eastAsia"/>
          <w:color w:val="auto"/>
          <w:highlight w:val="none"/>
          <w:lang w:val="en-US" w:eastAsia="zh-CN"/>
        </w:rPr>
        <w:t>三、本章</w:t>
      </w:r>
      <w:r>
        <w:rPr>
          <w:rFonts w:hint="eastAsia"/>
          <w:color w:val="auto"/>
          <w:highlight w:val="none"/>
        </w:rPr>
        <w:t>格式中“注”的内容，</w:t>
      </w:r>
      <w:r>
        <w:rPr>
          <w:rFonts w:hint="eastAsia"/>
          <w:color w:val="auto"/>
          <w:highlight w:val="none"/>
          <w:lang w:val="en-US" w:eastAsia="zh-CN"/>
        </w:rPr>
        <w:t>供应商</w:t>
      </w:r>
      <w:r>
        <w:rPr>
          <w:rFonts w:hint="eastAsia"/>
          <w:color w:val="auto"/>
          <w:highlight w:val="none"/>
        </w:rPr>
        <w:t>可自行决定是否保留在</w:t>
      </w:r>
      <w:r>
        <w:rPr>
          <w:rFonts w:hint="eastAsia"/>
          <w:color w:val="auto"/>
          <w:highlight w:val="none"/>
          <w:lang w:val="en-US" w:eastAsia="zh-CN"/>
        </w:rPr>
        <w:t>投标</w:t>
      </w:r>
      <w:r>
        <w:rPr>
          <w:rFonts w:hint="eastAsia"/>
          <w:color w:val="auto"/>
          <w:highlight w:val="none"/>
        </w:rPr>
        <w:t>文件中，未保留的视为</w:t>
      </w:r>
      <w:r>
        <w:rPr>
          <w:rFonts w:hint="eastAsia"/>
          <w:color w:val="auto"/>
          <w:highlight w:val="none"/>
          <w:lang w:val="en-US" w:eastAsia="zh-CN"/>
        </w:rPr>
        <w:t>供应商</w:t>
      </w:r>
      <w:r>
        <w:rPr>
          <w:rFonts w:hint="eastAsia"/>
          <w:color w:val="auto"/>
          <w:highlight w:val="none"/>
        </w:rPr>
        <w:t>默认接受“注”的内容</w:t>
      </w:r>
      <w:r>
        <w:rPr>
          <w:rFonts w:hint="eastAsia"/>
          <w:color w:val="auto"/>
          <w:highlight w:val="none"/>
          <w:lang w:eastAsia="zh-CN"/>
        </w:rPr>
        <w:t>。</w:t>
      </w:r>
    </w:p>
    <w:p>
      <w:pPr>
        <w:pStyle w:val="50"/>
        <w:bidi w:val="0"/>
        <w:spacing w:line="520" w:lineRule="exact"/>
        <w:rPr>
          <w:rFonts w:hint="eastAsia"/>
          <w:color w:val="auto"/>
          <w:highlight w:val="none"/>
        </w:rPr>
      </w:pPr>
      <w:r>
        <w:rPr>
          <w:rFonts w:hint="eastAsia"/>
          <w:color w:val="auto"/>
          <w:highlight w:val="none"/>
          <w:lang w:val="en-US" w:eastAsia="zh-CN"/>
        </w:rPr>
        <w:t>四</w:t>
      </w:r>
      <w:r>
        <w:rPr>
          <w:rFonts w:hint="eastAsia"/>
          <w:color w:val="auto"/>
          <w:highlight w:val="none"/>
        </w:rPr>
        <w:t>、本章所制</w:t>
      </w:r>
      <w:r>
        <w:rPr>
          <w:rFonts w:hint="eastAsia"/>
          <w:color w:val="auto"/>
          <w:highlight w:val="none"/>
          <w:lang w:val="en-US" w:eastAsia="zh-CN"/>
        </w:rPr>
        <w:t>投标</w:t>
      </w:r>
      <w:r>
        <w:rPr>
          <w:rFonts w:hint="eastAsia"/>
          <w:color w:val="auto"/>
          <w:highlight w:val="none"/>
        </w:rPr>
        <w:t>文件格式中需要填写的相关内容事项，可能会与本采购项目无关，在不改变</w:t>
      </w:r>
      <w:r>
        <w:rPr>
          <w:rFonts w:hint="eastAsia"/>
          <w:color w:val="auto"/>
          <w:highlight w:val="none"/>
          <w:lang w:val="en-US" w:eastAsia="zh-CN"/>
        </w:rPr>
        <w:t>投标文件</w:t>
      </w:r>
      <w:r>
        <w:rPr>
          <w:rFonts w:hint="eastAsia"/>
          <w:color w:val="auto"/>
          <w:highlight w:val="none"/>
        </w:rPr>
        <w:t>原义、不影响本项目采购需求的情况下，</w:t>
      </w:r>
      <w:r>
        <w:rPr>
          <w:rFonts w:hint="eastAsia"/>
          <w:color w:val="auto"/>
          <w:highlight w:val="none"/>
          <w:lang w:val="en-US" w:eastAsia="zh-CN"/>
        </w:rPr>
        <w:t>投标人</w:t>
      </w:r>
      <w:r>
        <w:rPr>
          <w:rFonts w:hint="eastAsia"/>
          <w:color w:val="auto"/>
          <w:highlight w:val="none"/>
        </w:rPr>
        <w:t>可以不予填写，但应当注明。</w:t>
      </w:r>
    </w:p>
    <w:p>
      <w:pPr>
        <w:pStyle w:val="42"/>
        <w:bidi w:val="0"/>
        <w:rPr>
          <w:rFonts w:hint="eastAsia"/>
          <w:color w:val="auto"/>
          <w:highlight w:val="none"/>
        </w:rPr>
      </w:pPr>
      <w:r>
        <w:rPr>
          <w:rFonts w:hint="eastAsia"/>
          <w:color w:val="auto"/>
          <w:highlight w:val="none"/>
        </w:rPr>
        <w:br w:type="page"/>
      </w:r>
    </w:p>
    <w:p>
      <w:pPr>
        <w:pStyle w:val="33"/>
        <w:bidi w:val="0"/>
        <w:rPr>
          <w:rFonts w:hint="eastAsia"/>
          <w:color w:val="auto"/>
          <w:highlight w:val="none"/>
        </w:rPr>
      </w:pPr>
      <w:r>
        <w:rPr>
          <w:rFonts w:hint="eastAsia"/>
          <w:color w:val="auto"/>
          <w:highlight w:val="none"/>
        </w:rPr>
        <w:t>附件：密封袋的格式</w:t>
      </w:r>
    </w:p>
    <w:p>
      <w:pPr>
        <w:pStyle w:val="33"/>
        <w:bidi w:val="0"/>
        <w:rPr>
          <w:rFonts w:hint="eastAsia"/>
          <w:color w:val="auto"/>
          <w:highlight w:val="none"/>
        </w:rPr>
      </w:pPr>
    </w:p>
    <w:p>
      <w:pPr>
        <w:pStyle w:val="33"/>
        <w:bidi w:val="0"/>
        <w:rPr>
          <w:rFonts w:hint="eastAsia"/>
          <w:color w:val="auto"/>
          <w:highlight w:val="none"/>
        </w:rPr>
      </w:pPr>
    </w:p>
    <w:p>
      <w:pPr>
        <w:pStyle w:val="33"/>
        <w:bidi w:val="0"/>
        <w:rPr>
          <w:rFonts w:hint="eastAsia"/>
          <w:color w:val="auto"/>
          <w:highlight w:val="none"/>
        </w:rPr>
      </w:pPr>
    </w:p>
    <w:tbl>
      <w:tblPr>
        <w:tblStyle w:val="21"/>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vAlign w:val="top"/>
          </w:tcPr>
          <w:p>
            <w:pPr>
              <w:pStyle w:val="33"/>
              <w:bidi w:val="0"/>
              <w:rPr>
                <w:rFonts w:hint="eastAsia"/>
                <w:color w:val="auto"/>
                <w:highlight w:val="none"/>
              </w:rPr>
            </w:pPr>
          </w:p>
          <w:p>
            <w:pPr>
              <w:pStyle w:val="33"/>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color w:val="auto"/>
                <w:highlight w:val="none"/>
              </w:rPr>
            </w:pPr>
            <w:r>
              <w:rPr>
                <w:rFonts w:hint="eastAsia"/>
                <w:color w:val="auto"/>
                <w:highlight w:val="none"/>
              </w:rPr>
              <w:t>项目编号：</w:t>
            </w:r>
            <w:r>
              <w:rPr>
                <w:rFonts w:hint="eastAsia" w:asciiTheme="minorEastAsia" w:hAnsiTheme="minorEastAsia" w:eastAsiaTheme="minorEastAsia" w:cstheme="minorEastAsia"/>
                <w:color w:val="auto"/>
                <w:sz w:val="24"/>
                <w:highlight w:val="none"/>
                <w:u w:val="single"/>
              </w:rPr>
              <w:t xml:space="preserve">                   </w:t>
            </w:r>
            <w:r>
              <w:rPr>
                <w:rFonts w:hint="eastAsia"/>
                <w:color w:val="auto"/>
                <w:highlight w:val="none"/>
              </w:rPr>
              <w:t xml:space="preserve">                   </w:t>
            </w:r>
          </w:p>
          <w:p>
            <w:pPr>
              <w:pStyle w:val="33"/>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color w:val="auto"/>
                <w:highlight w:val="none"/>
              </w:rPr>
            </w:pPr>
            <w:r>
              <w:rPr>
                <w:rFonts w:hint="eastAsia"/>
                <w:color w:val="auto"/>
                <w:highlight w:val="none"/>
              </w:rPr>
              <w:t>项目名称</w:t>
            </w:r>
            <w:r>
              <w:rPr>
                <w:rFonts w:hint="eastAsia"/>
                <w:color w:val="auto"/>
                <w:highlight w:val="none"/>
                <w:lang w:eastAsia="zh-CN"/>
              </w:rPr>
              <w:t>：</w:t>
            </w:r>
            <w:r>
              <w:rPr>
                <w:rFonts w:hint="eastAsia" w:asciiTheme="minorEastAsia" w:hAnsiTheme="minorEastAsia" w:eastAsiaTheme="minorEastAsia" w:cstheme="minorEastAsia"/>
                <w:color w:val="auto"/>
                <w:sz w:val="24"/>
                <w:highlight w:val="none"/>
                <w:u w:val="single"/>
              </w:rPr>
              <w:t xml:space="preserve">                   </w:t>
            </w:r>
            <w:r>
              <w:rPr>
                <w:rFonts w:hint="eastAsia"/>
                <w:color w:val="auto"/>
                <w:highlight w:val="none"/>
              </w:rPr>
              <w:t xml:space="preserve">                   </w:t>
            </w:r>
          </w:p>
          <w:p>
            <w:pPr>
              <w:pStyle w:val="33"/>
              <w:bidi w:val="0"/>
              <w:rPr>
                <w:rFonts w:hint="eastAsia"/>
                <w:color w:val="auto"/>
                <w:highlight w:val="none"/>
              </w:rPr>
            </w:pPr>
          </w:p>
          <w:p>
            <w:pPr>
              <w:pStyle w:val="33"/>
              <w:bidi w:val="0"/>
              <w:jc w:val="center"/>
              <w:rPr>
                <w:rFonts w:hint="eastAsia"/>
                <w:b/>
                <w:bCs/>
                <w:color w:val="auto"/>
                <w:sz w:val="32"/>
                <w:szCs w:val="32"/>
                <w:highlight w:val="none"/>
              </w:rPr>
            </w:pPr>
            <w:r>
              <w:rPr>
                <w:rFonts w:hint="eastAsia"/>
                <w:b/>
                <w:bCs/>
                <w:color w:val="auto"/>
                <w:sz w:val="32"/>
                <w:szCs w:val="32"/>
                <w:highlight w:val="none"/>
                <w:lang w:eastAsia="zh-CN"/>
              </w:rPr>
              <w:t>资格、资质性及其他类似效力投标文件</w:t>
            </w:r>
            <w:r>
              <w:rPr>
                <w:rFonts w:hint="eastAsia"/>
                <w:b/>
                <w:bCs/>
                <w:color w:val="auto"/>
                <w:sz w:val="32"/>
                <w:szCs w:val="32"/>
                <w:highlight w:val="none"/>
                <w:lang w:val="en-US" w:eastAsia="zh-CN"/>
              </w:rPr>
              <w:t>/</w:t>
            </w:r>
            <w:r>
              <w:rPr>
                <w:rFonts w:hint="eastAsia"/>
                <w:b/>
                <w:bCs/>
                <w:color w:val="auto"/>
                <w:sz w:val="32"/>
                <w:szCs w:val="32"/>
                <w:highlight w:val="none"/>
              </w:rPr>
              <w:t>其他</w:t>
            </w:r>
            <w:r>
              <w:rPr>
                <w:rFonts w:hint="eastAsia"/>
                <w:b/>
                <w:bCs/>
                <w:color w:val="auto"/>
                <w:sz w:val="32"/>
                <w:szCs w:val="32"/>
                <w:highlight w:val="none"/>
                <w:lang w:val="en-US" w:eastAsia="zh-CN"/>
              </w:rPr>
              <w:t>投标</w:t>
            </w:r>
            <w:r>
              <w:rPr>
                <w:rFonts w:hint="eastAsia"/>
                <w:b/>
                <w:bCs/>
                <w:color w:val="auto"/>
                <w:sz w:val="32"/>
                <w:szCs w:val="32"/>
                <w:highlight w:val="none"/>
              </w:rPr>
              <w:t>文件</w:t>
            </w:r>
          </w:p>
          <w:p>
            <w:pPr>
              <w:pStyle w:val="33"/>
              <w:bidi w:val="0"/>
              <w:jc w:val="center"/>
              <w:rPr>
                <w:rFonts w:hint="default"/>
                <w:b/>
                <w:bCs/>
                <w:color w:val="auto"/>
                <w:sz w:val="32"/>
                <w:szCs w:val="32"/>
                <w:highlight w:val="none"/>
                <w:lang w:val="en-US"/>
              </w:rPr>
            </w:pPr>
            <w:r>
              <w:rPr>
                <w:rFonts w:hint="eastAsia"/>
                <w:b/>
                <w:bCs/>
                <w:color w:val="auto"/>
                <w:sz w:val="32"/>
                <w:szCs w:val="32"/>
                <w:highlight w:val="none"/>
                <w:lang w:val="en-US" w:eastAsia="zh-CN"/>
              </w:rPr>
              <w:t>/开标一览表/电子文档</w:t>
            </w:r>
          </w:p>
          <w:p>
            <w:pPr>
              <w:pStyle w:val="33"/>
              <w:bidi w:val="0"/>
              <w:rPr>
                <w:rFonts w:hint="eastAsia"/>
                <w:color w:val="auto"/>
                <w:highlight w:val="none"/>
              </w:rPr>
            </w:pPr>
          </w:p>
          <w:p>
            <w:pPr>
              <w:pStyle w:val="33"/>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color w:val="auto"/>
                <w:highlight w:val="none"/>
              </w:rPr>
            </w:pPr>
            <w:r>
              <w:rPr>
                <w:rFonts w:hint="eastAsia"/>
                <w:color w:val="auto"/>
                <w:highlight w:val="none"/>
                <w:lang w:val="en-US" w:eastAsia="zh-CN"/>
              </w:rPr>
              <w:t>投标人</w:t>
            </w:r>
            <w:r>
              <w:rPr>
                <w:rFonts w:hint="eastAsia"/>
                <w:color w:val="auto"/>
                <w:highlight w:val="none"/>
              </w:rPr>
              <w:t>名称</w:t>
            </w:r>
            <w:r>
              <w:rPr>
                <w:rFonts w:hint="eastAsia"/>
                <w:color w:val="auto"/>
                <w:highlight w:val="none"/>
                <w:lang w:eastAsia="zh-CN"/>
              </w:rPr>
              <w:t>：</w:t>
            </w:r>
            <w:r>
              <w:rPr>
                <w:rFonts w:hint="eastAsia" w:asciiTheme="minorEastAsia" w:hAnsiTheme="minorEastAsia" w:eastAsiaTheme="minorEastAsia" w:cstheme="minorEastAsia"/>
                <w:color w:val="auto"/>
                <w:sz w:val="24"/>
                <w:highlight w:val="none"/>
                <w:u w:val="single"/>
              </w:rPr>
              <w:t xml:space="preserve">                 </w:t>
            </w:r>
            <w:r>
              <w:rPr>
                <w:rFonts w:hint="eastAsia"/>
                <w:color w:val="auto"/>
                <w:highlight w:val="none"/>
              </w:rPr>
              <w:t xml:space="preserve">                 </w:t>
            </w:r>
          </w:p>
          <w:p>
            <w:pPr>
              <w:pStyle w:val="33"/>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color w:val="auto"/>
                <w:highlight w:val="none"/>
              </w:rPr>
            </w:pPr>
            <w:r>
              <w:rPr>
                <w:rFonts w:hint="eastAsia"/>
                <w:color w:val="auto"/>
                <w:highlight w:val="none"/>
                <w:lang w:val="en-US" w:eastAsia="zh-CN"/>
              </w:rPr>
              <w:t>投标日期</w:t>
            </w:r>
            <w:r>
              <w:rPr>
                <w:rFonts w:hint="eastAsia"/>
                <w:color w:val="auto"/>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color w:val="auto"/>
                <w:highlight w:val="none"/>
              </w:rPr>
              <w:t xml:space="preserve">                   </w:t>
            </w:r>
          </w:p>
          <w:p>
            <w:pPr>
              <w:pStyle w:val="33"/>
              <w:bidi w:val="0"/>
              <w:rPr>
                <w:rFonts w:hint="eastAsia"/>
                <w:color w:val="auto"/>
                <w:highlight w:val="none"/>
              </w:rPr>
            </w:pPr>
          </w:p>
        </w:tc>
      </w:tr>
    </w:tbl>
    <w:p>
      <w:pPr>
        <w:pStyle w:val="33"/>
        <w:bidi w:val="0"/>
        <w:rPr>
          <w:rFonts w:hint="eastAsia"/>
          <w:color w:val="auto"/>
          <w:highlight w:val="none"/>
          <w:lang w:val="en-US" w:eastAsia="zh-CN"/>
        </w:rPr>
      </w:pPr>
      <w:bookmarkStart w:id="881" w:name="_Toc11581"/>
      <w:bookmarkStart w:id="882" w:name="_Toc6994"/>
      <w:r>
        <w:rPr>
          <w:rFonts w:hint="eastAsia"/>
          <w:color w:val="auto"/>
          <w:highlight w:val="none"/>
          <w:lang w:val="en-US" w:eastAsia="zh-CN"/>
        </w:rPr>
        <w:br w:type="page"/>
      </w:r>
    </w:p>
    <w:p>
      <w:pPr>
        <w:pStyle w:val="33"/>
        <w:bidi w:val="0"/>
        <w:rPr>
          <w:rFonts w:hint="eastAsia"/>
          <w:color w:val="auto"/>
          <w:highlight w:val="none"/>
          <w:lang w:val="en-US" w:eastAsia="zh-CN"/>
        </w:rPr>
      </w:pPr>
      <w:r>
        <w:rPr>
          <w:rFonts w:hint="eastAsia"/>
          <w:color w:val="auto"/>
          <w:highlight w:val="none"/>
          <w:lang w:val="en-US" w:eastAsia="zh-CN"/>
        </w:rPr>
        <w:t>投标文件封面格式</w:t>
      </w:r>
      <w:bookmarkEnd w:id="871"/>
      <w:bookmarkEnd w:id="872"/>
      <w:bookmarkEnd w:id="873"/>
      <w:bookmarkEnd w:id="874"/>
      <w:bookmarkEnd w:id="875"/>
      <w:bookmarkEnd w:id="876"/>
      <w:bookmarkEnd w:id="877"/>
      <w:bookmarkEnd w:id="878"/>
      <w:bookmarkEnd w:id="879"/>
      <w:bookmarkEnd w:id="880"/>
      <w:bookmarkEnd w:id="881"/>
      <w:bookmarkEnd w:id="882"/>
    </w:p>
    <w:p>
      <w:pPr>
        <w:pStyle w:val="33"/>
        <w:bidi w:val="0"/>
        <w:rPr>
          <w:rFonts w:hint="eastAsia"/>
          <w:color w:val="auto"/>
          <w:highlight w:val="none"/>
        </w:rPr>
      </w:pPr>
      <w:r>
        <w:rPr>
          <w:rFonts w:hint="eastAsia"/>
          <w:color w:val="auto"/>
          <w:highlight w:val="none"/>
          <w:lang w:val="zh-CN" w:eastAsia="zh-CN"/>
        </w:rPr>
        <mc:AlternateContent>
          <mc:Choice Requires="wps">
            <w:drawing>
              <wp:anchor distT="0" distB="0" distL="114300" distR="114300" simplePos="0" relativeHeight="251660288" behindDoc="0" locked="0" layoutInCell="1" allowOverlap="1">
                <wp:simplePos x="0" y="0"/>
                <wp:positionH relativeFrom="column">
                  <wp:posOffset>4055745</wp:posOffset>
                </wp:positionH>
                <wp:positionV relativeFrom="paragraph">
                  <wp:posOffset>169545</wp:posOffset>
                </wp:positionV>
                <wp:extent cx="1137285" cy="331470"/>
                <wp:effectExtent l="4445" t="4445" r="16510" b="14605"/>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6.1pt;width:89.55pt;z-index:251660288;mso-width-relative:page;mso-height-relative:page;" fillcolor="#FFFFFF" filled="t" stroked="t" coordsize="21600,21600"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aPlZ1wAAAAkBAAAPAAAAAAAAAAEAIAAA&#10;ACIAAABkcnMvZG93bnJldi54bWxQSwECFAAUAAAACACHTuJAYguHLg0CAABDBAAADgAAAAAAAAAB&#10;ACAAAAAmAQAAZHJzL2Uyb0RvYy54bWxQSwUGAAAAAAYABgBZAQAApQUAAAAA&#10;">
                <v:fill on="t" focussize="0,0"/>
                <v:stroke color="#000000" joinstyle="miter"/>
                <v:imagedata o:title=""/>
                <o:lock v:ext="edit" aspectratio="f"/>
                <v:textbox style="mso-fit-shape-to-text:t;">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v:textbox>
              </v:rect>
            </w:pict>
          </mc:Fallback>
        </mc:AlternateContent>
      </w:r>
    </w:p>
    <w:p>
      <w:pPr>
        <w:pStyle w:val="33"/>
        <w:bidi w:val="0"/>
        <w:rPr>
          <w:rFonts w:hint="eastAsia"/>
          <w:color w:val="auto"/>
          <w:highlight w:val="none"/>
        </w:rPr>
      </w:pPr>
    </w:p>
    <w:p>
      <w:pPr>
        <w:pStyle w:val="33"/>
        <w:bidi w:val="0"/>
        <w:rPr>
          <w:rFonts w:hint="eastAsia"/>
          <w:color w:val="auto"/>
          <w:highlight w:val="none"/>
        </w:rPr>
      </w:pPr>
    </w:p>
    <w:p>
      <w:pPr>
        <w:pStyle w:val="33"/>
        <w:bidi w:val="0"/>
        <w:rPr>
          <w:rFonts w:hint="eastAsia"/>
          <w:color w:val="auto"/>
          <w:highlight w:val="none"/>
        </w:rPr>
      </w:pPr>
    </w:p>
    <w:p>
      <w:pPr>
        <w:pStyle w:val="3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z w:val="48"/>
          <w:szCs w:val="48"/>
          <w:highlight w:val="none"/>
          <w:lang w:eastAsia="zh-CN"/>
        </w:rPr>
      </w:pPr>
    </w:p>
    <w:p>
      <w:pPr>
        <w:pStyle w:val="3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z w:val="48"/>
          <w:szCs w:val="48"/>
          <w:highlight w:val="none"/>
          <w:lang w:eastAsia="zh-CN"/>
        </w:rPr>
      </w:pPr>
      <w:r>
        <w:rPr>
          <w:rFonts w:hint="eastAsia"/>
          <w:b/>
          <w:bCs/>
          <w:color w:val="auto"/>
          <w:sz w:val="48"/>
          <w:szCs w:val="48"/>
          <w:highlight w:val="none"/>
          <w:lang w:eastAsia="zh-CN"/>
        </w:rPr>
        <w:t>资格、资质性及其他类似效力投标文件</w:t>
      </w:r>
    </w:p>
    <w:p>
      <w:pPr>
        <w:pStyle w:val="3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z w:val="48"/>
          <w:szCs w:val="48"/>
          <w:highlight w:val="none"/>
        </w:rPr>
      </w:pPr>
      <w:r>
        <w:rPr>
          <w:rFonts w:hint="eastAsia"/>
          <w:b/>
          <w:bCs/>
          <w:color w:val="auto"/>
          <w:sz w:val="48"/>
          <w:szCs w:val="48"/>
          <w:highlight w:val="none"/>
          <w:lang w:val="en-US" w:eastAsia="zh-CN"/>
        </w:rPr>
        <w:t>/</w:t>
      </w:r>
      <w:r>
        <w:rPr>
          <w:rFonts w:hint="eastAsia"/>
          <w:b/>
          <w:bCs/>
          <w:color w:val="auto"/>
          <w:sz w:val="48"/>
          <w:szCs w:val="48"/>
          <w:highlight w:val="none"/>
        </w:rPr>
        <w:t>其他</w:t>
      </w:r>
      <w:r>
        <w:rPr>
          <w:rFonts w:hint="eastAsia"/>
          <w:b/>
          <w:bCs/>
          <w:color w:val="auto"/>
          <w:sz w:val="48"/>
          <w:szCs w:val="48"/>
          <w:highlight w:val="none"/>
          <w:lang w:val="en-US" w:eastAsia="zh-CN"/>
        </w:rPr>
        <w:t>投标</w:t>
      </w:r>
      <w:r>
        <w:rPr>
          <w:rFonts w:hint="eastAsia"/>
          <w:b/>
          <w:bCs/>
          <w:color w:val="auto"/>
          <w:sz w:val="48"/>
          <w:szCs w:val="48"/>
          <w:highlight w:val="none"/>
        </w:rPr>
        <w:t>文件</w:t>
      </w:r>
    </w:p>
    <w:p>
      <w:pPr>
        <w:pStyle w:val="33"/>
        <w:bidi w:val="0"/>
        <w:rPr>
          <w:rFonts w:hint="eastAsia"/>
          <w:color w:val="auto"/>
          <w:highlight w:val="none"/>
        </w:rPr>
      </w:pPr>
    </w:p>
    <w:p>
      <w:pPr>
        <w:pStyle w:val="33"/>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p>
    <w:p>
      <w:pPr>
        <w:pStyle w:val="33"/>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p>
    <w:p>
      <w:pPr>
        <w:pStyle w:val="33"/>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p>
    <w:p>
      <w:pPr>
        <w:pStyle w:val="33"/>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p>
    <w:p>
      <w:pPr>
        <w:pStyle w:val="33"/>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r>
        <w:rPr>
          <w:rFonts w:hint="eastAsia"/>
          <w:b/>
          <w:bCs/>
          <w:color w:val="auto"/>
          <w:sz w:val="32"/>
          <w:szCs w:val="32"/>
          <w:highlight w:val="none"/>
        </w:rPr>
        <w:t>项目名称：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color w:val="auto"/>
          <w:sz w:val="32"/>
          <w:szCs w:val="32"/>
          <w:highlight w:val="none"/>
        </w:rPr>
        <w:t xml:space="preserve">                      </w:t>
      </w:r>
    </w:p>
    <w:p>
      <w:pPr>
        <w:pStyle w:val="33"/>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r>
        <w:rPr>
          <w:rFonts w:hint="eastAsia"/>
          <w:b/>
          <w:bCs/>
          <w:color w:val="auto"/>
          <w:sz w:val="32"/>
          <w:szCs w:val="32"/>
          <w:highlight w:val="none"/>
        </w:rPr>
        <w:t>项目编号：</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color w:val="auto"/>
          <w:sz w:val="32"/>
          <w:szCs w:val="32"/>
          <w:highlight w:val="none"/>
        </w:rPr>
        <w:t xml:space="preserve">                      </w:t>
      </w:r>
    </w:p>
    <w:p>
      <w:pPr>
        <w:pStyle w:val="33"/>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r>
        <w:rPr>
          <w:rFonts w:hint="eastAsia"/>
          <w:b/>
          <w:bCs/>
          <w:color w:val="auto"/>
          <w:sz w:val="32"/>
          <w:szCs w:val="32"/>
          <w:highlight w:val="none"/>
        </w:rPr>
        <w:t>投标人名称：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color w:val="auto"/>
          <w:sz w:val="32"/>
          <w:szCs w:val="32"/>
          <w:highlight w:val="none"/>
        </w:rPr>
        <w:t xml:space="preserve">          </w:t>
      </w:r>
      <w:r>
        <w:rPr>
          <w:rFonts w:hint="eastAsia"/>
          <w:b/>
          <w:bCs/>
          <w:color w:val="auto"/>
          <w:sz w:val="32"/>
          <w:szCs w:val="32"/>
          <w:highlight w:val="none"/>
          <w:lang w:val="en-US" w:eastAsia="zh-CN"/>
        </w:rPr>
        <w:t xml:space="preserve"> </w:t>
      </w:r>
      <w:r>
        <w:rPr>
          <w:rFonts w:hint="eastAsia"/>
          <w:b/>
          <w:bCs/>
          <w:color w:val="auto"/>
          <w:sz w:val="32"/>
          <w:szCs w:val="32"/>
          <w:highlight w:val="none"/>
        </w:rPr>
        <w:t xml:space="preserve">     </w:t>
      </w:r>
    </w:p>
    <w:p>
      <w:pPr>
        <w:pStyle w:val="33"/>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r>
        <w:rPr>
          <w:rFonts w:hint="eastAsia"/>
          <w:b/>
          <w:bCs/>
          <w:color w:val="auto"/>
          <w:sz w:val="32"/>
          <w:szCs w:val="32"/>
          <w:highlight w:val="none"/>
        </w:rPr>
        <w:t>投标日期：</w:t>
      </w:r>
      <w:r>
        <w:rPr>
          <w:rFonts w:hint="eastAsia"/>
          <w:b/>
          <w:bCs/>
          <w:color w:val="auto"/>
          <w:sz w:val="32"/>
          <w:szCs w:val="32"/>
          <w:highlight w:val="none"/>
          <w:u w:val="single"/>
        </w:rPr>
        <w:t xml:space="preserve">   </w:t>
      </w:r>
      <w:r>
        <w:rPr>
          <w:rFonts w:hint="eastAsia"/>
          <w:b/>
          <w:bCs/>
          <w:color w:val="auto"/>
          <w:sz w:val="32"/>
          <w:szCs w:val="32"/>
          <w:highlight w:val="none"/>
          <w:u w:val="single"/>
          <w:lang w:val="en-US" w:eastAsia="zh-CN"/>
        </w:rPr>
        <w:t xml:space="preserve">  </w:t>
      </w:r>
      <w:r>
        <w:rPr>
          <w:rFonts w:hint="eastAsia"/>
          <w:b/>
          <w:bCs/>
          <w:color w:val="auto"/>
          <w:sz w:val="32"/>
          <w:szCs w:val="32"/>
          <w:highlight w:val="none"/>
          <w:u w:val="single"/>
        </w:rPr>
        <w:t xml:space="preserve"> </w:t>
      </w:r>
      <w:r>
        <w:rPr>
          <w:rFonts w:hint="eastAsia"/>
          <w:b/>
          <w:bCs/>
          <w:color w:val="auto"/>
          <w:sz w:val="32"/>
          <w:szCs w:val="32"/>
          <w:highlight w:val="none"/>
        </w:rPr>
        <w:t>年</w:t>
      </w:r>
      <w:r>
        <w:rPr>
          <w:rFonts w:hint="eastAsia"/>
          <w:b/>
          <w:bCs/>
          <w:color w:val="auto"/>
          <w:sz w:val="32"/>
          <w:szCs w:val="32"/>
          <w:highlight w:val="none"/>
          <w:u w:val="single"/>
        </w:rPr>
        <w:t xml:space="preserve">    </w:t>
      </w:r>
      <w:r>
        <w:rPr>
          <w:rFonts w:hint="eastAsia"/>
          <w:b/>
          <w:bCs/>
          <w:color w:val="auto"/>
          <w:sz w:val="32"/>
          <w:szCs w:val="32"/>
          <w:highlight w:val="none"/>
        </w:rPr>
        <w:t>月</w:t>
      </w:r>
      <w:r>
        <w:rPr>
          <w:rFonts w:hint="eastAsia"/>
          <w:b/>
          <w:bCs/>
          <w:color w:val="auto"/>
          <w:sz w:val="32"/>
          <w:szCs w:val="32"/>
          <w:highlight w:val="none"/>
          <w:u w:val="single"/>
        </w:rPr>
        <w:t xml:space="preserve">    </w:t>
      </w:r>
      <w:r>
        <w:rPr>
          <w:rFonts w:hint="eastAsia"/>
          <w:b/>
          <w:bCs/>
          <w:color w:val="auto"/>
          <w:sz w:val="32"/>
          <w:szCs w:val="32"/>
          <w:highlight w:val="none"/>
        </w:rPr>
        <w:t>日</w:t>
      </w:r>
    </w:p>
    <w:p>
      <w:pPr>
        <w:pStyle w:val="42"/>
        <w:bidi w:val="0"/>
        <w:rPr>
          <w:rFonts w:hint="eastAsia"/>
          <w:color w:val="auto"/>
          <w:highlight w:val="none"/>
        </w:rPr>
      </w:pPr>
      <w:bookmarkStart w:id="883" w:name="_Toc5306"/>
      <w:bookmarkStart w:id="884" w:name="_Toc31011"/>
      <w:bookmarkStart w:id="885" w:name="_Toc5565"/>
      <w:bookmarkStart w:id="886" w:name="_Toc11556"/>
      <w:r>
        <w:rPr>
          <w:rFonts w:hint="eastAsia"/>
          <w:color w:val="auto"/>
          <w:highlight w:val="none"/>
        </w:rPr>
        <w:br w:type="page"/>
      </w:r>
    </w:p>
    <w:bookmarkEnd w:id="883"/>
    <w:bookmarkEnd w:id="884"/>
    <w:bookmarkEnd w:id="885"/>
    <w:bookmarkEnd w:id="886"/>
    <w:p>
      <w:pPr>
        <w:pStyle w:val="42"/>
        <w:bidi w:val="0"/>
        <w:rPr>
          <w:rFonts w:hint="eastAsia"/>
          <w:color w:val="auto"/>
          <w:highlight w:val="none"/>
        </w:rPr>
      </w:pPr>
      <w:bookmarkStart w:id="887" w:name="_Toc15611"/>
    </w:p>
    <w:p>
      <w:pPr>
        <w:pStyle w:val="42"/>
        <w:bidi w:val="0"/>
        <w:rPr>
          <w:rFonts w:hint="eastAsia"/>
          <w:color w:val="auto"/>
          <w:highlight w:val="none"/>
        </w:rPr>
      </w:pPr>
    </w:p>
    <w:p>
      <w:pPr>
        <w:pStyle w:val="42"/>
        <w:bidi w:val="0"/>
        <w:rPr>
          <w:rFonts w:hint="eastAsia"/>
          <w:color w:val="auto"/>
          <w:highlight w:val="none"/>
        </w:rPr>
      </w:pPr>
    </w:p>
    <w:p>
      <w:pPr>
        <w:pStyle w:val="42"/>
        <w:bidi w:val="0"/>
        <w:rPr>
          <w:rFonts w:hint="eastAsia"/>
          <w:color w:val="auto"/>
          <w:highlight w:val="none"/>
        </w:rPr>
      </w:pPr>
    </w:p>
    <w:p>
      <w:pPr>
        <w:pStyle w:val="42"/>
        <w:bidi w:val="0"/>
        <w:rPr>
          <w:rFonts w:hint="eastAsia"/>
          <w:color w:val="auto"/>
          <w:highlight w:val="none"/>
        </w:rPr>
      </w:pPr>
    </w:p>
    <w:p>
      <w:pPr>
        <w:pStyle w:val="42"/>
        <w:bidi w:val="0"/>
        <w:rPr>
          <w:rFonts w:hint="eastAsia"/>
          <w:color w:val="auto"/>
          <w:highlight w:val="none"/>
        </w:rPr>
      </w:pPr>
    </w:p>
    <w:p>
      <w:pPr>
        <w:pStyle w:val="42"/>
        <w:bidi w:val="0"/>
        <w:rPr>
          <w:rFonts w:hint="eastAsia"/>
          <w:color w:val="auto"/>
          <w:highlight w:val="none"/>
        </w:rPr>
      </w:pPr>
    </w:p>
    <w:p>
      <w:pPr>
        <w:pStyle w:val="42"/>
        <w:bidi w:val="0"/>
        <w:rPr>
          <w:rFonts w:hint="eastAsia"/>
          <w:color w:val="auto"/>
          <w:highlight w:val="none"/>
          <w:lang w:val="en-US" w:eastAsia="zh-CN"/>
        </w:rPr>
      </w:pPr>
      <w:bookmarkStart w:id="888" w:name="_Toc24630"/>
    </w:p>
    <w:p>
      <w:pPr>
        <w:pStyle w:val="42"/>
        <w:bidi w:val="0"/>
        <w:rPr>
          <w:rFonts w:hint="eastAsia"/>
          <w:color w:val="auto"/>
          <w:highlight w:val="none"/>
          <w:lang w:val="en-US" w:eastAsia="zh-CN"/>
        </w:rPr>
      </w:pPr>
    </w:p>
    <w:p>
      <w:pPr>
        <w:pStyle w:val="42"/>
        <w:bidi w:val="0"/>
        <w:rPr>
          <w:rFonts w:hint="eastAsia"/>
          <w:color w:val="auto"/>
          <w:highlight w:val="none"/>
          <w:lang w:val="en-US" w:eastAsia="zh-CN"/>
        </w:rPr>
      </w:pPr>
    </w:p>
    <w:p>
      <w:pPr>
        <w:pStyle w:val="42"/>
        <w:bidi w:val="0"/>
        <w:rPr>
          <w:rFonts w:hint="eastAsia"/>
          <w:color w:val="auto"/>
          <w:highlight w:val="none"/>
          <w:lang w:val="en-US" w:eastAsia="zh-CN"/>
        </w:rPr>
      </w:pPr>
    </w:p>
    <w:p>
      <w:pPr>
        <w:pStyle w:val="42"/>
        <w:bidi w:val="0"/>
        <w:rPr>
          <w:rFonts w:hint="eastAsia"/>
          <w:color w:val="auto"/>
          <w:highlight w:val="none"/>
          <w:lang w:val="en-US" w:eastAsia="zh-CN"/>
        </w:rPr>
      </w:pPr>
    </w:p>
    <w:p>
      <w:pPr>
        <w:pStyle w:val="34"/>
        <w:keepNext w:val="0"/>
        <w:keepLines w:val="0"/>
        <w:pageBreakBefore w:val="0"/>
        <w:widowControl w:val="0"/>
        <w:numPr>
          <w:ilvl w:val="1"/>
          <w:numId w:val="0"/>
        </w:numPr>
        <w:kinsoku/>
        <w:wordWrap w:val="0"/>
        <w:overflowPunct/>
        <w:topLinePunct/>
        <w:autoSpaceDE/>
        <w:autoSpaceDN/>
        <w:bidi w:val="0"/>
        <w:adjustRightInd w:val="0"/>
        <w:snapToGrid w:val="0"/>
        <w:spacing w:before="625" w:beforeLines="200"/>
        <w:jc w:val="center"/>
        <w:textAlignment w:val="auto"/>
        <w:rPr>
          <w:rFonts w:hint="eastAsia"/>
          <w:color w:val="auto"/>
          <w:sz w:val="32"/>
          <w:szCs w:val="32"/>
          <w:highlight w:val="none"/>
        </w:rPr>
      </w:pPr>
      <w:bookmarkStart w:id="889" w:name="_Toc8059"/>
      <w:bookmarkStart w:id="890" w:name="_Toc28182"/>
      <w:r>
        <w:rPr>
          <w:rFonts w:hint="eastAsia"/>
          <w:color w:val="auto"/>
          <w:sz w:val="32"/>
          <w:szCs w:val="32"/>
          <w:highlight w:val="none"/>
          <w:lang w:val="en-US" w:eastAsia="zh-CN"/>
        </w:rPr>
        <w:t>第一部</w:t>
      </w:r>
      <w:r>
        <w:rPr>
          <w:rFonts w:hint="eastAsia"/>
          <w:color w:val="auto"/>
          <w:sz w:val="32"/>
          <w:szCs w:val="32"/>
          <w:highlight w:val="none"/>
        </w:rPr>
        <w:t>分 资格、资质性及其他类似效力</w:t>
      </w:r>
      <w:r>
        <w:rPr>
          <w:rFonts w:hint="eastAsia"/>
          <w:color w:val="auto"/>
          <w:sz w:val="32"/>
          <w:szCs w:val="32"/>
          <w:highlight w:val="none"/>
          <w:lang w:val="en-US" w:eastAsia="zh-CN"/>
        </w:rPr>
        <w:t>投标</w:t>
      </w:r>
      <w:r>
        <w:rPr>
          <w:rFonts w:hint="eastAsia"/>
          <w:color w:val="auto"/>
          <w:sz w:val="32"/>
          <w:szCs w:val="32"/>
          <w:highlight w:val="none"/>
        </w:rPr>
        <w:t>文件(格式)</w:t>
      </w:r>
      <w:bookmarkEnd w:id="887"/>
      <w:bookmarkEnd w:id="888"/>
      <w:bookmarkEnd w:id="889"/>
      <w:bookmarkEnd w:id="890"/>
      <w:bookmarkStart w:id="891" w:name="_Toc23537"/>
      <w:bookmarkStart w:id="892" w:name="_Toc16168"/>
    </w:p>
    <w:p>
      <w:pPr>
        <w:pStyle w:val="42"/>
        <w:bidi w:val="0"/>
        <w:rPr>
          <w:rFonts w:hint="eastAsia"/>
          <w:color w:val="auto"/>
          <w:highlight w:val="none"/>
        </w:rPr>
      </w:pPr>
      <w:r>
        <w:rPr>
          <w:rFonts w:hint="eastAsia"/>
          <w:color w:val="auto"/>
          <w:highlight w:val="none"/>
        </w:rPr>
        <w:br w:type="page"/>
      </w:r>
      <w:bookmarkEnd w:id="891"/>
      <w:bookmarkEnd w:id="892"/>
      <w:bookmarkStart w:id="893" w:name="_Toc4996"/>
      <w:bookmarkStart w:id="894" w:name="_Toc26837"/>
    </w:p>
    <w:p>
      <w:pPr>
        <w:pStyle w:val="44"/>
        <w:numPr>
          <w:ilvl w:val="0"/>
          <w:numId w:val="20"/>
        </w:numPr>
        <w:bidi w:val="0"/>
        <w:ind w:left="0" w:leftChars="0" w:firstLine="0" w:firstLineChars="0"/>
        <w:rPr>
          <w:rFonts w:hint="eastAsia"/>
          <w:color w:val="auto"/>
          <w:highlight w:val="none"/>
        </w:rPr>
      </w:pPr>
      <w:bookmarkStart w:id="895" w:name="_Toc16474"/>
      <w:bookmarkStart w:id="896" w:name="_Toc22229"/>
      <w:r>
        <w:rPr>
          <w:rFonts w:hint="eastAsia"/>
          <w:color w:val="auto"/>
          <w:highlight w:val="none"/>
        </w:rPr>
        <w:t>法定代表人</w:t>
      </w:r>
      <w:r>
        <w:rPr>
          <w:rFonts w:hint="eastAsia"/>
          <w:color w:val="auto"/>
          <w:highlight w:val="none"/>
          <w:lang w:val="en-US" w:eastAsia="zh-CN"/>
        </w:rPr>
        <w:t>/单位负责人</w:t>
      </w:r>
      <w:r>
        <w:rPr>
          <w:rFonts w:hint="eastAsia"/>
          <w:color w:val="auto"/>
          <w:highlight w:val="none"/>
        </w:rPr>
        <w:t>授权书</w:t>
      </w:r>
      <w:bookmarkEnd w:id="893"/>
      <w:bookmarkEnd w:id="894"/>
      <w:bookmarkEnd w:id="895"/>
      <w:bookmarkEnd w:id="896"/>
    </w:p>
    <w:p>
      <w:pPr>
        <w:pStyle w:val="42"/>
        <w:bidi w:val="0"/>
        <w:rPr>
          <w:rFonts w:hint="eastAsia"/>
          <w:color w:val="auto"/>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(采购代理机构名称)：</w:t>
      </w:r>
    </w:p>
    <w:p>
      <w:pPr>
        <w:pStyle w:val="46"/>
        <w:bidi w:val="0"/>
        <w:rPr>
          <w:rFonts w:hint="eastAsia"/>
          <w:color w:val="auto"/>
          <w:highlight w:val="none"/>
        </w:rPr>
      </w:pPr>
      <w:r>
        <w:rPr>
          <w:rFonts w:hint="eastAsia"/>
          <w:color w:val="auto"/>
          <w:highlight w:val="none"/>
        </w:rPr>
        <w:t>本授权声明：</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w:t>
      </w:r>
      <w:r>
        <w:rPr>
          <w:rFonts w:hint="eastAsia"/>
          <w:color w:val="auto"/>
          <w:highlight w:val="none"/>
          <w:lang w:val="en-US" w:eastAsia="zh-CN"/>
        </w:rPr>
        <w:t>投标人</w:t>
      </w:r>
      <w:r>
        <w:rPr>
          <w:rFonts w:hint="eastAsia"/>
          <w:color w:val="auto"/>
          <w:highlight w:val="none"/>
        </w:rPr>
        <w:t>名称)</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(法定代表人</w:t>
      </w:r>
      <w:r>
        <w:rPr>
          <w:rFonts w:hint="eastAsia"/>
          <w:color w:val="auto"/>
          <w:highlight w:val="none"/>
          <w:lang w:val="en-US" w:eastAsia="zh-CN"/>
        </w:rPr>
        <w:t>/单位负责人</w:t>
      </w:r>
      <w:r>
        <w:rPr>
          <w:rFonts w:hint="eastAsia"/>
          <w:color w:val="auto"/>
          <w:highlight w:val="none"/>
        </w:rPr>
        <w:t>姓名、职务)授权</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(被授权人姓名、职务、身份证号码)为我方参加“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rPr>
        <w:t>(项目编号</w:t>
      </w:r>
      <w:r>
        <w:rPr>
          <w:rFonts w:hint="eastAsia"/>
          <w:color w:val="auto"/>
          <w:highlight w:val="none"/>
          <w:lang w:eastAsia="zh-CN"/>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lang w:eastAsia="zh-CN"/>
        </w:rPr>
        <w:t>)</w:t>
      </w:r>
      <w:r>
        <w:rPr>
          <w:rFonts w:hint="eastAsia"/>
          <w:color w:val="auto"/>
          <w:highlight w:val="none"/>
        </w:rPr>
        <w:t>”</w:t>
      </w:r>
      <w:r>
        <w:rPr>
          <w:rFonts w:hint="eastAsia"/>
          <w:color w:val="auto"/>
          <w:highlight w:val="none"/>
          <w:lang w:val="en-US" w:eastAsia="zh-CN"/>
        </w:rPr>
        <w:t>投标</w:t>
      </w:r>
      <w:r>
        <w:rPr>
          <w:rFonts w:hint="eastAsia"/>
          <w:color w:val="auto"/>
          <w:highlight w:val="none"/>
        </w:rPr>
        <w:t>活动的合法代表，以我方名义全权处理该项目有关</w:t>
      </w:r>
      <w:r>
        <w:rPr>
          <w:rFonts w:hint="eastAsia"/>
          <w:color w:val="auto"/>
          <w:highlight w:val="none"/>
          <w:lang w:val="en-US" w:eastAsia="zh-CN"/>
        </w:rPr>
        <w:t>投标</w:t>
      </w:r>
      <w:r>
        <w:rPr>
          <w:rFonts w:hint="eastAsia"/>
          <w:color w:val="auto"/>
          <w:highlight w:val="none"/>
        </w:rPr>
        <w:t>、签订合同以及执行合同等一切事宜，我</w:t>
      </w:r>
      <w:r>
        <w:rPr>
          <w:rFonts w:hint="eastAsia"/>
          <w:color w:val="auto"/>
          <w:highlight w:val="none"/>
          <w:lang w:val="en-US" w:eastAsia="zh-CN"/>
        </w:rPr>
        <w:t>单位</w:t>
      </w:r>
      <w:r>
        <w:rPr>
          <w:rFonts w:hint="eastAsia"/>
          <w:color w:val="auto"/>
          <w:highlight w:val="none"/>
        </w:rPr>
        <w:t>均予承认，所产生的法律后果均由我单位承担。</w:t>
      </w:r>
    </w:p>
    <w:p>
      <w:pPr>
        <w:pStyle w:val="46"/>
        <w:bidi w:val="0"/>
        <w:rPr>
          <w:rFonts w:hint="eastAsia"/>
          <w:color w:val="auto"/>
          <w:highlight w:val="none"/>
        </w:rPr>
      </w:pPr>
      <w:r>
        <w:rPr>
          <w:rFonts w:hint="eastAsia"/>
          <w:color w:val="auto"/>
          <w:highlight w:val="none"/>
        </w:rPr>
        <w:t>特此声明。</w:t>
      </w:r>
    </w:p>
    <w:p>
      <w:pPr>
        <w:pStyle w:val="42"/>
        <w:bidi w:val="0"/>
        <w:rPr>
          <w:rFonts w:hint="eastAsia"/>
          <w:color w:val="auto"/>
          <w:highlight w:val="none"/>
        </w:rPr>
      </w:pPr>
    </w:p>
    <w:p>
      <w:pPr>
        <w:pStyle w:val="42"/>
        <w:bidi w:val="0"/>
        <w:rPr>
          <w:rFonts w:hint="eastAsia"/>
          <w:color w:val="auto"/>
          <w:highlight w:val="none"/>
        </w:rPr>
      </w:pPr>
    </w:p>
    <w:p>
      <w:pPr>
        <w:pStyle w:val="42"/>
        <w:bidi w:val="0"/>
        <w:rPr>
          <w:rFonts w:hint="eastAsia"/>
          <w:color w:val="auto"/>
          <w:highlight w:val="none"/>
        </w:rPr>
      </w:pPr>
    </w:p>
    <w:p>
      <w:pPr>
        <w:pStyle w:val="42"/>
        <w:bidi w:val="0"/>
        <w:rPr>
          <w:rFonts w:hint="eastAsia"/>
          <w:color w:val="auto"/>
          <w:highlight w:val="none"/>
        </w:rPr>
      </w:pPr>
    </w:p>
    <w:p>
      <w:pPr>
        <w:pStyle w:val="42"/>
        <w:bidi w:val="0"/>
        <w:rPr>
          <w:rFonts w:hint="eastAsia"/>
          <w:color w:val="auto"/>
          <w:highlight w:val="none"/>
        </w:rPr>
      </w:pPr>
    </w:p>
    <w:p>
      <w:pPr>
        <w:pStyle w:val="42"/>
        <w:bidi w:val="0"/>
        <w:rPr>
          <w:rFonts w:hint="eastAsia"/>
          <w:color w:val="auto"/>
          <w:highlight w:val="none"/>
        </w:rPr>
      </w:pPr>
    </w:p>
    <w:p>
      <w:pPr>
        <w:pStyle w:val="42"/>
        <w:bidi w:val="0"/>
        <w:rPr>
          <w:rFonts w:hint="eastAsia"/>
          <w:color w:val="auto"/>
          <w:highlight w:val="none"/>
        </w:rPr>
      </w:pPr>
    </w:p>
    <w:p>
      <w:pPr>
        <w:pStyle w:val="46"/>
        <w:bidi w:val="0"/>
        <w:rPr>
          <w:rFonts w:hint="eastAsia"/>
          <w:color w:val="auto"/>
          <w:highlight w:val="none"/>
        </w:rPr>
      </w:pPr>
      <w:r>
        <w:rPr>
          <w:rFonts w:hint="eastAsia"/>
          <w:color w:val="auto"/>
          <w:highlight w:val="none"/>
        </w:rPr>
        <w:t>法定代表人</w:t>
      </w:r>
      <w:r>
        <w:rPr>
          <w:rFonts w:hint="eastAsia"/>
          <w:color w:val="auto"/>
          <w:highlight w:val="none"/>
          <w:lang w:val="en-US" w:eastAsia="zh-CN"/>
        </w:rPr>
        <w:t>/单位负责人</w:t>
      </w:r>
      <w:r>
        <w:rPr>
          <w:rFonts w:hint="eastAsia"/>
          <w:color w:val="auto"/>
          <w:highlight w:val="none"/>
        </w:rPr>
        <w:t>：</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color w:val="auto"/>
          <w:highlight w:val="none"/>
          <w:lang w:val="en-US" w:eastAsia="zh-CN"/>
        </w:rPr>
        <w:t>(</w:t>
      </w:r>
      <w:r>
        <w:rPr>
          <w:rFonts w:hint="eastAsia"/>
          <w:color w:val="auto"/>
          <w:highlight w:val="none"/>
        </w:rPr>
        <w:t>签字</w:t>
      </w:r>
      <w:r>
        <w:rPr>
          <w:rFonts w:hint="eastAsia"/>
          <w:color w:val="auto"/>
          <w:highlight w:val="none"/>
          <w:lang w:eastAsia="zh-CN"/>
        </w:rPr>
        <w:t>或盖章</w:t>
      </w:r>
      <w:r>
        <w:rPr>
          <w:rFonts w:hint="eastAsia"/>
          <w:color w:val="auto"/>
          <w:highlight w:val="none"/>
          <w:lang w:val="en-US" w:eastAsia="zh-CN"/>
        </w:rPr>
        <w:t>)</w:t>
      </w:r>
    </w:p>
    <w:p>
      <w:pPr>
        <w:pStyle w:val="46"/>
        <w:bidi w:val="0"/>
        <w:rPr>
          <w:rFonts w:hint="eastAsia"/>
          <w:color w:val="auto"/>
          <w:highlight w:val="none"/>
        </w:rPr>
      </w:pPr>
      <w:r>
        <w:rPr>
          <w:rFonts w:hint="eastAsia"/>
          <w:color w:val="auto"/>
          <w:highlight w:val="none"/>
        </w:rPr>
        <w:t>授权代表：</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color w:val="auto"/>
          <w:highlight w:val="none"/>
          <w:lang w:val="en-US" w:eastAsia="zh-CN"/>
        </w:rPr>
        <w:t>(</w:t>
      </w:r>
      <w:r>
        <w:rPr>
          <w:rFonts w:hint="eastAsia"/>
          <w:color w:val="auto"/>
          <w:highlight w:val="none"/>
        </w:rPr>
        <w:t>签字</w:t>
      </w:r>
      <w:r>
        <w:rPr>
          <w:rFonts w:hint="eastAsia"/>
          <w:color w:val="auto"/>
          <w:highlight w:val="none"/>
          <w:lang w:eastAsia="zh-CN"/>
        </w:rPr>
        <w:t>或盖章</w:t>
      </w:r>
      <w:r>
        <w:rPr>
          <w:rFonts w:hint="eastAsia"/>
          <w:color w:val="auto"/>
          <w:highlight w:val="none"/>
          <w:lang w:val="en-US" w:eastAsia="zh-CN"/>
        </w:rPr>
        <w:t>)</w:t>
      </w:r>
    </w:p>
    <w:p>
      <w:pPr>
        <w:pStyle w:val="46"/>
        <w:bidi w:val="0"/>
        <w:rPr>
          <w:rFonts w:hint="eastAsia"/>
          <w:color w:val="auto"/>
          <w:highlight w:val="none"/>
        </w:rPr>
      </w:pPr>
      <w:r>
        <w:rPr>
          <w:rFonts w:hint="eastAsia"/>
          <w:color w:val="auto"/>
          <w:highlight w:val="none"/>
          <w:lang w:val="en-US" w:eastAsia="zh-CN"/>
        </w:rPr>
        <w:t>投标人</w:t>
      </w:r>
      <w:r>
        <w:rPr>
          <w:rFonts w:hint="eastAsia"/>
          <w:color w:val="auto"/>
          <w:highlight w:val="none"/>
        </w:rPr>
        <w:t>名称：</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color w:val="auto"/>
          <w:highlight w:val="none"/>
        </w:rPr>
        <w:t>(盖章)</w:t>
      </w:r>
    </w:p>
    <w:p>
      <w:pPr>
        <w:pStyle w:val="46"/>
        <w:bidi w:val="0"/>
        <w:rPr>
          <w:rFonts w:hint="eastAsia"/>
          <w:color w:val="auto"/>
          <w:highlight w:val="none"/>
        </w:rPr>
      </w:pPr>
      <w:r>
        <w:rPr>
          <w:rFonts w:hint="eastAsia"/>
          <w:color w:val="auto"/>
          <w:highlight w:val="none"/>
          <w:lang w:val="en-US" w:eastAsia="zh-CN"/>
        </w:rPr>
        <w:t>投标</w:t>
      </w:r>
      <w:r>
        <w:rPr>
          <w:rFonts w:hint="eastAsia"/>
          <w:color w:val="auto"/>
          <w:highlight w:val="none"/>
        </w:rPr>
        <w:t>日期：</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color w:val="auto"/>
          <w:highlight w:val="none"/>
          <w:lang w:val="en-US" w:eastAsia="zh-CN"/>
        </w:rPr>
        <w:t xml:space="preserve">     </w:t>
      </w:r>
    </w:p>
    <w:p>
      <w:pPr>
        <w:pStyle w:val="42"/>
        <w:bidi w:val="0"/>
        <w:rPr>
          <w:rFonts w:hint="eastAsia"/>
          <w:color w:val="auto"/>
          <w:highlight w:val="none"/>
        </w:rPr>
      </w:pPr>
    </w:p>
    <w:p>
      <w:pPr>
        <w:pStyle w:val="47"/>
        <w:bidi w:val="0"/>
        <w:rPr>
          <w:rFonts w:hint="eastAsia"/>
          <w:color w:val="auto"/>
          <w:highlight w:val="none"/>
        </w:rPr>
      </w:pPr>
      <w:r>
        <w:rPr>
          <w:rFonts w:hint="eastAsia"/>
          <w:color w:val="auto"/>
          <w:highlight w:val="none"/>
        </w:rPr>
        <w:t>注：</w:t>
      </w:r>
      <w:r>
        <w:rPr>
          <w:rFonts w:hint="eastAsia"/>
          <w:color w:val="auto"/>
          <w:highlight w:val="none"/>
          <w:lang w:val="en-US" w:eastAsia="zh-CN"/>
        </w:rPr>
        <w:t>1.法定代表人/单位负责人</w:t>
      </w:r>
      <w:r>
        <w:rPr>
          <w:rFonts w:hint="eastAsia"/>
          <w:color w:val="auto"/>
          <w:highlight w:val="none"/>
        </w:rPr>
        <w:t>不亲自参加</w:t>
      </w:r>
      <w:r>
        <w:rPr>
          <w:rFonts w:hint="eastAsia"/>
          <w:color w:val="auto"/>
          <w:highlight w:val="none"/>
          <w:lang w:val="en-US" w:eastAsia="zh-CN"/>
        </w:rPr>
        <w:t>投标</w:t>
      </w:r>
      <w:r>
        <w:rPr>
          <w:rFonts w:hint="eastAsia"/>
          <w:color w:val="auto"/>
          <w:highlight w:val="none"/>
        </w:rPr>
        <w:t>，而授权代表参加</w:t>
      </w:r>
      <w:r>
        <w:rPr>
          <w:rFonts w:hint="eastAsia"/>
          <w:color w:val="auto"/>
          <w:highlight w:val="none"/>
          <w:lang w:val="en-US" w:eastAsia="zh-CN"/>
        </w:rPr>
        <w:t>投标</w:t>
      </w:r>
      <w:r>
        <w:rPr>
          <w:rFonts w:hint="eastAsia"/>
          <w:color w:val="auto"/>
          <w:highlight w:val="none"/>
        </w:rPr>
        <w:t>的适用。</w:t>
      </w:r>
    </w:p>
    <w:p>
      <w:pPr>
        <w:pStyle w:val="47"/>
        <w:bidi w:val="0"/>
        <w:rPr>
          <w:color w:val="auto"/>
          <w:highlight w:val="none"/>
        </w:rPr>
      </w:pPr>
      <w:r>
        <w:rPr>
          <w:rFonts w:hint="eastAsia"/>
          <w:color w:val="auto"/>
          <w:highlight w:val="none"/>
          <w:lang w:val="en-US" w:eastAsia="zh-CN"/>
        </w:rPr>
        <w:t>2.</w:t>
      </w:r>
      <w:r>
        <w:rPr>
          <w:color w:val="auto"/>
          <w:highlight w:val="none"/>
        </w:rPr>
        <w:t>供应商为法人单位时提供“法定代表人授权书”，供应商为其他组织时提供“负责人授权书”，供应商为自然人时提供“自然人身份证明材料”。</w:t>
      </w:r>
    </w:p>
    <w:p>
      <w:pPr>
        <w:pStyle w:val="47"/>
        <w:bidi w:val="0"/>
        <w:rPr>
          <w:color w:val="auto"/>
          <w:highlight w:val="none"/>
        </w:rPr>
      </w:pPr>
      <w:r>
        <w:rPr>
          <w:rFonts w:hint="eastAsia"/>
          <w:color w:val="auto"/>
          <w:highlight w:val="none"/>
          <w:lang w:val="en-US" w:eastAsia="zh-CN"/>
        </w:rPr>
        <w:t>3.</w:t>
      </w:r>
      <w:r>
        <w:rPr>
          <w:color w:val="auto"/>
          <w:highlight w:val="none"/>
        </w:rPr>
        <w:t>应附法定代表人/单位负责人身份证明材料复印件和授权代表身份证明材料复印件。</w:t>
      </w:r>
    </w:p>
    <w:p>
      <w:pPr>
        <w:pStyle w:val="47"/>
        <w:bidi w:val="0"/>
        <w:rPr>
          <w:color w:val="auto"/>
          <w:highlight w:val="none"/>
        </w:rPr>
      </w:pPr>
      <w:r>
        <w:rPr>
          <w:rFonts w:hint="eastAsia"/>
          <w:color w:val="auto"/>
          <w:highlight w:val="none"/>
          <w:lang w:val="en-US" w:eastAsia="zh-CN"/>
        </w:rPr>
        <w:t>4.</w:t>
      </w:r>
      <w:r>
        <w:rPr>
          <w:color w:val="auto"/>
          <w:highlight w:val="none"/>
        </w:rPr>
        <w:t>身份证明材料包括居民身份证或户口本或军官证或护照等。</w:t>
      </w:r>
    </w:p>
    <w:p>
      <w:pPr>
        <w:pStyle w:val="47"/>
        <w:bidi w:val="0"/>
        <w:rPr>
          <w:rFonts w:hint="eastAsia"/>
          <w:color w:val="auto"/>
          <w:highlight w:val="none"/>
          <w:lang w:val="en-US" w:eastAsia="zh-CN"/>
        </w:rPr>
      </w:pPr>
      <w:r>
        <w:rPr>
          <w:rFonts w:hint="eastAsia"/>
          <w:color w:val="auto"/>
          <w:highlight w:val="none"/>
          <w:lang w:val="en-US" w:eastAsia="zh-CN"/>
        </w:rPr>
        <w:t>5.</w:t>
      </w:r>
      <w:r>
        <w:rPr>
          <w:color w:val="auto"/>
          <w:highlight w:val="none"/>
        </w:rPr>
        <w:t>身份证明材料应同时提供其在有效期的材料，如居民身份证正、反面复印件</w:t>
      </w:r>
      <w:r>
        <w:rPr>
          <w:rFonts w:hint="eastAsia"/>
          <w:color w:val="auto"/>
          <w:highlight w:val="none"/>
          <w:lang w:eastAsia="zh-CN"/>
        </w:rPr>
        <w:t>。</w:t>
      </w:r>
    </w:p>
    <w:p>
      <w:pPr>
        <w:pStyle w:val="42"/>
        <w:bidi w:val="0"/>
        <w:rPr>
          <w:rFonts w:hint="eastAsia"/>
          <w:color w:val="auto"/>
          <w:highlight w:val="none"/>
        </w:rPr>
      </w:pPr>
      <w:r>
        <w:rPr>
          <w:rFonts w:hint="eastAsia"/>
          <w:color w:val="auto"/>
          <w:highlight w:val="none"/>
        </w:rPr>
        <w:br w:type="page"/>
      </w:r>
    </w:p>
    <w:p>
      <w:pPr>
        <w:pStyle w:val="44"/>
        <w:numPr>
          <w:ilvl w:val="0"/>
          <w:numId w:val="21"/>
        </w:numPr>
        <w:bidi w:val="0"/>
        <w:ind w:left="2400" w:leftChars="0" w:firstLine="0" w:firstLineChars="0"/>
        <w:jc w:val="left"/>
        <w:rPr>
          <w:rFonts w:hint="eastAsia"/>
          <w:color w:val="auto"/>
          <w:highlight w:val="none"/>
          <w:lang w:val="en-US" w:eastAsia="zh-CN"/>
        </w:rPr>
      </w:pPr>
      <w:bookmarkStart w:id="897" w:name="_Toc14600"/>
      <w:bookmarkStart w:id="898" w:name="_Toc5501"/>
      <w:bookmarkStart w:id="899" w:name="_Toc22140"/>
      <w:bookmarkStart w:id="900" w:name="_Toc14505"/>
      <w:bookmarkStart w:id="901" w:name="_Toc9688"/>
      <w:bookmarkStart w:id="902" w:name="_Toc9243"/>
      <w:r>
        <w:rPr>
          <w:rFonts w:hint="eastAsia"/>
          <w:color w:val="auto"/>
          <w:highlight w:val="none"/>
          <w:lang w:val="en-US" w:eastAsia="zh-CN"/>
        </w:rPr>
        <w:t>法定代表人/单位负责人证明书</w:t>
      </w:r>
      <w:bookmarkEnd w:id="897"/>
      <w:bookmarkEnd w:id="898"/>
      <w:bookmarkEnd w:id="899"/>
      <w:bookmarkEnd w:id="900"/>
      <w:bookmarkEnd w:id="901"/>
      <w:bookmarkEnd w:id="902"/>
    </w:p>
    <w:p>
      <w:pPr>
        <w:pStyle w:val="46"/>
        <w:bidi w:val="0"/>
        <w:rPr>
          <w:rFonts w:hint="eastAsia"/>
          <w:color w:val="auto"/>
          <w:highlight w:val="none"/>
        </w:rPr>
      </w:pPr>
      <w:r>
        <w:rPr>
          <w:rFonts w:hint="eastAsia"/>
          <w:color w:val="auto"/>
          <w:highlight w:val="none"/>
        </w:rPr>
        <w:t>单位名称：</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 xml:space="preserve">                            </w:t>
      </w:r>
    </w:p>
    <w:p>
      <w:pPr>
        <w:pStyle w:val="46"/>
        <w:bidi w:val="0"/>
        <w:rPr>
          <w:rFonts w:hint="eastAsia"/>
          <w:color w:val="auto"/>
          <w:highlight w:val="none"/>
        </w:rPr>
      </w:pPr>
      <w:r>
        <w:rPr>
          <w:rFonts w:hint="eastAsia"/>
          <w:color w:val="auto"/>
          <w:highlight w:val="none"/>
        </w:rPr>
        <w:t>地    址：</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 xml:space="preserve">                            </w:t>
      </w:r>
    </w:p>
    <w:p>
      <w:pPr>
        <w:pStyle w:val="46"/>
        <w:bidi w:val="0"/>
        <w:rPr>
          <w:rFonts w:hint="eastAsia"/>
          <w:color w:val="auto"/>
          <w:highlight w:val="none"/>
        </w:rPr>
      </w:pPr>
      <w:r>
        <w:rPr>
          <w:rFonts w:hint="eastAsia"/>
          <w:color w:val="auto"/>
          <w:highlight w:val="none"/>
        </w:rPr>
        <w:t>姓    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性别：</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 xml:space="preserve">            </w:t>
      </w:r>
    </w:p>
    <w:p>
      <w:pPr>
        <w:pStyle w:val="46"/>
        <w:bidi w:val="0"/>
        <w:rPr>
          <w:rFonts w:hint="eastAsia"/>
          <w:color w:val="auto"/>
          <w:highlight w:val="none"/>
        </w:rPr>
      </w:pPr>
      <w:r>
        <w:rPr>
          <w:rFonts w:hint="eastAsia"/>
          <w:color w:val="auto"/>
          <w:highlight w:val="none"/>
        </w:rPr>
        <w:t>本人系</w:t>
      </w:r>
      <w:r>
        <w:rPr>
          <w:rFonts w:hint="eastAsia"/>
          <w:color w:val="auto"/>
          <w:highlight w:val="none"/>
          <w:u w:val="single"/>
        </w:rPr>
        <w:t xml:space="preserve">                           </w:t>
      </w:r>
      <w:r>
        <w:rPr>
          <w:rFonts w:hint="eastAsia"/>
          <w:color w:val="auto"/>
          <w:highlight w:val="none"/>
        </w:rPr>
        <w:t>(</w:t>
      </w:r>
      <w:r>
        <w:rPr>
          <w:rFonts w:hint="eastAsia"/>
          <w:color w:val="auto"/>
          <w:highlight w:val="none"/>
          <w:lang w:val="en-US" w:eastAsia="zh-CN"/>
        </w:rPr>
        <w:t>投标人</w:t>
      </w:r>
      <w:r>
        <w:rPr>
          <w:rFonts w:hint="eastAsia"/>
          <w:color w:val="auto"/>
          <w:highlight w:val="none"/>
        </w:rPr>
        <w:t>名称)的法定代表人</w:t>
      </w:r>
      <w:r>
        <w:rPr>
          <w:rFonts w:hint="eastAsia"/>
          <w:color w:val="auto"/>
          <w:highlight w:val="none"/>
          <w:lang w:val="en-US" w:eastAsia="zh-CN"/>
        </w:rPr>
        <w:t>/单位负责人</w:t>
      </w:r>
      <w:r>
        <w:rPr>
          <w:rFonts w:hint="eastAsia"/>
          <w:color w:val="auto"/>
          <w:highlight w:val="none"/>
        </w:rPr>
        <w:t>。就参加你单位组织的“</w:t>
      </w:r>
      <w:r>
        <w:rPr>
          <w:rFonts w:hint="eastAsia"/>
          <w:color w:val="auto"/>
          <w:highlight w:val="none"/>
          <w:u w:val="single"/>
        </w:rPr>
        <w:t xml:space="preserve">             </w:t>
      </w:r>
      <w:r>
        <w:rPr>
          <w:rFonts w:hint="eastAsia"/>
          <w:color w:val="auto"/>
          <w:highlight w:val="none"/>
          <w:lang w:eastAsia="zh-CN"/>
        </w:rPr>
        <w:t>(</w:t>
      </w:r>
      <w:r>
        <w:rPr>
          <w:rFonts w:hint="eastAsia"/>
          <w:color w:val="auto"/>
          <w:highlight w:val="none"/>
          <w:lang w:val="en-US" w:eastAsia="zh-CN"/>
        </w:rPr>
        <w:t>项目名称</w:t>
      </w:r>
      <w:r>
        <w:rPr>
          <w:rFonts w:hint="eastAsia"/>
          <w:color w:val="auto"/>
          <w:highlight w:val="none"/>
          <w:lang w:eastAsia="zh-CN"/>
        </w:rPr>
        <w:t>)</w:t>
      </w:r>
      <w:r>
        <w:rPr>
          <w:rFonts w:hint="eastAsia"/>
          <w:color w:val="auto"/>
          <w:highlight w:val="none"/>
        </w:rPr>
        <w:t>(项目编号</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)”的</w:t>
      </w:r>
      <w:r>
        <w:rPr>
          <w:rFonts w:hint="eastAsia"/>
          <w:color w:val="auto"/>
          <w:highlight w:val="none"/>
          <w:lang w:val="en-US" w:eastAsia="zh-CN"/>
        </w:rPr>
        <w:t>投标</w:t>
      </w:r>
      <w:r>
        <w:rPr>
          <w:rFonts w:hint="eastAsia"/>
          <w:color w:val="auto"/>
          <w:highlight w:val="none"/>
        </w:rPr>
        <w:t>活动、并参与项目的</w:t>
      </w:r>
      <w:r>
        <w:rPr>
          <w:rFonts w:hint="eastAsia"/>
          <w:color w:val="auto"/>
          <w:highlight w:val="none"/>
          <w:lang w:val="en-US" w:eastAsia="zh-CN"/>
        </w:rPr>
        <w:t>投标</w:t>
      </w:r>
      <w:r>
        <w:rPr>
          <w:rFonts w:hint="eastAsia"/>
          <w:color w:val="auto"/>
          <w:highlight w:val="none"/>
        </w:rPr>
        <w:t>、签订合同以及执行合同等一切事宜，我</w:t>
      </w:r>
      <w:r>
        <w:rPr>
          <w:rFonts w:hint="eastAsia"/>
          <w:color w:val="auto"/>
          <w:highlight w:val="none"/>
          <w:lang w:val="en-US" w:eastAsia="zh-CN"/>
        </w:rPr>
        <w:t>单位</w:t>
      </w:r>
      <w:r>
        <w:rPr>
          <w:rFonts w:hint="eastAsia"/>
          <w:color w:val="auto"/>
          <w:highlight w:val="none"/>
        </w:rPr>
        <w:t>均予承认，所产生的法律后果均由我单位承担。</w:t>
      </w:r>
    </w:p>
    <w:p>
      <w:pPr>
        <w:pStyle w:val="46"/>
        <w:bidi w:val="0"/>
        <w:rPr>
          <w:rFonts w:hint="eastAsia"/>
          <w:color w:val="auto"/>
          <w:highlight w:val="none"/>
        </w:rPr>
      </w:pPr>
      <w:r>
        <w:rPr>
          <w:rFonts w:hint="eastAsia"/>
          <w:color w:val="auto"/>
          <w:highlight w:val="none"/>
        </w:rPr>
        <w:t>特此证明。</w:t>
      </w:r>
    </w:p>
    <w:p>
      <w:pPr>
        <w:pStyle w:val="42"/>
        <w:bidi w:val="0"/>
        <w:rPr>
          <w:rFonts w:hint="eastAsia"/>
          <w:color w:val="auto"/>
          <w:highlight w:val="none"/>
        </w:rPr>
      </w:pPr>
    </w:p>
    <w:p>
      <w:pPr>
        <w:pStyle w:val="42"/>
        <w:bidi w:val="0"/>
        <w:rPr>
          <w:rFonts w:hint="eastAsia"/>
          <w:color w:val="auto"/>
          <w:highlight w:val="none"/>
        </w:rPr>
      </w:pPr>
    </w:p>
    <w:p>
      <w:pPr>
        <w:pStyle w:val="42"/>
        <w:bidi w:val="0"/>
        <w:rPr>
          <w:rFonts w:hint="eastAsia"/>
          <w:color w:val="auto"/>
          <w:highlight w:val="none"/>
        </w:rPr>
      </w:pPr>
    </w:p>
    <w:p>
      <w:pPr>
        <w:pStyle w:val="42"/>
        <w:bidi w:val="0"/>
        <w:rPr>
          <w:rFonts w:hint="eastAsia"/>
          <w:color w:val="auto"/>
          <w:highlight w:val="none"/>
        </w:rPr>
      </w:pPr>
    </w:p>
    <w:p>
      <w:pPr>
        <w:pStyle w:val="42"/>
        <w:bidi w:val="0"/>
        <w:rPr>
          <w:rFonts w:hint="eastAsia"/>
          <w:color w:val="auto"/>
          <w:highlight w:val="none"/>
        </w:rPr>
      </w:pPr>
    </w:p>
    <w:p>
      <w:pPr>
        <w:pStyle w:val="46"/>
        <w:bidi w:val="0"/>
        <w:rPr>
          <w:rFonts w:hint="eastAsia"/>
          <w:color w:val="auto"/>
          <w:highlight w:val="none"/>
        </w:rPr>
      </w:pPr>
      <w:r>
        <w:rPr>
          <w:rFonts w:hint="eastAsia"/>
          <w:color w:val="auto"/>
          <w:highlight w:val="none"/>
          <w:lang w:val="en-US" w:eastAsia="zh-CN"/>
        </w:rPr>
        <w:t>投标人</w:t>
      </w:r>
      <w:r>
        <w:rPr>
          <w:rFonts w:hint="eastAsia"/>
          <w:color w:val="auto"/>
          <w:highlight w:val="none"/>
        </w:rPr>
        <w:t>名称：</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 xml:space="preserve">(盖章) </w:t>
      </w:r>
    </w:p>
    <w:p>
      <w:pPr>
        <w:pStyle w:val="46"/>
        <w:bidi w:val="0"/>
        <w:rPr>
          <w:rFonts w:hint="eastAsia"/>
          <w:color w:val="auto"/>
          <w:highlight w:val="none"/>
        </w:rPr>
      </w:pPr>
      <w:r>
        <w:rPr>
          <w:rFonts w:hint="eastAsia"/>
          <w:color w:val="auto"/>
          <w:highlight w:val="none"/>
        </w:rPr>
        <w:t>法定代表人</w:t>
      </w:r>
      <w:r>
        <w:rPr>
          <w:rFonts w:hint="eastAsia"/>
          <w:color w:val="auto"/>
          <w:highlight w:val="none"/>
          <w:lang w:val="en-US" w:eastAsia="zh-CN"/>
        </w:rPr>
        <w:t>/单位负责人</w:t>
      </w:r>
      <w:r>
        <w:rPr>
          <w:rFonts w:hint="eastAsia"/>
          <w:color w:val="auto"/>
          <w:highlight w:val="none"/>
        </w:rPr>
        <w:t>：</w:t>
      </w:r>
      <w:r>
        <w:rPr>
          <w:rFonts w:hint="eastAsia"/>
          <w:color w:val="auto"/>
          <w:highlight w:val="none"/>
          <w:u w:val="single"/>
          <w:lang w:val="en-US" w:eastAsia="zh-CN"/>
        </w:rPr>
        <w:t xml:space="preserve">               </w:t>
      </w:r>
      <w:r>
        <w:rPr>
          <w:rFonts w:hint="eastAsia"/>
          <w:color w:val="auto"/>
          <w:highlight w:val="none"/>
        </w:rPr>
        <w:t>(签字或盖章)</w:t>
      </w:r>
    </w:p>
    <w:p>
      <w:pPr>
        <w:pStyle w:val="46"/>
        <w:bidi w:val="0"/>
        <w:rPr>
          <w:rFonts w:hint="eastAsia"/>
          <w:color w:val="auto"/>
          <w:highlight w:val="none"/>
          <w:u w:val="single"/>
        </w:rPr>
      </w:pPr>
      <w:r>
        <w:rPr>
          <w:rFonts w:hint="eastAsia"/>
          <w:color w:val="auto"/>
          <w:highlight w:val="none"/>
          <w:lang w:val="en-US" w:eastAsia="zh-CN"/>
        </w:rPr>
        <w:t>投标</w:t>
      </w:r>
      <w:r>
        <w:rPr>
          <w:rFonts w:hint="eastAsia"/>
          <w:color w:val="auto"/>
          <w:highlight w:val="none"/>
        </w:rPr>
        <w:t>日期：</w:t>
      </w:r>
      <w:r>
        <w:rPr>
          <w:rFonts w:hint="eastAsia"/>
          <w:color w:val="auto"/>
          <w:highlight w:val="none"/>
          <w:u w:val="single"/>
          <w:lang w:val="en-US" w:eastAsia="zh-CN"/>
        </w:rPr>
        <w:t xml:space="preserve">            </w:t>
      </w:r>
      <w:r>
        <w:rPr>
          <w:rFonts w:hint="eastAsia"/>
          <w:color w:val="auto"/>
          <w:highlight w:val="none"/>
          <w:u w:val="single"/>
        </w:rPr>
        <w:t xml:space="preserve"> </w:t>
      </w:r>
    </w:p>
    <w:p>
      <w:pPr>
        <w:pStyle w:val="46"/>
        <w:bidi w:val="0"/>
        <w:rPr>
          <w:rFonts w:hint="eastAsia"/>
          <w:color w:val="auto"/>
          <w:highlight w:val="none"/>
        </w:rPr>
      </w:pPr>
    </w:p>
    <w:p>
      <w:pPr>
        <w:pStyle w:val="47"/>
        <w:bidi w:val="0"/>
        <w:rPr>
          <w:rFonts w:hint="eastAsia"/>
          <w:color w:val="auto"/>
          <w:highlight w:val="none"/>
        </w:rPr>
      </w:pPr>
      <w:r>
        <w:rPr>
          <w:rFonts w:hint="eastAsia"/>
          <w:color w:val="auto"/>
          <w:highlight w:val="none"/>
        </w:rPr>
        <w:t>注：</w:t>
      </w:r>
      <w:r>
        <w:rPr>
          <w:rFonts w:hint="eastAsia"/>
          <w:color w:val="auto"/>
          <w:highlight w:val="none"/>
          <w:lang w:val="en-US" w:eastAsia="zh-CN"/>
        </w:rPr>
        <w:t>1.</w:t>
      </w:r>
      <w:r>
        <w:rPr>
          <w:rFonts w:hint="eastAsia"/>
          <w:color w:val="auto"/>
          <w:highlight w:val="none"/>
        </w:rPr>
        <w:t>法定代表人</w:t>
      </w:r>
      <w:r>
        <w:rPr>
          <w:color w:val="auto"/>
          <w:highlight w:val="none"/>
        </w:rPr>
        <w:t>/单位负责人</w:t>
      </w:r>
      <w:r>
        <w:rPr>
          <w:rFonts w:hint="eastAsia"/>
          <w:color w:val="auto"/>
          <w:highlight w:val="none"/>
        </w:rPr>
        <w:t>亲自参加</w:t>
      </w:r>
      <w:r>
        <w:rPr>
          <w:rFonts w:hint="eastAsia"/>
          <w:color w:val="auto"/>
          <w:highlight w:val="none"/>
          <w:lang w:val="en-US" w:eastAsia="zh-CN"/>
        </w:rPr>
        <w:t>投标</w:t>
      </w:r>
      <w:r>
        <w:rPr>
          <w:rFonts w:hint="eastAsia"/>
          <w:color w:val="auto"/>
          <w:highlight w:val="none"/>
        </w:rPr>
        <w:t>时适用本证明书。</w:t>
      </w:r>
    </w:p>
    <w:p>
      <w:pPr>
        <w:pStyle w:val="47"/>
        <w:bidi w:val="0"/>
        <w:rPr>
          <w:color w:val="auto"/>
          <w:highlight w:val="none"/>
        </w:rPr>
      </w:pPr>
      <w:r>
        <w:rPr>
          <w:rFonts w:hint="eastAsia"/>
          <w:color w:val="auto"/>
          <w:highlight w:val="none"/>
          <w:lang w:val="en-US" w:eastAsia="zh-CN"/>
        </w:rPr>
        <w:t>2.</w:t>
      </w:r>
      <w:r>
        <w:rPr>
          <w:color w:val="auto"/>
          <w:highlight w:val="none"/>
        </w:rPr>
        <w:t>应附法定代表人/单位负责人身份证明材料复印件。</w:t>
      </w:r>
    </w:p>
    <w:p>
      <w:pPr>
        <w:pStyle w:val="47"/>
        <w:bidi w:val="0"/>
        <w:rPr>
          <w:color w:val="auto"/>
          <w:highlight w:val="none"/>
        </w:rPr>
      </w:pPr>
      <w:r>
        <w:rPr>
          <w:rFonts w:hint="eastAsia"/>
          <w:color w:val="auto"/>
          <w:highlight w:val="none"/>
          <w:lang w:val="en-US" w:eastAsia="zh-CN"/>
        </w:rPr>
        <w:t>3.</w:t>
      </w:r>
      <w:r>
        <w:rPr>
          <w:color w:val="auto"/>
          <w:highlight w:val="none"/>
        </w:rPr>
        <w:t>身份证明材料包括居民身份证或户口本或军官证或护照等。</w:t>
      </w:r>
    </w:p>
    <w:p>
      <w:pPr>
        <w:pStyle w:val="47"/>
        <w:bidi w:val="0"/>
        <w:rPr>
          <w:rFonts w:hint="eastAsia"/>
          <w:color w:val="auto"/>
          <w:highlight w:val="none"/>
          <w:lang w:eastAsia="zh-CN"/>
        </w:rPr>
      </w:pPr>
      <w:r>
        <w:rPr>
          <w:rFonts w:hint="eastAsia"/>
          <w:color w:val="auto"/>
          <w:highlight w:val="none"/>
          <w:lang w:val="en-US" w:eastAsia="zh-CN"/>
        </w:rPr>
        <w:t>4.</w:t>
      </w:r>
      <w:r>
        <w:rPr>
          <w:color w:val="auto"/>
          <w:highlight w:val="none"/>
        </w:rPr>
        <w:t>身份证明材料应同时提供其在有效期的材料，如居民身份证正、反面复印件</w:t>
      </w:r>
      <w:r>
        <w:rPr>
          <w:rFonts w:hint="eastAsia"/>
          <w:color w:val="auto"/>
          <w:highlight w:val="none"/>
          <w:lang w:eastAsia="zh-CN"/>
        </w:rPr>
        <w:t>。</w:t>
      </w:r>
    </w:p>
    <w:p>
      <w:pPr>
        <w:pStyle w:val="44"/>
        <w:numPr>
          <w:ilvl w:val="0"/>
          <w:numId w:val="21"/>
        </w:numPr>
        <w:bidi w:val="0"/>
        <w:ind w:left="0" w:leftChars="0" w:hanging="9" w:firstLineChars="0"/>
        <w:jc w:val="center"/>
        <w:rPr>
          <w:rFonts w:hint="eastAsia"/>
          <w:color w:val="auto"/>
          <w:highlight w:val="none"/>
          <w:lang w:val="en-US" w:eastAsia="zh-CN"/>
        </w:rPr>
      </w:pPr>
      <w:bookmarkStart w:id="903" w:name="_Toc2452"/>
      <w:bookmarkStart w:id="904" w:name="_Toc22152"/>
      <w:bookmarkStart w:id="905" w:name="_Toc28837"/>
      <w:bookmarkStart w:id="906" w:name="_Toc9128"/>
      <w:bookmarkStart w:id="907" w:name="_Toc28397"/>
      <w:bookmarkStart w:id="908" w:name="_Toc3822"/>
      <w:bookmarkStart w:id="909" w:name="_Toc29937"/>
      <w:bookmarkStart w:id="910" w:name="_Toc28024"/>
      <w:bookmarkStart w:id="911" w:name="_Toc14566"/>
      <w:r>
        <w:rPr>
          <w:rFonts w:hint="eastAsia"/>
          <w:color w:val="auto"/>
          <w:highlight w:val="none"/>
          <w:lang w:val="en-US" w:eastAsia="zh-CN"/>
        </w:rPr>
        <w:t>具有独立承担民事责任的能力的证明材料</w:t>
      </w:r>
      <w:bookmarkEnd w:id="903"/>
      <w:bookmarkEnd w:id="904"/>
      <w:bookmarkEnd w:id="905"/>
      <w:bookmarkEnd w:id="906"/>
    </w:p>
    <w:p>
      <w:pPr>
        <w:pStyle w:val="46"/>
        <w:bidi w:val="0"/>
        <w:rPr>
          <w:rFonts w:hint="eastAsia"/>
          <w:color w:val="auto"/>
          <w:highlight w:val="none"/>
          <w:lang w:eastAsia="zh-CN"/>
        </w:rPr>
      </w:pPr>
      <w:r>
        <w:rPr>
          <w:rFonts w:hint="eastAsia"/>
          <w:color w:val="auto"/>
          <w:highlight w:val="none"/>
          <w:lang w:val="en-US" w:eastAsia="zh-CN"/>
        </w:rPr>
        <w:t>投标人：</w:t>
      </w:r>
      <w:r>
        <w:rPr>
          <w:rFonts w:hint="eastAsia"/>
          <w:color w:val="auto"/>
          <w:highlight w:val="none"/>
        </w:rPr>
        <w:t>①若为</w:t>
      </w:r>
      <w:r>
        <w:rPr>
          <w:rFonts w:hint="eastAsia"/>
          <w:b/>
          <w:bCs/>
          <w:color w:val="auto"/>
          <w:highlight w:val="none"/>
        </w:rPr>
        <w:t>企业法人</w:t>
      </w:r>
      <w:r>
        <w:rPr>
          <w:rFonts w:hint="eastAsia"/>
          <w:color w:val="auto"/>
          <w:highlight w:val="none"/>
        </w:rPr>
        <w:t>：提供“营业执照”</w:t>
      </w:r>
      <w:r>
        <w:rPr>
          <w:rFonts w:hint="eastAsia"/>
          <w:color w:val="auto"/>
          <w:highlight w:val="none"/>
          <w:lang w:val="en-US" w:eastAsia="zh-CN"/>
        </w:rPr>
        <w:t>副本复印件</w:t>
      </w:r>
      <w:r>
        <w:rPr>
          <w:rFonts w:hint="eastAsia"/>
          <w:color w:val="auto"/>
          <w:highlight w:val="none"/>
        </w:rPr>
        <w:t>；未换证的提供“营业执照</w:t>
      </w:r>
      <w:r>
        <w:rPr>
          <w:rFonts w:hint="eastAsia"/>
          <w:color w:val="auto"/>
          <w:highlight w:val="none"/>
          <w:lang w:val="en-US" w:eastAsia="zh-CN"/>
        </w:rPr>
        <w:t>副本</w:t>
      </w:r>
      <w:r>
        <w:rPr>
          <w:rFonts w:hint="eastAsia"/>
          <w:color w:val="auto"/>
          <w:highlight w:val="none"/>
        </w:rPr>
        <w:t>、税务登记证</w:t>
      </w:r>
      <w:r>
        <w:rPr>
          <w:rFonts w:hint="eastAsia"/>
          <w:color w:val="auto"/>
          <w:highlight w:val="none"/>
          <w:lang w:val="en-US" w:eastAsia="zh-CN"/>
        </w:rPr>
        <w:t>副本</w:t>
      </w:r>
      <w:r>
        <w:rPr>
          <w:rFonts w:hint="eastAsia"/>
          <w:color w:val="auto"/>
          <w:highlight w:val="none"/>
        </w:rPr>
        <w:t>、组织机构代码证</w:t>
      </w:r>
      <w:r>
        <w:rPr>
          <w:rFonts w:hint="eastAsia"/>
          <w:color w:val="auto"/>
          <w:highlight w:val="none"/>
          <w:lang w:val="en-US" w:eastAsia="zh-CN"/>
        </w:rPr>
        <w:t>副本</w:t>
      </w:r>
      <w:r>
        <w:rPr>
          <w:rFonts w:hint="eastAsia"/>
          <w:color w:val="auto"/>
          <w:highlight w:val="none"/>
        </w:rPr>
        <w:t>”</w:t>
      </w:r>
      <w:r>
        <w:rPr>
          <w:rFonts w:hint="eastAsia"/>
          <w:color w:val="auto"/>
          <w:highlight w:val="none"/>
          <w:lang w:val="en-US" w:eastAsia="zh-CN"/>
        </w:rPr>
        <w:t>复印件</w:t>
      </w:r>
      <w:r>
        <w:rPr>
          <w:rFonts w:hint="eastAsia"/>
          <w:color w:val="auto"/>
          <w:highlight w:val="none"/>
        </w:rPr>
        <w:t>；②若为</w:t>
      </w:r>
      <w:r>
        <w:rPr>
          <w:rFonts w:hint="eastAsia"/>
          <w:b/>
          <w:bCs/>
          <w:color w:val="auto"/>
          <w:highlight w:val="none"/>
        </w:rPr>
        <w:t>事业法人</w:t>
      </w:r>
      <w:r>
        <w:rPr>
          <w:rFonts w:hint="eastAsia"/>
          <w:color w:val="auto"/>
          <w:highlight w:val="none"/>
        </w:rPr>
        <w:t>：提供“统一社会信用代码法人登记证书”</w:t>
      </w:r>
      <w:r>
        <w:rPr>
          <w:rFonts w:hint="eastAsia"/>
          <w:color w:val="auto"/>
          <w:highlight w:val="none"/>
          <w:lang w:val="en-US" w:eastAsia="zh-CN"/>
        </w:rPr>
        <w:t>复印件</w:t>
      </w:r>
      <w:r>
        <w:rPr>
          <w:rFonts w:hint="eastAsia"/>
          <w:color w:val="auto"/>
          <w:highlight w:val="none"/>
        </w:rPr>
        <w:t>；未换证的提交“事业法人登记证书、组织机构代码证”</w:t>
      </w:r>
      <w:r>
        <w:rPr>
          <w:rFonts w:hint="eastAsia"/>
          <w:color w:val="auto"/>
          <w:highlight w:val="none"/>
          <w:lang w:val="en-US" w:eastAsia="zh-CN"/>
        </w:rPr>
        <w:t>复印件</w:t>
      </w:r>
      <w:r>
        <w:rPr>
          <w:rFonts w:hint="eastAsia"/>
          <w:color w:val="auto"/>
          <w:highlight w:val="none"/>
        </w:rPr>
        <w:t>；③若为</w:t>
      </w:r>
      <w:r>
        <w:rPr>
          <w:rFonts w:hint="eastAsia"/>
          <w:b/>
          <w:bCs/>
          <w:color w:val="auto"/>
          <w:highlight w:val="none"/>
        </w:rPr>
        <w:t>其他组织</w:t>
      </w:r>
      <w:r>
        <w:rPr>
          <w:rFonts w:hint="eastAsia"/>
          <w:color w:val="auto"/>
          <w:highlight w:val="none"/>
        </w:rPr>
        <w:t>：提供“对应主管部门颁发的准许执业证明文件或营业执照</w:t>
      </w:r>
      <w:r>
        <w:rPr>
          <w:rFonts w:hint="eastAsia"/>
          <w:color w:val="auto"/>
          <w:highlight w:val="none"/>
          <w:lang w:val="en-US" w:eastAsia="zh-CN"/>
        </w:rPr>
        <w:t>副本</w:t>
      </w:r>
      <w:r>
        <w:rPr>
          <w:rFonts w:hint="eastAsia"/>
          <w:color w:val="auto"/>
          <w:highlight w:val="none"/>
        </w:rPr>
        <w:t>”</w:t>
      </w:r>
      <w:r>
        <w:rPr>
          <w:rFonts w:hint="eastAsia"/>
          <w:color w:val="auto"/>
          <w:highlight w:val="none"/>
          <w:lang w:val="en-US" w:eastAsia="zh-CN"/>
        </w:rPr>
        <w:t>复印件</w:t>
      </w:r>
      <w:r>
        <w:rPr>
          <w:rFonts w:hint="eastAsia"/>
          <w:color w:val="auto"/>
          <w:highlight w:val="none"/>
        </w:rPr>
        <w:t>；④若为</w:t>
      </w:r>
      <w:r>
        <w:rPr>
          <w:rFonts w:hint="eastAsia"/>
          <w:b/>
          <w:bCs/>
          <w:color w:val="auto"/>
          <w:highlight w:val="none"/>
        </w:rPr>
        <w:t>自然人</w:t>
      </w:r>
      <w:r>
        <w:rPr>
          <w:rFonts w:hint="eastAsia"/>
          <w:color w:val="auto"/>
          <w:highlight w:val="none"/>
        </w:rPr>
        <w:t>：提供“身份证明材料”</w:t>
      </w:r>
      <w:r>
        <w:rPr>
          <w:rFonts w:hint="eastAsia"/>
          <w:color w:val="auto"/>
          <w:highlight w:val="none"/>
          <w:lang w:eastAsia="zh-CN"/>
        </w:rPr>
        <w:t>。</w:t>
      </w:r>
    </w:p>
    <w:bookmarkEnd w:id="907"/>
    <w:p>
      <w:pPr>
        <w:pStyle w:val="47"/>
        <w:bidi w:val="0"/>
        <w:rPr>
          <w:rFonts w:hint="eastAsia"/>
          <w:color w:val="auto"/>
          <w:highlight w:val="none"/>
          <w:lang w:val="en-US" w:eastAsia="zh-CN"/>
        </w:rPr>
      </w:pPr>
      <w:r>
        <w:rPr>
          <w:rFonts w:hint="eastAsia"/>
          <w:color w:val="auto"/>
          <w:highlight w:val="none"/>
          <w:lang w:val="en-US" w:eastAsia="zh-CN"/>
        </w:rPr>
        <w:t>注：1.以上证明材料应满足此条要求①发证机关有年检要求的，应按规定通过年检；②在有效期内；③复印件加盖投标人公章；</w:t>
      </w:r>
    </w:p>
    <w:p>
      <w:pPr>
        <w:pStyle w:val="47"/>
        <w:bidi w:val="0"/>
        <w:rPr>
          <w:rFonts w:hint="eastAsia"/>
          <w:color w:val="auto"/>
          <w:highlight w:val="none"/>
          <w:lang w:val="en-US" w:eastAsia="zh-CN"/>
        </w:rPr>
      </w:pPr>
      <w:r>
        <w:rPr>
          <w:rFonts w:hint="eastAsia"/>
          <w:color w:val="auto"/>
          <w:highlight w:val="none"/>
          <w:lang w:val="en-US" w:eastAsia="zh-CN"/>
        </w:rPr>
        <w:t>2.</w:t>
      </w:r>
      <w:bookmarkEnd w:id="908"/>
      <w:r>
        <w:rPr>
          <w:rFonts w:hint="eastAsia"/>
          <w:color w:val="auto"/>
          <w:highlight w:val="none"/>
          <w:lang w:val="en-US" w:eastAsia="zh-CN"/>
        </w:rPr>
        <w:t>企业若已更换为三证合一的则提供营业执照副本复印件，事业单位提供事业单位法人证书复印件，其他组织提供执业许可证或营业执照等证明文件复印件，自然人提供身份证明均具备此条同等效力；</w:t>
      </w:r>
    </w:p>
    <w:p>
      <w:pPr>
        <w:pStyle w:val="47"/>
        <w:bidi w:val="0"/>
        <w:rPr>
          <w:color w:val="auto"/>
          <w:highlight w:val="none"/>
        </w:rPr>
      </w:pPr>
      <w:r>
        <w:rPr>
          <w:rFonts w:hint="eastAsia"/>
          <w:color w:val="auto"/>
          <w:highlight w:val="none"/>
          <w:lang w:val="en-US" w:eastAsia="zh-CN"/>
        </w:rPr>
        <w:t>3.</w:t>
      </w:r>
      <w:r>
        <w:rPr>
          <w:color w:val="auto"/>
          <w:highlight w:val="none"/>
        </w:rPr>
        <w:t>根据国务院办公厅关于加快推进“多证合一”改革的指导意见</w:t>
      </w:r>
      <w:r>
        <w:rPr>
          <w:rFonts w:hint="eastAsia"/>
          <w:color w:val="auto"/>
          <w:highlight w:val="none"/>
          <w:lang w:eastAsia="zh-CN"/>
        </w:rPr>
        <w:t>(</w:t>
      </w:r>
      <w:r>
        <w:rPr>
          <w:color w:val="auto"/>
          <w:highlight w:val="none"/>
        </w:rPr>
        <w:t>国办发</w:t>
      </w:r>
      <w:r>
        <w:rPr>
          <w:rFonts w:hint="eastAsia"/>
          <w:color w:val="auto"/>
          <w:highlight w:val="none"/>
          <w:lang w:val="en-US" w:eastAsia="zh-CN"/>
        </w:rPr>
        <w:t>〔</w:t>
      </w:r>
      <w:r>
        <w:rPr>
          <w:color w:val="auto"/>
          <w:highlight w:val="none"/>
        </w:rPr>
        <w:t>2017</w:t>
      </w:r>
      <w:r>
        <w:rPr>
          <w:rFonts w:hint="eastAsia"/>
          <w:color w:val="auto"/>
          <w:highlight w:val="none"/>
          <w:lang w:val="en-US" w:eastAsia="zh-CN"/>
        </w:rPr>
        <w:t>〕</w:t>
      </w:r>
      <w:r>
        <w:rPr>
          <w:color w:val="auto"/>
          <w:highlight w:val="none"/>
        </w:rPr>
        <w:t>41号</w:t>
      </w:r>
      <w:r>
        <w:rPr>
          <w:rFonts w:hint="eastAsia"/>
          <w:color w:val="auto"/>
          <w:highlight w:val="none"/>
          <w:lang w:eastAsia="zh-CN"/>
        </w:rPr>
        <w:t>)</w:t>
      </w:r>
      <w:r>
        <w:rPr>
          <w:color w:val="auto"/>
          <w:highlight w:val="none"/>
        </w:rPr>
        <w:t>等政策要求，若资格要求涉及的登记、备案等有关事项和各类证照已实行多证合一</w:t>
      </w:r>
      <w:r>
        <w:rPr>
          <w:rFonts w:hint="eastAsia"/>
          <w:color w:val="auto"/>
          <w:highlight w:val="none"/>
          <w:lang w:val="en-US" w:eastAsia="zh-CN"/>
        </w:rPr>
        <w:t>的，</w:t>
      </w:r>
      <w:r>
        <w:rPr>
          <w:rFonts w:hint="eastAsia"/>
          <w:color w:val="auto"/>
          <w:highlight w:val="none"/>
          <w:lang w:eastAsia="zh-CN"/>
        </w:rPr>
        <w:t>提供多证合一证照</w:t>
      </w:r>
      <w:r>
        <w:rPr>
          <w:rFonts w:hint="eastAsia"/>
          <w:color w:val="auto"/>
          <w:highlight w:val="none"/>
          <w:lang w:val="en-US" w:eastAsia="zh-CN"/>
        </w:rPr>
        <w:t>副本</w:t>
      </w:r>
      <w:r>
        <w:rPr>
          <w:rFonts w:hint="eastAsia"/>
          <w:color w:val="auto"/>
          <w:highlight w:val="none"/>
          <w:lang w:eastAsia="zh-CN"/>
        </w:rPr>
        <w:t>复印件</w:t>
      </w:r>
      <w:r>
        <w:rPr>
          <w:color w:val="auto"/>
          <w:highlight w:val="none"/>
        </w:rPr>
        <w:t>。</w:t>
      </w:r>
    </w:p>
    <w:p>
      <w:pPr>
        <w:pStyle w:val="42"/>
        <w:bidi w:val="0"/>
        <w:rPr>
          <w:rFonts w:hint="eastAsia"/>
          <w:color w:val="auto"/>
          <w:highlight w:val="none"/>
          <w:lang w:val="en-US" w:eastAsia="zh-CN"/>
        </w:rPr>
      </w:pPr>
    </w:p>
    <w:p>
      <w:pPr>
        <w:pStyle w:val="44"/>
        <w:numPr>
          <w:ilvl w:val="0"/>
          <w:numId w:val="21"/>
        </w:numPr>
        <w:bidi w:val="0"/>
        <w:ind w:left="0" w:leftChars="0" w:hanging="9" w:firstLineChars="0"/>
        <w:jc w:val="center"/>
        <w:rPr>
          <w:rFonts w:hint="eastAsia" w:ascii="宋体" w:hAnsi="宋体" w:eastAsia="宋体"/>
          <w:color w:val="auto"/>
          <w:highlight w:val="none"/>
          <w:lang w:val="en-US" w:eastAsia="zh-CN"/>
        </w:rPr>
      </w:pPr>
      <w:bookmarkStart w:id="912" w:name="_Toc17113"/>
      <w:bookmarkStart w:id="913" w:name="_Toc17191"/>
      <w:r>
        <w:rPr>
          <w:rFonts w:hint="eastAsia" w:ascii="宋体" w:hAnsi="宋体" w:eastAsia="宋体"/>
          <w:color w:val="auto"/>
          <w:highlight w:val="none"/>
          <w:lang w:val="en-US" w:eastAsia="zh-CN"/>
        </w:rPr>
        <w:t>投标人具有良好的商业信誉和健全的财务会计制度的证明材料</w:t>
      </w:r>
      <w:bookmarkEnd w:id="909"/>
      <w:bookmarkEnd w:id="910"/>
      <w:bookmarkEnd w:id="912"/>
      <w:bookmarkEnd w:id="913"/>
    </w:p>
    <w:bookmarkEnd w:id="911"/>
    <w:p>
      <w:pPr>
        <w:pStyle w:val="46"/>
        <w:bidi w:val="0"/>
        <w:rPr>
          <w:rFonts w:hint="eastAsia"/>
          <w:color w:val="auto"/>
          <w:highlight w:val="none"/>
          <w:lang w:val="en-US" w:eastAsia="zh-CN"/>
        </w:rPr>
      </w:pPr>
      <w:bookmarkStart w:id="914" w:name="_Toc19866"/>
      <w:bookmarkStart w:id="915" w:name="_Toc17744"/>
      <w:bookmarkStart w:id="916" w:name="_Toc5443"/>
      <w:r>
        <w:rPr>
          <w:rFonts w:hint="eastAsia"/>
          <w:color w:val="auto"/>
          <w:highlight w:val="none"/>
          <w:lang w:val="en-US" w:eastAsia="zh-CN"/>
        </w:rPr>
        <w:t>1.投标人</w:t>
      </w:r>
      <w:r>
        <w:rPr>
          <w:rFonts w:hint="eastAsia"/>
          <w:color w:val="auto"/>
          <w:highlight w:val="none"/>
        </w:rPr>
        <w:t>具</w:t>
      </w:r>
      <w:r>
        <w:rPr>
          <w:rFonts w:hint="eastAsia"/>
          <w:color w:val="auto"/>
          <w:highlight w:val="none"/>
          <w:lang w:val="en-US" w:eastAsia="zh-CN"/>
        </w:rPr>
        <w:t>有</w:t>
      </w:r>
      <w:r>
        <w:rPr>
          <w:rFonts w:hint="eastAsia"/>
          <w:color w:val="auto"/>
          <w:highlight w:val="none"/>
        </w:rPr>
        <w:t>良好商业信誉的证明材料</w:t>
      </w:r>
      <w:r>
        <w:rPr>
          <w:rFonts w:hint="eastAsia"/>
          <w:color w:val="auto"/>
          <w:highlight w:val="none"/>
          <w:lang w:eastAsia="zh-CN"/>
        </w:rPr>
        <w:t>；</w:t>
      </w:r>
    </w:p>
    <w:p>
      <w:pPr>
        <w:pStyle w:val="46"/>
        <w:bidi w:val="0"/>
        <w:rPr>
          <w:rFonts w:hint="eastAsia"/>
          <w:color w:val="auto"/>
          <w:highlight w:val="none"/>
          <w:lang w:eastAsia="zh-CN"/>
        </w:rPr>
      </w:pPr>
      <w:r>
        <w:rPr>
          <w:rFonts w:hint="eastAsia"/>
          <w:color w:val="auto"/>
          <w:highlight w:val="none"/>
          <w:lang w:val="en-US" w:eastAsia="zh-CN"/>
        </w:rPr>
        <w:t>提供</w:t>
      </w:r>
      <w:r>
        <w:rPr>
          <w:rFonts w:hint="eastAsia"/>
          <w:color w:val="auto"/>
          <w:highlight w:val="none"/>
        </w:rPr>
        <w:t>具</w:t>
      </w:r>
      <w:r>
        <w:rPr>
          <w:rFonts w:hint="eastAsia"/>
          <w:color w:val="auto"/>
          <w:highlight w:val="none"/>
          <w:lang w:val="en-US" w:eastAsia="zh-CN"/>
        </w:rPr>
        <w:t>有</w:t>
      </w:r>
      <w:r>
        <w:rPr>
          <w:rFonts w:hint="eastAsia"/>
          <w:color w:val="auto"/>
          <w:highlight w:val="none"/>
        </w:rPr>
        <w:t>良好</w:t>
      </w:r>
      <w:r>
        <w:rPr>
          <w:rFonts w:hint="eastAsia"/>
          <w:color w:val="auto"/>
          <w:highlight w:val="none"/>
          <w:lang w:val="en-US" w:eastAsia="zh-CN"/>
        </w:rPr>
        <w:t>的</w:t>
      </w:r>
      <w:r>
        <w:rPr>
          <w:rFonts w:hint="eastAsia"/>
          <w:color w:val="auto"/>
          <w:highlight w:val="none"/>
        </w:rPr>
        <w:t>商业信誉</w:t>
      </w:r>
      <w:r>
        <w:rPr>
          <w:rFonts w:hint="eastAsia"/>
          <w:color w:val="auto"/>
          <w:highlight w:val="none"/>
          <w:lang w:val="en-US" w:eastAsia="zh-CN"/>
        </w:rPr>
        <w:t>的</w:t>
      </w:r>
      <w:r>
        <w:rPr>
          <w:rFonts w:hint="eastAsia"/>
          <w:color w:val="auto"/>
          <w:highlight w:val="none"/>
        </w:rPr>
        <w:t>承诺函</w:t>
      </w:r>
      <w:r>
        <w:rPr>
          <w:rFonts w:hint="eastAsia"/>
          <w:color w:val="auto"/>
          <w:highlight w:val="none"/>
          <w:lang w:eastAsia="zh-CN"/>
        </w:rPr>
        <w:t>。</w:t>
      </w:r>
    </w:p>
    <w:p>
      <w:pPr>
        <w:pStyle w:val="46"/>
        <w:bidi w:val="0"/>
        <w:rPr>
          <w:rFonts w:hint="eastAsia" w:eastAsia="宋体"/>
          <w:color w:val="auto"/>
          <w:highlight w:val="none"/>
          <w:lang w:val="en-US" w:eastAsia="zh-CN"/>
        </w:rPr>
      </w:pPr>
      <w:r>
        <w:rPr>
          <w:rFonts w:hint="eastAsia"/>
          <w:b/>
          <w:bCs/>
          <w:color w:val="auto"/>
          <w:highlight w:val="none"/>
          <w:lang w:val="en-US" w:eastAsia="zh-CN"/>
        </w:rPr>
        <w:t>注：</w:t>
      </w:r>
      <w:r>
        <w:rPr>
          <w:rFonts w:hint="eastAsia" w:cs="宋体" w:asciiTheme="minorEastAsia" w:hAnsiTheme="minorEastAsia" w:eastAsiaTheme="minorEastAsia"/>
          <w:b/>
          <w:bCs/>
          <w:color w:val="auto"/>
          <w:highlight w:val="none"/>
          <w:lang w:val="en-US" w:eastAsia="zh-CN"/>
        </w:rPr>
        <w:t>承诺函</w:t>
      </w:r>
      <w:r>
        <w:rPr>
          <w:rFonts w:hint="eastAsia"/>
          <w:b/>
          <w:bCs w:val="0"/>
          <w:color w:val="auto"/>
          <w:highlight w:val="none"/>
        </w:rPr>
        <w:t>格式自拟，或参照《承诺及声明函》的格式提供</w:t>
      </w:r>
      <w:r>
        <w:rPr>
          <w:rFonts w:hint="eastAsia"/>
          <w:b/>
          <w:bCs w:val="0"/>
          <w:color w:val="auto"/>
          <w:highlight w:val="none"/>
          <w:lang w:eastAsia="zh-CN"/>
        </w:rPr>
        <w:t>。</w:t>
      </w:r>
    </w:p>
    <w:p>
      <w:pPr>
        <w:pStyle w:val="46"/>
        <w:bidi w:val="0"/>
        <w:rPr>
          <w:rFonts w:hint="eastAsia"/>
          <w:color w:val="auto"/>
          <w:highlight w:val="none"/>
          <w:lang w:val="en-US" w:eastAsia="zh-CN"/>
        </w:rPr>
      </w:pPr>
      <w:r>
        <w:rPr>
          <w:rFonts w:hint="eastAsia"/>
          <w:color w:val="auto"/>
          <w:highlight w:val="none"/>
          <w:lang w:val="en-US" w:eastAsia="zh-CN"/>
        </w:rPr>
        <w:t>2.投标人具有健全的财务会计制度的证明材料；</w:t>
      </w:r>
    </w:p>
    <w:p>
      <w:pPr>
        <w:pStyle w:val="46"/>
        <w:bidi w:val="0"/>
        <w:rPr>
          <w:rFonts w:hint="default"/>
          <w:color w:val="auto"/>
          <w:highlight w:val="none"/>
          <w:lang w:val="en-US" w:eastAsia="zh-CN"/>
        </w:rPr>
      </w:pPr>
      <w:r>
        <w:rPr>
          <w:rFonts w:hint="eastAsia"/>
          <w:color w:val="auto"/>
          <w:highlight w:val="none"/>
          <w:lang w:val="en-US" w:eastAsia="zh-CN"/>
        </w:rPr>
        <w:t>(1)投标人提供2022年度经过会计师事务所审计的财务报告复印件(经审计的有效财务报告应包括报告及报告中所附的完整内容，并由注册会计师签名、盖章以及会计师事务所盖章)；</w:t>
      </w:r>
    </w:p>
    <w:p>
      <w:pPr>
        <w:pStyle w:val="46"/>
        <w:bidi w:val="0"/>
        <w:rPr>
          <w:rFonts w:hint="eastAsia"/>
          <w:color w:val="auto"/>
          <w:highlight w:val="none"/>
          <w:lang w:val="en-US" w:eastAsia="zh-CN"/>
        </w:rPr>
      </w:pPr>
      <w:r>
        <w:rPr>
          <w:rFonts w:hint="eastAsia"/>
          <w:color w:val="auto"/>
          <w:highlight w:val="none"/>
          <w:lang w:val="en-US" w:eastAsia="zh-CN"/>
        </w:rPr>
        <w:t>(2)投标人提供2022年度投标人内部的财务报表复印件(至少包含资产负债表)；</w:t>
      </w:r>
    </w:p>
    <w:p>
      <w:pPr>
        <w:pStyle w:val="46"/>
        <w:bidi w:val="0"/>
        <w:rPr>
          <w:rFonts w:hint="eastAsia"/>
          <w:color w:val="auto"/>
          <w:highlight w:val="none"/>
          <w:lang w:val="en-US" w:eastAsia="zh-CN"/>
        </w:rPr>
      </w:pPr>
      <w:r>
        <w:rPr>
          <w:rFonts w:hint="eastAsia"/>
          <w:color w:val="auto"/>
          <w:highlight w:val="none"/>
          <w:lang w:val="en-US" w:eastAsia="zh-CN"/>
        </w:rPr>
        <w:t>(3)投标人提供投标文件递交截止日前一年内银行为其出具的资信证明复印件；</w:t>
      </w:r>
    </w:p>
    <w:p>
      <w:pPr>
        <w:pStyle w:val="46"/>
        <w:bidi w:val="0"/>
        <w:rPr>
          <w:rFonts w:hint="eastAsia"/>
          <w:color w:val="auto"/>
          <w:highlight w:val="none"/>
          <w:lang w:val="en-US" w:eastAsia="zh-CN"/>
        </w:rPr>
      </w:pPr>
      <w:r>
        <w:rPr>
          <w:rFonts w:hint="eastAsia"/>
          <w:color w:val="auto"/>
          <w:highlight w:val="none"/>
          <w:lang w:val="en-US" w:eastAsia="zh-CN"/>
        </w:rPr>
        <w:t>(4)投标人注册时间截至投标文件递交截止日不足一年的，可提供公司章程复印件；</w:t>
      </w:r>
    </w:p>
    <w:p>
      <w:pPr>
        <w:pStyle w:val="46"/>
        <w:bidi w:val="0"/>
        <w:rPr>
          <w:rFonts w:hint="eastAsia" w:eastAsia="宋体"/>
          <w:color w:val="auto"/>
          <w:highlight w:val="none"/>
          <w:lang w:val="en-US" w:eastAsia="zh-CN"/>
        </w:rPr>
      </w:pPr>
      <w:r>
        <w:rPr>
          <w:rFonts w:hint="eastAsia"/>
          <w:color w:val="auto"/>
          <w:highlight w:val="none"/>
          <w:lang w:val="en-US" w:eastAsia="zh-CN"/>
        </w:rPr>
        <w:t>(5)投标人提供</w:t>
      </w:r>
      <w:r>
        <w:rPr>
          <w:rFonts w:hint="eastAsia"/>
          <w:color w:val="auto"/>
          <w:highlight w:val="none"/>
        </w:rPr>
        <w:t>具</w:t>
      </w:r>
      <w:r>
        <w:rPr>
          <w:rFonts w:hint="eastAsia"/>
          <w:color w:val="auto"/>
          <w:highlight w:val="none"/>
          <w:lang w:val="en-US" w:eastAsia="zh-CN"/>
        </w:rPr>
        <w:t>有健全的财务会计制度的</w:t>
      </w:r>
      <w:r>
        <w:rPr>
          <w:rFonts w:hint="eastAsia"/>
          <w:color w:val="auto"/>
          <w:highlight w:val="none"/>
        </w:rPr>
        <w:t>承诺函</w:t>
      </w:r>
      <w:r>
        <w:rPr>
          <w:rFonts w:hint="eastAsia"/>
          <w:color w:val="auto"/>
          <w:highlight w:val="none"/>
          <w:lang w:eastAsia="zh-CN"/>
        </w:rPr>
        <w:t>。</w:t>
      </w:r>
    </w:p>
    <w:p>
      <w:pPr>
        <w:pStyle w:val="47"/>
        <w:bidi w:val="0"/>
        <w:rPr>
          <w:rFonts w:hint="eastAsia"/>
          <w:color w:val="auto"/>
          <w:highlight w:val="none"/>
          <w:lang w:val="en-US" w:eastAsia="zh-CN"/>
        </w:rPr>
      </w:pPr>
      <w:r>
        <w:rPr>
          <w:rFonts w:hint="eastAsia"/>
          <w:b/>
          <w:bCs/>
          <w:color w:val="auto"/>
          <w:highlight w:val="none"/>
          <w:lang w:val="en-US" w:eastAsia="zh-CN"/>
        </w:rPr>
        <w:t>注：具有健全的财务会计制度的证明材料中第(1)-(5)项具有同等的投标效力，投标人可根据自身实际情况选择提供其中任意一项。承诺函格式自拟，或参照《承诺及声明函》的格式提供。</w:t>
      </w:r>
    </w:p>
    <w:p>
      <w:pPr>
        <w:pStyle w:val="44"/>
        <w:numPr>
          <w:ilvl w:val="0"/>
          <w:numId w:val="21"/>
        </w:numPr>
        <w:bidi w:val="0"/>
        <w:ind w:left="0" w:leftChars="0" w:hanging="9" w:firstLineChars="0"/>
        <w:jc w:val="center"/>
        <w:rPr>
          <w:rFonts w:hint="eastAsia" w:ascii="宋体" w:hAnsi="宋体" w:eastAsia="宋体"/>
          <w:color w:val="auto"/>
          <w:highlight w:val="none"/>
          <w:lang w:val="en-US" w:eastAsia="zh-CN"/>
        </w:rPr>
      </w:pPr>
      <w:bookmarkStart w:id="917" w:name="_Toc17978"/>
      <w:bookmarkStart w:id="918" w:name="_Toc19813"/>
      <w:r>
        <w:rPr>
          <w:rFonts w:hint="eastAsia" w:ascii="宋体" w:hAnsi="宋体" w:eastAsia="宋体"/>
          <w:color w:val="auto"/>
          <w:highlight w:val="none"/>
          <w:lang w:val="en-US" w:eastAsia="zh-CN"/>
        </w:rPr>
        <w:t>投标人有依法缴纳税收和社会保障资金的良好记录的证明材料</w:t>
      </w:r>
      <w:bookmarkEnd w:id="914"/>
      <w:bookmarkEnd w:id="915"/>
      <w:bookmarkEnd w:id="917"/>
      <w:bookmarkEnd w:id="918"/>
    </w:p>
    <w:bookmarkEnd w:id="916"/>
    <w:p>
      <w:pPr>
        <w:pStyle w:val="46"/>
        <w:bidi w:val="0"/>
        <w:rPr>
          <w:rFonts w:hint="eastAsia"/>
          <w:color w:val="auto"/>
          <w:highlight w:val="none"/>
        </w:rPr>
      </w:pPr>
      <w:r>
        <w:rPr>
          <w:rFonts w:hint="eastAsia"/>
          <w:color w:val="auto"/>
          <w:highlight w:val="none"/>
        </w:rPr>
        <w:t>提供</w:t>
      </w:r>
      <w:r>
        <w:rPr>
          <w:rFonts w:hint="eastAsia"/>
          <w:color w:val="auto"/>
          <w:highlight w:val="none"/>
          <w:lang w:val="en-US" w:eastAsia="zh-CN"/>
        </w:rPr>
        <w:t>有</w:t>
      </w:r>
      <w:r>
        <w:rPr>
          <w:rFonts w:hint="eastAsia"/>
          <w:color w:val="auto"/>
          <w:highlight w:val="none"/>
          <w:lang w:val="zh-CN"/>
        </w:rPr>
        <w:t>依法缴纳税收和社会保障资金的良好记录</w:t>
      </w:r>
      <w:r>
        <w:rPr>
          <w:rFonts w:hint="eastAsia"/>
          <w:color w:val="auto"/>
          <w:highlight w:val="none"/>
        </w:rPr>
        <w:t>的承诺函</w:t>
      </w:r>
      <w:r>
        <w:rPr>
          <w:rFonts w:hint="eastAsia"/>
          <w:color w:val="auto"/>
          <w:highlight w:val="none"/>
          <w:lang w:eastAsia="zh-CN"/>
        </w:rPr>
        <w:t>。</w:t>
      </w:r>
    </w:p>
    <w:p>
      <w:pPr>
        <w:pStyle w:val="47"/>
        <w:bidi w:val="0"/>
        <w:rPr>
          <w:rFonts w:hint="default"/>
          <w:color w:val="auto"/>
          <w:highlight w:val="none"/>
          <w:lang w:val="en-US" w:eastAsia="zh-CN"/>
        </w:rPr>
      </w:pPr>
      <w:r>
        <w:rPr>
          <w:rFonts w:hint="eastAsia"/>
          <w:color w:val="auto"/>
          <w:highlight w:val="none"/>
          <w:lang w:val="en-US" w:eastAsia="zh-CN"/>
        </w:rPr>
        <w:t>注：</w:t>
      </w:r>
      <w:r>
        <w:rPr>
          <w:rFonts w:hint="eastAsia" w:cs="宋体" w:asciiTheme="minorEastAsia" w:hAnsiTheme="minorEastAsia" w:eastAsiaTheme="minorEastAsia"/>
          <w:b/>
          <w:bCs/>
          <w:color w:val="auto"/>
          <w:highlight w:val="none"/>
          <w:lang w:val="en-US" w:eastAsia="zh-CN"/>
        </w:rPr>
        <w:t>承诺函</w:t>
      </w:r>
      <w:r>
        <w:rPr>
          <w:rFonts w:hint="eastAsia"/>
          <w:color w:val="auto"/>
          <w:highlight w:val="none"/>
          <w:lang w:val="en-US" w:eastAsia="zh-CN"/>
        </w:rPr>
        <w:t>格式自拟，或参照《承诺及声明函》的格式提供。</w:t>
      </w:r>
    </w:p>
    <w:p>
      <w:pPr>
        <w:pStyle w:val="42"/>
        <w:bidi w:val="0"/>
        <w:rPr>
          <w:rFonts w:hint="eastAsia"/>
          <w:color w:val="auto"/>
          <w:highlight w:val="none"/>
          <w:lang w:val="en-US" w:eastAsia="zh-CN"/>
        </w:rPr>
      </w:pPr>
      <w:r>
        <w:rPr>
          <w:rFonts w:hint="eastAsia"/>
          <w:color w:val="auto"/>
          <w:highlight w:val="none"/>
          <w:lang w:val="en-US" w:eastAsia="zh-CN"/>
        </w:rPr>
        <w:br w:type="page"/>
      </w:r>
    </w:p>
    <w:p>
      <w:pPr>
        <w:pStyle w:val="44"/>
        <w:numPr>
          <w:ilvl w:val="0"/>
          <w:numId w:val="21"/>
        </w:numPr>
        <w:bidi w:val="0"/>
        <w:ind w:left="0" w:leftChars="0" w:hanging="9" w:firstLineChars="0"/>
        <w:jc w:val="center"/>
        <w:rPr>
          <w:rFonts w:hint="eastAsia" w:ascii="宋体" w:hAnsi="宋体" w:eastAsia="宋体"/>
          <w:color w:val="auto"/>
          <w:highlight w:val="none"/>
          <w:lang w:val="en-US" w:eastAsia="zh-CN"/>
        </w:rPr>
      </w:pPr>
      <w:bookmarkStart w:id="919" w:name="_Toc16336"/>
      <w:bookmarkStart w:id="920" w:name="_Toc5612"/>
      <w:bookmarkStart w:id="921" w:name="_Toc15870"/>
      <w:bookmarkStart w:id="922" w:name="_Toc24252"/>
      <w:r>
        <w:rPr>
          <w:rFonts w:hint="eastAsia" w:ascii="宋体" w:hAnsi="宋体" w:eastAsia="宋体"/>
          <w:color w:val="auto"/>
          <w:highlight w:val="none"/>
          <w:lang w:val="en-US" w:eastAsia="zh-CN"/>
        </w:rPr>
        <w:t>投标人具有履行合同所必需的设备和专业技术能力证明材料</w:t>
      </w:r>
      <w:bookmarkEnd w:id="919"/>
      <w:bookmarkEnd w:id="920"/>
      <w:bookmarkEnd w:id="921"/>
      <w:bookmarkEnd w:id="922"/>
    </w:p>
    <w:p>
      <w:pPr>
        <w:pStyle w:val="46"/>
        <w:bidi w:val="0"/>
        <w:rPr>
          <w:rFonts w:hint="eastAsia"/>
          <w:color w:val="auto"/>
          <w:highlight w:val="none"/>
          <w:lang w:val="en-US" w:eastAsia="zh-CN"/>
        </w:rPr>
      </w:pPr>
      <w:r>
        <w:rPr>
          <w:rFonts w:hint="eastAsia"/>
          <w:color w:val="auto"/>
          <w:highlight w:val="none"/>
          <w:lang w:val="en-US" w:eastAsia="zh-CN"/>
        </w:rPr>
        <w:t>提供具有履行合同所必需的设备和专业技术能力的承诺函。</w:t>
      </w:r>
    </w:p>
    <w:p>
      <w:pPr>
        <w:pStyle w:val="47"/>
        <w:bidi w:val="0"/>
        <w:rPr>
          <w:rFonts w:hint="eastAsia"/>
          <w:color w:val="auto"/>
          <w:highlight w:val="none"/>
          <w:lang w:val="en-US" w:eastAsia="zh-CN"/>
        </w:rPr>
      </w:pPr>
      <w:r>
        <w:rPr>
          <w:rFonts w:hint="eastAsia"/>
          <w:color w:val="auto"/>
          <w:highlight w:val="none"/>
          <w:lang w:val="en-US" w:eastAsia="zh-CN"/>
        </w:rPr>
        <w:t>注：</w:t>
      </w:r>
      <w:r>
        <w:rPr>
          <w:rFonts w:hint="eastAsia" w:cs="宋体" w:asciiTheme="minorEastAsia" w:hAnsiTheme="minorEastAsia" w:eastAsiaTheme="minorEastAsia"/>
          <w:b/>
          <w:bCs/>
          <w:color w:val="auto"/>
          <w:highlight w:val="none"/>
          <w:lang w:val="en-US" w:eastAsia="zh-CN"/>
        </w:rPr>
        <w:t>承诺函</w:t>
      </w:r>
      <w:r>
        <w:rPr>
          <w:rFonts w:hint="eastAsia"/>
          <w:color w:val="auto"/>
          <w:highlight w:val="none"/>
          <w:lang w:val="en-US" w:eastAsia="zh-CN"/>
        </w:rPr>
        <w:t>格式自拟，或参照《承诺及声明函》的格式提供。</w:t>
      </w:r>
    </w:p>
    <w:p>
      <w:pPr>
        <w:pStyle w:val="42"/>
        <w:bidi w:val="0"/>
        <w:rPr>
          <w:rFonts w:hint="eastAsia"/>
          <w:color w:val="auto"/>
          <w:highlight w:val="none"/>
          <w:lang w:val="en-US" w:eastAsia="zh-CN"/>
        </w:rPr>
      </w:pPr>
      <w:r>
        <w:rPr>
          <w:rFonts w:hint="eastAsia"/>
          <w:color w:val="auto"/>
          <w:highlight w:val="none"/>
          <w:lang w:val="en-US" w:eastAsia="zh-CN"/>
        </w:rPr>
        <w:br w:type="page"/>
      </w:r>
    </w:p>
    <w:p>
      <w:pPr>
        <w:pStyle w:val="44"/>
        <w:numPr>
          <w:ilvl w:val="0"/>
          <w:numId w:val="21"/>
        </w:numPr>
        <w:bidi w:val="0"/>
        <w:ind w:left="0" w:leftChars="0" w:hanging="9" w:firstLineChars="0"/>
        <w:jc w:val="center"/>
        <w:rPr>
          <w:rFonts w:hint="eastAsia" w:ascii="宋体" w:hAnsi="宋体" w:eastAsia="宋体"/>
          <w:color w:val="auto"/>
          <w:highlight w:val="none"/>
          <w:lang w:val="en-US" w:eastAsia="zh-CN"/>
        </w:rPr>
      </w:pPr>
      <w:bookmarkStart w:id="923" w:name="_Toc23733"/>
      <w:bookmarkStart w:id="924" w:name="_Toc25150"/>
      <w:bookmarkStart w:id="925" w:name="_Toc21379"/>
      <w:r>
        <w:rPr>
          <w:rFonts w:hint="eastAsia" w:ascii="宋体" w:hAnsi="宋体" w:eastAsia="宋体"/>
          <w:color w:val="auto"/>
          <w:highlight w:val="none"/>
          <w:lang w:val="en-US" w:eastAsia="zh-CN"/>
        </w:rPr>
        <w:t>投标人参加采购活动前三年内，在经营活动中没有重大违法记录的证明材料</w:t>
      </w:r>
      <w:bookmarkEnd w:id="923"/>
      <w:bookmarkEnd w:id="924"/>
      <w:bookmarkEnd w:id="925"/>
    </w:p>
    <w:p>
      <w:pPr>
        <w:pStyle w:val="46"/>
        <w:bidi w:val="0"/>
        <w:rPr>
          <w:rFonts w:hint="eastAsia"/>
          <w:color w:val="auto"/>
          <w:highlight w:val="none"/>
          <w:lang w:val="en-US" w:eastAsia="zh-CN"/>
        </w:rPr>
      </w:pPr>
      <w:bookmarkStart w:id="926" w:name="_Toc14299"/>
      <w:bookmarkStart w:id="927" w:name="_Toc9591"/>
      <w:r>
        <w:rPr>
          <w:rFonts w:hint="eastAsia"/>
          <w:color w:val="auto"/>
          <w:highlight w:val="none"/>
          <w:lang w:val="en-US" w:eastAsia="zh-CN"/>
        </w:rPr>
        <w:t>投标人提供参加本次采购活动前三年内，在经营活动中没有重大违法记录的书面声明(成立不足三年的，从成立之日起计算)。</w:t>
      </w:r>
    </w:p>
    <w:p>
      <w:pPr>
        <w:pStyle w:val="47"/>
        <w:bidi w:val="0"/>
        <w:rPr>
          <w:rFonts w:hint="eastAsia"/>
          <w:color w:val="auto"/>
          <w:highlight w:val="none"/>
          <w:lang w:val="en-US" w:eastAsia="zh-CN"/>
        </w:rPr>
      </w:pPr>
      <w:bookmarkStart w:id="928" w:name="_Toc26284"/>
      <w:bookmarkStart w:id="929" w:name="_Toc7540"/>
      <w:r>
        <w:rPr>
          <w:rFonts w:hint="eastAsia"/>
          <w:color w:val="auto"/>
          <w:highlight w:val="none"/>
          <w:lang w:val="en-US" w:eastAsia="zh-CN"/>
        </w:rPr>
        <w:t>注：</w:t>
      </w:r>
      <w:r>
        <w:rPr>
          <w:rFonts w:hint="eastAsia" w:cs="宋体" w:asciiTheme="minorEastAsia" w:hAnsiTheme="minorEastAsia" w:eastAsiaTheme="minorEastAsia"/>
          <w:b/>
          <w:bCs/>
          <w:color w:val="auto"/>
          <w:highlight w:val="none"/>
          <w:lang w:val="en-US" w:eastAsia="zh-CN"/>
        </w:rPr>
        <w:t>承诺函</w:t>
      </w:r>
      <w:r>
        <w:rPr>
          <w:rFonts w:hint="eastAsia"/>
          <w:color w:val="auto"/>
          <w:highlight w:val="none"/>
          <w:lang w:val="en-US" w:eastAsia="zh-CN"/>
        </w:rPr>
        <w:t>格式自拟，或参照《承诺及声明函》的格式提供。</w:t>
      </w:r>
    </w:p>
    <w:bookmarkEnd w:id="926"/>
    <w:bookmarkEnd w:id="927"/>
    <w:bookmarkEnd w:id="928"/>
    <w:bookmarkEnd w:id="929"/>
    <w:p>
      <w:pPr>
        <w:pStyle w:val="44"/>
        <w:numPr>
          <w:ilvl w:val="0"/>
          <w:numId w:val="21"/>
        </w:numPr>
        <w:bidi w:val="0"/>
        <w:ind w:left="0" w:leftChars="0" w:hanging="9" w:firstLineChars="0"/>
        <w:jc w:val="center"/>
        <w:rPr>
          <w:rFonts w:hint="eastAsia" w:ascii="宋体" w:hAnsi="宋体" w:eastAsia="宋体"/>
          <w:color w:val="auto"/>
          <w:highlight w:val="none"/>
          <w:lang w:val="zh-CN" w:eastAsia="zh-CN"/>
        </w:rPr>
      </w:pPr>
      <w:bookmarkStart w:id="930" w:name="_Toc17558"/>
      <w:bookmarkStart w:id="931" w:name="_Toc27034"/>
      <w:bookmarkStart w:id="932" w:name="_Toc3840"/>
      <w:bookmarkStart w:id="933" w:name="_Toc14469"/>
      <w:bookmarkStart w:id="934" w:name="_Toc15865"/>
      <w:bookmarkStart w:id="935" w:name="_Toc15054"/>
      <w:bookmarkStart w:id="936" w:name="_Toc4865"/>
      <w:bookmarkStart w:id="937" w:name="_Toc19166"/>
      <w:r>
        <w:rPr>
          <w:rFonts w:hint="eastAsia" w:ascii="宋体" w:hAnsi="宋体" w:eastAsia="宋体"/>
          <w:color w:val="auto"/>
          <w:highlight w:val="none"/>
          <w:lang w:val="en-US" w:eastAsia="zh-CN"/>
        </w:rPr>
        <w:t>投标人</w:t>
      </w:r>
      <w:r>
        <w:rPr>
          <w:rFonts w:hint="eastAsia" w:ascii="宋体" w:hAnsi="宋体" w:eastAsia="宋体"/>
          <w:color w:val="auto"/>
          <w:highlight w:val="none"/>
          <w:lang w:val="zh-CN" w:eastAsia="zh-CN"/>
        </w:rPr>
        <w:t>及其现任法定代表人、主要负责人不得具有行贿犯罪记录</w:t>
      </w:r>
      <w:r>
        <w:rPr>
          <w:rFonts w:hint="eastAsia" w:ascii="宋体" w:hAnsi="宋体" w:eastAsia="宋体"/>
          <w:color w:val="auto"/>
          <w:highlight w:val="none"/>
          <w:lang w:val="en-US" w:eastAsia="zh-CN"/>
        </w:rPr>
        <w:t>的</w:t>
      </w:r>
      <w:bookmarkEnd w:id="930"/>
      <w:bookmarkEnd w:id="931"/>
      <w:bookmarkEnd w:id="932"/>
      <w:r>
        <w:rPr>
          <w:rFonts w:hint="eastAsia" w:ascii="宋体" w:hAnsi="宋体" w:eastAsia="宋体"/>
          <w:color w:val="auto"/>
          <w:highlight w:val="none"/>
          <w:lang w:val="en-US" w:eastAsia="zh-CN"/>
        </w:rPr>
        <w:t>承诺函</w:t>
      </w:r>
      <w:bookmarkEnd w:id="933"/>
      <w:bookmarkEnd w:id="934"/>
    </w:p>
    <w:p>
      <w:pPr>
        <w:pStyle w:val="42"/>
        <w:keepNext w:val="0"/>
        <w:keepLines w:val="0"/>
        <w:pageBreakBefore w:val="0"/>
        <w:widowControl w:val="0"/>
        <w:kinsoku/>
        <w:wordWrap w:val="0"/>
        <w:overflowPunct/>
        <w:topLinePunct/>
        <w:autoSpaceDE/>
        <w:autoSpaceDN/>
        <w:bidi w:val="0"/>
        <w:adjustRightInd/>
        <w:snapToGrid/>
        <w:ind w:left="0" w:leftChars="0" w:firstLine="0" w:firstLineChars="0"/>
        <w:textAlignment w:val="auto"/>
        <w:rPr>
          <w:rFonts w:hint="eastAsia" w:ascii="宋体" w:hAnsi="宋体" w:eastAsia="宋体" w:cs="宋体"/>
          <w:color w:val="auto"/>
          <w:highlight w:val="none"/>
        </w:rPr>
      </w:pPr>
      <w:bookmarkStart w:id="938" w:name="_Toc8455"/>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采购代理机构名称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pStyle w:val="42"/>
        <w:keepNext w:val="0"/>
        <w:keepLines w:val="0"/>
        <w:pageBreakBefore w:val="0"/>
        <w:widowControl w:val="0"/>
        <w:kinsoku/>
        <w:wordWrap w:val="0"/>
        <w:overflowPunct/>
        <w:topLinePunct/>
        <w:autoSpaceDE/>
        <w:autoSpaceDN/>
        <w:bidi w:val="0"/>
        <w:adjustRightInd/>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cs="宋体"/>
          <w:color w:val="auto"/>
          <w:highlight w:val="none"/>
          <w:lang w:val="en-US" w:eastAsia="zh-CN"/>
        </w:rPr>
        <w:t>单位</w:t>
      </w:r>
      <w:r>
        <w:rPr>
          <w:rFonts w:hint="eastAsia" w:ascii="宋体" w:hAnsi="宋体" w:eastAsia="宋体" w:cs="宋体"/>
          <w:color w:val="auto"/>
          <w:highlight w:val="none"/>
        </w:rPr>
        <w:t>作为本次采购项目的</w:t>
      </w:r>
      <w:r>
        <w:rPr>
          <w:rFonts w:hint="eastAsia" w:cs="宋体"/>
          <w:color w:val="auto"/>
          <w:highlight w:val="none"/>
          <w:lang w:eastAsia="zh-CN"/>
        </w:rPr>
        <w:t>投标人</w:t>
      </w:r>
      <w:r>
        <w:rPr>
          <w:rFonts w:hint="eastAsia" w:ascii="宋体" w:hAnsi="宋体" w:eastAsia="宋体" w:cs="宋体"/>
          <w:color w:val="auto"/>
          <w:highlight w:val="none"/>
        </w:rPr>
        <w:t>，根据</w:t>
      </w:r>
      <w:r>
        <w:rPr>
          <w:rFonts w:hint="eastAsia"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要求，现郑重承诺如下：</w:t>
      </w:r>
    </w:p>
    <w:p>
      <w:pPr>
        <w:pStyle w:val="46"/>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u w:val="single"/>
          <w:lang w:val="en-US" w:eastAsia="zh-CN"/>
        </w:rPr>
      </w:pPr>
      <w:r>
        <w:rPr>
          <w:rFonts w:hint="eastAsia" w:cs="宋体"/>
          <w:color w:val="auto"/>
          <w:highlight w:val="none"/>
          <w:u w:val="single"/>
          <w:lang w:val="en-US" w:eastAsia="zh-CN"/>
        </w:rPr>
        <w:t xml:space="preserve">           </w:t>
      </w:r>
      <w:r>
        <w:rPr>
          <w:rFonts w:hint="eastAsia" w:cs="宋体"/>
          <w:b w:val="0"/>
          <w:bCs w:val="0"/>
          <w:color w:val="auto"/>
          <w:highlight w:val="none"/>
          <w:lang w:val="en-US" w:eastAsia="zh-CN"/>
        </w:rPr>
        <w:t>(投标人名称)及其现任法定代表人</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(姓名)、</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(身份证号码)，主要负责人</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(姓名)、</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(身份证号码)，</w:t>
      </w:r>
      <w:r>
        <w:rPr>
          <w:rFonts w:hint="eastAsia" w:cs="宋体"/>
          <w:b w:val="0"/>
          <w:bCs w:val="0"/>
          <w:color w:val="auto"/>
          <w:highlight w:val="none"/>
          <w:u w:val="single"/>
          <w:lang w:val="en-US" w:eastAsia="zh-CN"/>
        </w:rPr>
        <w:t xml:space="preserve">        </w:t>
      </w:r>
      <w:r>
        <w:rPr>
          <w:rFonts w:hint="eastAsia" w:cs="宋体"/>
          <w:color w:val="auto"/>
          <w:highlight w:val="none"/>
          <w:u w:val="none"/>
          <w:lang w:val="en-US" w:eastAsia="zh-CN"/>
        </w:rPr>
        <w:t xml:space="preserve">(无行贿犯罪记录的期限)均无行贿犯罪记录。     </w:t>
      </w:r>
    </w:p>
    <w:p>
      <w:pPr>
        <w:pStyle w:val="46"/>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cs="宋体"/>
          <w:color w:val="auto"/>
          <w:highlight w:val="none"/>
          <w:lang w:val="en-US" w:eastAsia="zh-CN"/>
        </w:rPr>
        <w:t>单位</w:t>
      </w:r>
      <w:r>
        <w:rPr>
          <w:rFonts w:hint="eastAsia" w:ascii="宋体" w:hAnsi="宋体" w:eastAsia="宋体" w:cs="宋体"/>
          <w:color w:val="auto"/>
          <w:highlight w:val="none"/>
        </w:rPr>
        <w:t>对上述承诺的内容事项真实性</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合法</w:t>
      </w:r>
      <w:r>
        <w:rPr>
          <w:rFonts w:hint="eastAsia" w:ascii="宋体" w:hAnsi="宋体" w:eastAsia="宋体" w:cs="宋体"/>
          <w:color w:val="auto"/>
          <w:highlight w:val="none"/>
          <w:lang w:val="en-US" w:eastAsia="zh-CN"/>
        </w:rPr>
        <w:t>性</w:t>
      </w:r>
      <w:r>
        <w:rPr>
          <w:rFonts w:hint="eastAsia" w:ascii="宋体" w:hAnsi="宋体" w:eastAsia="宋体" w:cs="宋体"/>
          <w:color w:val="auto"/>
          <w:highlight w:val="none"/>
        </w:rPr>
        <w:t>负责。如经查实上述承诺的内容事项存在虚假，我</w:t>
      </w:r>
      <w:r>
        <w:rPr>
          <w:rFonts w:hint="eastAsia" w:cs="宋体"/>
          <w:color w:val="auto"/>
          <w:highlight w:val="none"/>
          <w:lang w:val="en-US" w:eastAsia="zh-CN"/>
        </w:rPr>
        <w:t>单位</w:t>
      </w:r>
      <w:r>
        <w:rPr>
          <w:rFonts w:hint="eastAsia" w:ascii="宋体" w:hAnsi="宋体" w:eastAsia="宋体" w:cs="宋体"/>
          <w:color w:val="auto"/>
          <w:highlight w:val="none"/>
          <w:lang w:val="en-US" w:eastAsia="zh-CN"/>
        </w:rPr>
        <w:t>自愿</w:t>
      </w:r>
      <w:r>
        <w:rPr>
          <w:rFonts w:hint="eastAsia" w:ascii="宋体" w:hAnsi="宋体" w:eastAsia="宋体" w:cs="宋体"/>
          <w:color w:val="auto"/>
          <w:highlight w:val="none"/>
        </w:rPr>
        <w:t>接受以提供虚假材料谋取</w:t>
      </w:r>
      <w:r>
        <w:rPr>
          <w:rFonts w:hint="eastAsia" w:cs="宋体"/>
          <w:color w:val="auto"/>
          <w:highlight w:val="none"/>
          <w:lang w:val="en-US" w:eastAsia="zh-CN"/>
        </w:rPr>
        <w:t>中标</w:t>
      </w:r>
      <w:r>
        <w:rPr>
          <w:rFonts w:hint="eastAsia" w:ascii="宋体" w:hAnsi="宋体" w:eastAsia="宋体" w:cs="宋体"/>
          <w:color w:val="auto"/>
          <w:highlight w:val="none"/>
          <w:lang w:val="en-US" w:eastAsia="zh-CN"/>
        </w:rPr>
        <w:t>所带来的所有</w:t>
      </w:r>
      <w:r>
        <w:rPr>
          <w:rFonts w:hint="eastAsia" w:ascii="宋体" w:hAnsi="宋体" w:eastAsia="宋体" w:cs="宋体"/>
          <w:color w:val="auto"/>
          <w:highlight w:val="none"/>
        </w:rPr>
        <w:t>法律责任。</w:t>
      </w:r>
    </w:p>
    <w:p>
      <w:pPr>
        <w:pStyle w:val="42"/>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lang w:val="en-US" w:eastAsia="zh-CN"/>
        </w:rPr>
      </w:pPr>
    </w:p>
    <w:p>
      <w:pPr>
        <w:pStyle w:val="42"/>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lang w:val="en-US" w:eastAsia="zh-CN"/>
        </w:rPr>
      </w:pPr>
    </w:p>
    <w:p>
      <w:pPr>
        <w:pStyle w:val="46"/>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pPr>
        <w:pStyle w:val="46"/>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法定代表人/单位负责人或授权代表</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(签字</w:t>
      </w:r>
      <w:r>
        <w:rPr>
          <w:rFonts w:hint="eastAsia" w:ascii="宋体" w:hAnsi="宋体" w:eastAsia="宋体" w:cs="宋体"/>
          <w:color w:val="auto"/>
          <w:highlight w:val="none"/>
          <w:lang w:eastAsia="zh-CN"/>
        </w:rPr>
        <w:t>或盖章</w:t>
      </w:r>
      <w:r>
        <w:rPr>
          <w:rFonts w:hint="eastAsia" w:ascii="宋体" w:hAnsi="宋体" w:eastAsia="宋体" w:cs="宋体"/>
          <w:color w:val="auto"/>
          <w:highlight w:val="none"/>
        </w:rPr>
        <w:t>)</w:t>
      </w:r>
    </w:p>
    <w:p>
      <w:pPr>
        <w:pStyle w:val="63"/>
        <w:keepNext w:val="0"/>
        <w:keepLines w:val="0"/>
        <w:pageBreakBefore w:val="0"/>
        <w:widowControl w:val="0"/>
        <w:numPr>
          <w:ilvl w:val="3"/>
          <w:numId w:val="0"/>
        </w:numPr>
        <w:kinsoku/>
        <w:wordWrap w:val="0"/>
        <w:overflowPunct/>
        <w:topLinePunct/>
        <w:autoSpaceDE/>
        <w:autoSpaceDN/>
        <w:bidi w:val="0"/>
        <w:adjustRightInd/>
        <w:snapToGrid/>
        <w:ind w:leftChars="0" w:firstLine="480" w:firstLineChars="200"/>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日期：</w:t>
      </w:r>
      <w:r>
        <w:rPr>
          <w:rFonts w:hint="eastAsia" w:ascii="宋体" w:hAnsi="宋体" w:eastAsia="宋体" w:cs="宋体"/>
          <w:color w:val="auto"/>
          <w:highlight w:val="none"/>
          <w:u w:val="single"/>
          <w:lang w:val="en-US" w:eastAsia="zh-CN"/>
        </w:rPr>
        <w:t xml:space="preserve">                  </w:t>
      </w:r>
    </w:p>
    <w:p>
      <w:pPr>
        <w:pStyle w:val="63"/>
        <w:keepNext w:val="0"/>
        <w:keepLines w:val="0"/>
        <w:pageBreakBefore w:val="0"/>
        <w:widowControl w:val="0"/>
        <w:numPr>
          <w:ilvl w:val="3"/>
          <w:numId w:val="0"/>
        </w:numPr>
        <w:kinsoku/>
        <w:wordWrap w:val="0"/>
        <w:overflowPunct/>
        <w:topLinePunct/>
        <w:autoSpaceDE/>
        <w:autoSpaceDN/>
        <w:bidi w:val="0"/>
        <w:adjustRightInd/>
        <w:snapToGrid/>
        <w:ind w:leftChars="0" w:firstLine="480" w:firstLineChars="200"/>
        <w:textAlignment w:val="auto"/>
        <w:rPr>
          <w:rFonts w:hint="eastAsia" w:ascii="宋体" w:hAnsi="宋体" w:eastAsia="宋体" w:cs="宋体"/>
          <w:color w:val="auto"/>
          <w:highlight w:val="none"/>
          <w:u w:val="single"/>
          <w:lang w:val="en-US" w:eastAsia="zh-CN"/>
        </w:rPr>
      </w:pPr>
    </w:p>
    <w:p>
      <w:pPr>
        <w:pStyle w:val="63"/>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default"/>
          <w:b/>
          <w:bCs/>
          <w:color w:val="auto"/>
          <w:highlight w:val="none"/>
          <w:lang w:val="en-US" w:eastAsia="zh-CN"/>
        </w:rPr>
      </w:pPr>
      <w:r>
        <w:rPr>
          <w:rFonts w:hint="eastAsia"/>
          <w:b/>
          <w:bCs/>
          <w:color w:val="auto"/>
          <w:highlight w:val="none"/>
          <w:lang w:val="en-US" w:eastAsia="zh-CN"/>
        </w:rPr>
        <w:t>注：投标人成立时间超过十年的，在“</w:t>
      </w:r>
      <w:r>
        <w:rPr>
          <w:rFonts w:hint="eastAsia" w:cs="宋体"/>
          <w:b/>
          <w:bCs/>
          <w:color w:val="auto"/>
          <w:highlight w:val="none"/>
          <w:u w:val="none"/>
          <w:lang w:val="en-US" w:eastAsia="zh-CN"/>
        </w:rPr>
        <w:t>无行贿犯罪记录的期限</w:t>
      </w:r>
      <w:r>
        <w:rPr>
          <w:rFonts w:hint="eastAsia"/>
          <w:b/>
          <w:bCs/>
          <w:color w:val="auto"/>
          <w:highlight w:val="none"/>
          <w:lang w:val="en-US" w:eastAsia="zh-CN"/>
        </w:rPr>
        <w:t>”</w:t>
      </w:r>
      <w:r>
        <w:rPr>
          <w:rFonts w:hint="eastAsia" w:cs="宋体"/>
          <w:b/>
          <w:bCs/>
          <w:color w:val="auto"/>
          <w:highlight w:val="none"/>
          <w:u w:val="none"/>
          <w:lang w:val="en-US" w:eastAsia="zh-CN"/>
        </w:rPr>
        <w:t>处填写“十年内”；</w:t>
      </w:r>
      <w:r>
        <w:rPr>
          <w:rFonts w:hint="eastAsia"/>
          <w:b/>
          <w:bCs/>
          <w:color w:val="auto"/>
          <w:highlight w:val="none"/>
          <w:lang w:val="en-US" w:eastAsia="zh-CN"/>
        </w:rPr>
        <w:t>投标人</w:t>
      </w:r>
      <w:r>
        <w:rPr>
          <w:rFonts w:hint="eastAsia" w:cs="宋体"/>
          <w:b/>
          <w:bCs/>
          <w:color w:val="auto"/>
          <w:highlight w:val="none"/>
          <w:u w:val="none"/>
          <w:lang w:val="en-US" w:eastAsia="zh-CN"/>
        </w:rPr>
        <w:t>成立时间不足十年的，</w:t>
      </w:r>
      <w:r>
        <w:rPr>
          <w:rFonts w:hint="eastAsia"/>
          <w:b/>
          <w:bCs/>
          <w:color w:val="auto"/>
          <w:highlight w:val="none"/>
          <w:lang w:val="en-US" w:eastAsia="zh-CN"/>
        </w:rPr>
        <w:t>在“</w:t>
      </w:r>
      <w:r>
        <w:rPr>
          <w:rFonts w:hint="eastAsia" w:cs="宋体"/>
          <w:b/>
          <w:bCs/>
          <w:color w:val="auto"/>
          <w:highlight w:val="none"/>
          <w:u w:val="none"/>
          <w:lang w:val="en-US" w:eastAsia="zh-CN"/>
        </w:rPr>
        <w:t>无行贿犯罪记录的期限</w:t>
      </w:r>
      <w:r>
        <w:rPr>
          <w:rFonts w:hint="eastAsia"/>
          <w:b/>
          <w:bCs/>
          <w:color w:val="auto"/>
          <w:highlight w:val="none"/>
          <w:lang w:val="en-US" w:eastAsia="zh-CN"/>
        </w:rPr>
        <w:t>”</w:t>
      </w:r>
      <w:r>
        <w:rPr>
          <w:rFonts w:hint="eastAsia" w:cs="宋体"/>
          <w:b/>
          <w:bCs/>
          <w:color w:val="auto"/>
          <w:highlight w:val="none"/>
          <w:u w:val="none"/>
          <w:lang w:val="en-US" w:eastAsia="zh-CN"/>
        </w:rPr>
        <w:t>处填写“自我单位成立之日起至今”</w:t>
      </w:r>
      <w:r>
        <w:rPr>
          <w:rFonts w:hint="eastAsia"/>
          <w:b/>
          <w:bCs/>
          <w:color w:val="auto"/>
          <w:highlight w:val="none"/>
          <w:lang w:val="en-US" w:eastAsia="zh-CN"/>
        </w:rPr>
        <w:t>。</w:t>
      </w:r>
    </w:p>
    <w:p>
      <w:pPr>
        <w:pStyle w:val="42"/>
        <w:bidi w:val="0"/>
        <w:rPr>
          <w:rFonts w:hint="eastAsia"/>
          <w:color w:val="auto"/>
          <w:highlight w:val="none"/>
          <w:lang w:val="zh-CN" w:eastAsia="zh-CN"/>
        </w:rPr>
      </w:pPr>
    </w:p>
    <w:p>
      <w:pPr>
        <w:pStyle w:val="42"/>
        <w:bidi w:val="0"/>
        <w:rPr>
          <w:rFonts w:hint="eastAsia"/>
          <w:color w:val="auto"/>
          <w:highlight w:val="none"/>
          <w:lang w:eastAsia="zh-CN"/>
        </w:rPr>
      </w:pPr>
      <w:r>
        <w:rPr>
          <w:rFonts w:hint="eastAsia"/>
          <w:color w:val="auto"/>
          <w:highlight w:val="none"/>
          <w:lang w:val="en-US" w:eastAsia="zh-CN"/>
        </w:rPr>
        <w:br w:type="page"/>
      </w:r>
      <w:bookmarkEnd w:id="938"/>
      <w:bookmarkStart w:id="939" w:name="_Toc2151"/>
    </w:p>
    <w:bookmarkEnd w:id="939"/>
    <w:p>
      <w:pPr>
        <w:pStyle w:val="44"/>
        <w:numPr>
          <w:ilvl w:val="0"/>
          <w:numId w:val="21"/>
        </w:numPr>
        <w:bidi w:val="0"/>
        <w:ind w:left="0" w:leftChars="0" w:hanging="9" w:firstLineChars="0"/>
        <w:jc w:val="center"/>
        <w:rPr>
          <w:rFonts w:hint="eastAsia"/>
          <w:color w:val="auto"/>
          <w:highlight w:val="none"/>
          <w:lang w:val="en-US" w:eastAsia="zh-CN"/>
        </w:rPr>
      </w:pPr>
      <w:bookmarkStart w:id="940" w:name="_Toc13203"/>
      <w:bookmarkStart w:id="941" w:name="_Toc15657"/>
      <w:r>
        <w:rPr>
          <w:rFonts w:hint="eastAsia"/>
          <w:color w:val="auto"/>
          <w:highlight w:val="none"/>
          <w:lang w:val="en-US" w:eastAsia="zh-CN"/>
        </w:rPr>
        <w:t>根据采购项目的特殊要求，供应商提供具有特定条件</w:t>
      </w:r>
      <w:bookmarkEnd w:id="935"/>
      <w:r>
        <w:rPr>
          <w:rFonts w:hint="eastAsia"/>
          <w:color w:val="auto"/>
          <w:highlight w:val="none"/>
          <w:lang w:val="en-US" w:eastAsia="zh-CN"/>
        </w:rPr>
        <w:t>的证明材料</w:t>
      </w:r>
      <w:bookmarkEnd w:id="936"/>
      <w:bookmarkEnd w:id="937"/>
      <w:bookmarkEnd w:id="940"/>
      <w:bookmarkEnd w:id="941"/>
    </w:p>
    <w:p>
      <w:pPr>
        <w:pStyle w:val="46"/>
        <w:bidi w:val="0"/>
        <w:rPr>
          <w:rFonts w:hint="eastAsia"/>
          <w:b w:val="0"/>
          <w:bCs/>
          <w:color w:val="auto"/>
          <w:highlight w:val="none"/>
          <w:lang w:val="en-US" w:eastAsia="zh-CN"/>
        </w:rPr>
      </w:pPr>
      <w:r>
        <w:rPr>
          <w:rFonts w:hint="eastAsia"/>
          <w:b w:val="0"/>
          <w:bCs/>
          <w:color w:val="auto"/>
          <w:highlight w:val="none"/>
          <w:lang w:val="en-US" w:eastAsia="zh-CN"/>
        </w:rPr>
        <w:t>提供未与其他投标供应商组成联合体参与本项目投标的承诺函。</w:t>
      </w:r>
    </w:p>
    <w:p>
      <w:pPr>
        <w:pStyle w:val="46"/>
        <w:bidi w:val="0"/>
        <w:rPr>
          <w:rFonts w:hint="eastAsia"/>
          <w:b/>
          <w:bCs/>
          <w:color w:val="auto"/>
          <w:highlight w:val="none"/>
          <w:lang w:val="en-US" w:eastAsia="zh-CN"/>
        </w:rPr>
      </w:pPr>
      <w:r>
        <w:rPr>
          <w:rFonts w:hint="eastAsia" w:cs="宋体" w:asciiTheme="minorEastAsia" w:hAnsiTheme="minorEastAsia" w:eastAsiaTheme="minorEastAsia"/>
          <w:b/>
          <w:bCs/>
          <w:color w:val="auto"/>
          <w:highlight w:val="none"/>
        </w:rPr>
        <w:t>注：</w:t>
      </w:r>
      <w:r>
        <w:rPr>
          <w:rFonts w:hint="eastAsia" w:cs="宋体" w:asciiTheme="minorEastAsia" w:hAnsiTheme="minorEastAsia" w:eastAsiaTheme="minorEastAsia"/>
          <w:b/>
          <w:bCs/>
          <w:color w:val="auto"/>
          <w:highlight w:val="none"/>
          <w:lang w:val="en-US" w:eastAsia="zh-CN"/>
        </w:rPr>
        <w:t>承诺函</w:t>
      </w:r>
      <w:r>
        <w:rPr>
          <w:rFonts w:hint="eastAsia" w:cs="宋体" w:asciiTheme="minorEastAsia" w:hAnsiTheme="minorEastAsia" w:eastAsiaTheme="minorEastAsia"/>
          <w:b/>
          <w:bCs/>
          <w:color w:val="auto"/>
          <w:highlight w:val="none"/>
        </w:rPr>
        <w:t>格式自拟，或参照《承诺及声明函》的格式提供</w:t>
      </w:r>
      <w:r>
        <w:rPr>
          <w:rFonts w:hint="eastAsia"/>
          <w:b/>
          <w:bCs/>
          <w:color w:val="auto"/>
          <w:highlight w:val="none"/>
          <w:lang w:val="en-US" w:eastAsia="zh-CN"/>
        </w:rPr>
        <w:t>。</w:t>
      </w:r>
    </w:p>
    <w:p>
      <w:pPr>
        <w:pStyle w:val="44"/>
        <w:numPr>
          <w:ilvl w:val="0"/>
          <w:numId w:val="21"/>
        </w:numPr>
        <w:bidi w:val="0"/>
        <w:ind w:left="0" w:leftChars="0" w:hanging="9" w:firstLineChars="0"/>
        <w:jc w:val="center"/>
        <w:rPr>
          <w:rFonts w:hint="eastAsia" w:ascii="宋体" w:hAnsi="宋体" w:eastAsia="宋体"/>
          <w:color w:val="auto"/>
          <w:highlight w:val="none"/>
          <w:lang w:val="en-US" w:eastAsia="zh-CN"/>
        </w:rPr>
        <w:sectPr>
          <w:headerReference r:id="rId11" w:type="first"/>
          <w:footerReference r:id="rId13" w:type="first"/>
          <w:headerReference r:id="rId10" w:type="default"/>
          <w:footerReference r:id="rId12" w:type="default"/>
          <w:pgSz w:w="11906" w:h="16838"/>
          <w:pgMar w:top="1440" w:right="1080" w:bottom="1440" w:left="1080" w:header="851" w:footer="992" w:gutter="0"/>
          <w:pgNumType w:fmt="decimal" w:start="1"/>
          <w:cols w:space="0" w:num="1"/>
          <w:titlePg/>
          <w:docGrid w:linePitch="312" w:charSpace="0"/>
        </w:sectPr>
      </w:pPr>
      <w:bookmarkStart w:id="942" w:name="_Toc21855"/>
      <w:bookmarkStart w:id="943" w:name="_Toc15708"/>
      <w:bookmarkStart w:id="944" w:name="_Toc17860"/>
    </w:p>
    <w:p>
      <w:pPr>
        <w:pStyle w:val="44"/>
        <w:numPr>
          <w:ilvl w:val="0"/>
          <w:numId w:val="21"/>
        </w:numPr>
        <w:bidi w:val="0"/>
        <w:ind w:left="0" w:leftChars="0" w:hanging="9" w:firstLineChars="0"/>
        <w:jc w:val="center"/>
        <w:rPr>
          <w:rFonts w:hint="eastAsia" w:ascii="宋体" w:hAnsi="宋体" w:eastAsia="宋体"/>
          <w:color w:val="auto"/>
          <w:highlight w:val="none"/>
        </w:rPr>
      </w:pPr>
      <w:bookmarkStart w:id="945" w:name="_Toc6738"/>
      <w:bookmarkStart w:id="946" w:name="_Toc99012136"/>
      <w:bookmarkStart w:id="947" w:name="_Toc29488"/>
      <w:bookmarkStart w:id="948" w:name="_Toc26028"/>
      <w:bookmarkStart w:id="949" w:name="_Toc968"/>
      <w:bookmarkStart w:id="950" w:name="_Toc28563"/>
      <w:bookmarkStart w:id="951" w:name="_Toc27143"/>
      <w:bookmarkStart w:id="952" w:name="_Toc99012272"/>
      <w:r>
        <w:rPr>
          <w:rFonts w:hint="eastAsia" w:ascii="宋体" w:hAnsi="宋体" w:eastAsia="宋体"/>
          <w:color w:val="auto"/>
          <w:highlight w:val="none"/>
        </w:rPr>
        <w:t>提供有效的投标保证金提交凭证</w:t>
      </w:r>
      <w:bookmarkEnd w:id="945"/>
      <w:bookmarkEnd w:id="946"/>
      <w:bookmarkEnd w:id="947"/>
      <w:bookmarkEnd w:id="948"/>
      <w:bookmarkEnd w:id="949"/>
      <w:bookmarkEnd w:id="950"/>
      <w:bookmarkEnd w:id="951"/>
      <w:bookmarkEnd w:id="952"/>
    </w:p>
    <w:p>
      <w:pPr>
        <w:tabs>
          <w:tab w:val="left" w:pos="3091"/>
        </w:tabs>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提交投标保证金的银行回单复印件(若以保函方式提交投标保证金的，提供保函原件)。</w:t>
      </w:r>
    </w:p>
    <w:p>
      <w:pPr>
        <w:pStyle w:val="44"/>
        <w:numPr>
          <w:ilvl w:val="0"/>
          <w:numId w:val="0"/>
        </w:numPr>
        <w:bidi w:val="0"/>
        <w:jc w:val="center"/>
        <w:rPr>
          <w:rFonts w:hint="eastAsia"/>
          <w:color w:val="auto"/>
          <w:highlight w:val="none"/>
          <w:lang w:val="en-US" w:eastAsia="zh-CN"/>
        </w:rPr>
        <w:sectPr>
          <w:pgSz w:w="11906" w:h="16838"/>
          <w:pgMar w:top="1440" w:right="1080" w:bottom="1440" w:left="1080" w:header="851" w:footer="992" w:gutter="0"/>
          <w:pgNumType w:fmt="decimal"/>
          <w:cols w:space="0" w:num="1"/>
          <w:titlePg/>
          <w:docGrid w:linePitch="312" w:charSpace="0"/>
        </w:sectPr>
      </w:pPr>
    </w:p>
    <w:p>
      <w:pPr>
        <w:pStyle w:val="44"/>
        <w:numPr>
          <w:ilvl w:val="0"/>
          <w:numId w:val="21"/>
        </w:numPr>
        <w:bidi w:val="0"/>
        <w:ind w:left="0" w:leftChars="0" w:hanging="9" w:firstLineChars="0"/>
        <w:jc w:val="center"/>
        <w:rPr>
          <w:rFonts w:hint="eastAsia" w:ascii="宋体" w:hAnsi="宋体" w:eastAsia="宋体"/>
          <w:color w:val="auto"/>
          <w:highlight w:val="none"/>
          <w:lang w:val="en-US" w:eastAsia="zh-CN"/>
        </w:rPr>
      </w:pPr>
      <w:bookmarkStart w:id="953" w:name="_Toc23117"/>
      <w:r>
        <w:rPr>
          <w:rFonts w:hint="eastAsia" w:ascii="宋体" w:hAnsi="宋体" w:eastAsia="宋体"/>
          <w:color w:val="auto"/>
          <w:highlight w:val="none"/>
          <w:lang w:val="en-US" w:eastAsia="zh-CN"/>
        </w:rPr>
        <w:t>承诺及声明函</w:t>
      </w:r>
      <w:bookmarkEnd w:id="942"/>
      <w:bookmarkEnd w:id="943"/>
      <w:bookmarkEnd w:id="944"/>
      <w:bookmarkEnd w:id="953"/>
    </w:p>
    <w:p>
      <w:pPr>
        <w:pStyle w:val="42"/>
        <w:bidi w:val="0"/>
        <w:rPr>
          <w:rFonts w:hint="eastAsia"/>
          <w:color w:val="auto"/>
          <w:highlight w:val="none"/>
        </w:rPr>
      </w:pPr>
      <w:r>
        <w:rPr>
          <w:rFonts w:hint="eastAsia"/>
          <w:color w:val="auto"/>
          <w:highlight w:val="none"/>
          <w:u w:val="single"/>
        </w:rPr>
        <w:t xml:space="preserve">                   </w:t>
      </w:r>
      <w:r>
        <w:rPr>
          <w:rFonts w:hint="eastAsia"/>
          <w:color w:val="auto"/>
          <w:highlight w:val="none"/>
          <w:lang w:eastAsia="zh-CN"/>
        </w:rPr>
        <w:t>(</w:t>
      </w:r>
      <w:r>
        <w:rPr>
          <w:rFonts w:hint="eastAsia"/>
          <w:color w:val="auto"/>
          <w:highlight w:val="none"/>
        </w:rPr>
        <w:t>采购代理机构名称</w:t>
      </w:r>
      <w:r>
        <w:rPr>
          <w:rFonts w:hint="eastAsia"/>
          <w:color w:val="auto"/>
          <w:highlight w:val="none"/>
          <w:lang w:eastAsia="zh-CN"/>
        </w:rPr>
        <w:t>)</w:t>
      </w:r>
      <w:r>
        <w:rPr>
          <w:rFonts w:hint="eastAsia"/>
          <w:color w:val="auto"/>
          <w:highlight w:val="none"/>
        </w:rPr>
        <w:t>：</w:t>
      </w:r>
    </w:p>
    <w:p>
      <w:pPr>
        <w:pStyle w:val="42"/>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我</w:t>
      </w:r>
      <w:r>
        <w:rPr>
          <w:rFonts w:hint="eastAsia"/>
          <w:color w:val="auto"/>
          <w:highlight w:val="none"/>
          <w:lang w:val="en-US" w:eastAsia="zh-CN"/>
        </w:rPr>
        <w:t>单位</w:t>
      </w:r>
      <w:r>
        <w:rPr>
          <w:rFonts w:hint="eastAsia"/>
          <w:color w:val="auto"/>
          <w:highlight w:val="none"/>
        </w:rPr>
        <w:t>作为本次采购项目的</w:t>
      </w:r>
      <w:r>
        <w:rPr>
          <w:rFonts w:hint="eastAsia"/>
          <w:color w:val="auto"/>
          <w:highlight w:val="none"/>
          <w:lang w:val="en-US" w:eastAsia="zh-CN"/>
        </w:rPr>
        <w:t>投标</w:t>
      </w:r>
      <w:r>
        <w:rPr>
          <w:rFonts w:hint="eastAsia"/>
          <w:color w:val="auto"/>
          <w:highlight w:val="none"/>
        </w:rPr>
        <w:t>供应商，根据</w:t>
      </w:r>
      <w:r>
        <w:rPr>
          <w:rFonts w:hint="eastAsia"/>
          <w:color w:val="auto"/>
          <w:highlight w:val="none"/>
          <w:lang w:val="en-US" w:eastAsia="zh-CN"/>
        </w:rPr>
        <w:t>招标</w:t>
      </w:r>
      <w:r>
        <w:rPr>
          <w:rFonts w:hint="eastAsia"/>
          <w:color w:val="auto"/>
          <w:highlight w:val="none"/>
          <w:lang w:eastAsia="zh-CN"/>
        </w:rPr>
        <w:t>文件</w:t>
      </w:r>
      <w:r>
        <w:rPr>
          <w:rFonts w:hint="eastAsia"/>
          <w:color w:val="auto"/>
          <w:highlight w:val="none"/>
        </w:rPr>
        <w:t>要求，现郑重承诺如下：</w:t>
      </w:r>
    </w:p>
    <w:p>
      <w:pPr>
        <w:pStyle w:val="35"/>
        <w:numPr>
          <w:ilvl w:val="2"/>
          <w:numId w:val="22"/>
        </w:numPr>
        <w:bidi w:val="0"/>
        <w:rPr>
          <w:rFonts w:hint="eastAsia"/>
          <w:color w:val="auto"/>
          <w:highlight w:val="none"/>
        </w:rPr>
      </w:pPr>
      <w:r>
        <w:rPr>
          <w:rFonts w:hint="eastAsia"/>
          <w:color w:val="auto"/>
          <w:highlight w:val="none"/>
        </w:rPr>
        <w:t xml:space="preserve">具有良好的商业信誉和健全的财务会计制度； </w:t>
      </w:r>
    </w:p>
    <w:p>
      <w:pPr>
        <w:pStyle w:val="35"/>
        <w:numPr>
          <w:ilvl w:val="2"/>
          <w:numId w:val="22"/>
        </w:numPr>
        <w:bidi w:val="0"/>
        <w:rPr>
          <w:rFonts w:hint="eastAsia"/>
          <w:color w:val="auto"/>
          <w:highlight w:val="none"/>
        </w:rPr>
      </w:pPr>
      <w:r>
        <w:rPr>
          <w:rFonts w:hint="eastAsia"/>
          <w:color w:val="auto"/>
          <w:highlight w:val="none"/>
        </w:rPr>
        <w:t xml:space="preserve">具有履行合同所必需的设备和专业技术能力； </w:t>
      </w:r>
    </w:p>
    <w:p>
      <w:pPr>
        <w:pStyle w:val="35"/>
        <w:numPr>
          <w:ilvl w:val="2"/>
          <w:numId w:val="22"/>
        </w:numPr>
        <w:bidi w:val="0"/>
        <w:rPr>
          <w:rFonts w:hint="eastAsia"/>
          <w:color w:val="auto"/>
          <w:highlight w:val="none"/>
        </w:rPr>
      </w:pPr>
      <w:r>
        <w:rPr>
          <w:rFonts w:hint="eastAsia"/>
          <w:color w:val="auto"/>
          <w:highlight w:val="none"/>
        </w:rPr>
        <w:t xml:space="preserve">有依法缴纳税收和社会保障资金的良好记录； </w:t>
      </w:r>
    </w:p>
    <w:p>
      <w:pPr>
        <w:pStyle w:val="35"/>
        <w:numPr>
          <w:ilvl w:val="2"/>
          <w:numId w:val="22"/>
        </w:numPr>
        <w:bidi w:val="0"/>
        <w:rPr>
          <w:rFonts w:hint="eastAsia"/>
          <w:color w:val="auto"/>
          <w:highlight w:val="none"/>
          <w:lang w:val="en-US" w:eastAsia="zh-CN"/>
        </w:rPr>
      </w:pPr>
      <w:r>
        <w:rPr>
          <w:rFonts w:hint="eastAsia"/>
          <w:color w:val="auto"/>
          <w:highlight w:val="none"/>
          <w:lang w:val="en-US" w:eastAsia="zh-CN"/>
        </w:rPr>
        <w:t>参加本次采购活动前三年内，在经营活动中</w:t>
      </w:r>
      <w:r>
        <w:rPr>
          <w:rFonts w:hint="eastAsia"/>
          <w:b w:val="0"/>
          <w:bCs w:val="0"/>
          <w:color w:val="auto"/>
          <w:highlight w:val="none"/>
          <w:lang w:val="en-US" w:eastAsia="zh-CN"/>
        </w:rPr>
        <w:t>没有</w:t>
      </w:r>
      <w:r>
        <w:rPr>
          <w:rFonts w:hint="eastAsia"/>
          <w:color w:val="auto"/>
          <w:highlight w:val="none"/>
          <w:lang w:val="en-US" w:eastAsia="zh-CN"/>
        </w:rPr>
        <w:t>重大违法记录(供应商成立不足三年的，从成立之日起计算)；</w:t>
      </w:r>
    </w:p>
    <w:p>
      <w:pPr>
        <w:pStyle w:val="35"/>
        <w:numPr>
          <w:ilvl w:val="2"/>
          <w:numId w:val="22"/>
        </w:numPr>
        <w:bidi w:val="0"/>
        <w:rPr>
          <w:rFonts w:hint="eastAsia"/>
          <w:color w:val="auto"/>
          <w:highlight w:val="none"/>
        </w:rPr>
      </w:pPr>
      <w:r>
        <w:rPr>
          <w:rFonts w:hint="eastAsia"/>
          <w:color w:val="auto"/>
          <w:highlight w:val="none"/>
          <w:lang w:val="en-US" w:eastAsia="zh-CN"/>
        </w:rPr>
        <w:t>符合</w:t>
      </w:r>
      <w:r>
        <w:rPr>
          <w:rFonts w:hint="eastAsia"/>
          <w:color w:val="auto"/>
          <w:highlight w:val="none"/>
        </w:rPr>
        <w:t>法律、行政法规规定的其他条件</w:t>
      </w:r>
      <w:r>
        <w:rPr>
          <w:rFonts w:hint="eastAsia"/>
          <w:color w:val="auto"/>
          <w:highlight w:val="none"/>
          <w:lang w:eastAsia="zh-CN"/>
        </w:rPr>
        <w:t>；</w:t>
      </w:r>
    </w:p>
    <w:p>
      <w:pPr>
        <w:pStyle w:val="35"/>
        <w:numPr>
          <w:ilvl w:val="2"/>
          <w:numId w:val="22"/>
        </w:numPr>
        <w:bidi w:val="0"/>
        <w:rPr>
          <w:rFonts w:hint="eastAsia"/>
          <w:color w:val="auto"/>
          <w:highlight w:val="none"/>
        </w:rPr>
      </w:pPr>
      <w:r>
        <w:rPr>
          <w:rFonts w:hint="eastAsia"/>
          <w:color w:val="auto"/>
          <w:highlight w:val="none"/>
          <w:lang w:val="en-US" w:eastAsia="zh-CN"/>
        </w:rPr>
        <w:t>未与其他供应商组成联合体参加本项目投标。</w:t>
      </w:r>
    </w:p>
    <w:p>
      <w:pPr>
        <w:pStyle w:val="46"/>
        <w:bidi w:val="0"/>
        <w:rPr>
          <w:rFonts w:hint="eastAsia"/>
          <w:color w:val="auto"/>
          <w:highlight w:val="none"/>
        </w:rPr>
      </w:pPr>
      <w:r>
        <w:rPr>
          <w:rFonts w:hint="eastAsia"/>
          <w:color w:val="auto"/>
          <w:highlight w:val="none"/>
        </w:rPr>
        <w:t>我</w:t>
      </w:r>
      <w:r>
        <w:rPr>
          <w:rFonts w:hint="eastAsia"/>
          <w:color w:val="auto"/>
          <w:highlight w:val="none"/>
          <w:lang w:val="en-US" w:eastAsia="zh-CN"/>
        </w:rPr>
        <w:t>单位</w:t>
      </w:r>
      <w:r>
        <w:rPr>
          <w:rFonts w:hint="eastAsia"/>
          <w:color w:val="auto"/>
          <w:highlight w:val="none"/>
        </w:rPr>
        <w:t>对上述承诺的内容事项真实性</w:t>
      </w:r>
      <w:r>
        <w:rPr>
          <w:rFonts w:hint="eastAsia"/>
          <w:color w:val="auto"/>
          <w:highlight w:val="none"/>
          <w:lang w:eastAsia="zh-CN"/>
        </w:rPr>
        <w:t>、</w:t>
      </w:r>
      <w:r>
        <w:rPr>
          <w:rFonts w:hint="eastAsia"/>
          <w:color w:val="auto"/>
          <w:highlight w:val="none"/>
        </w:rPr>
        <w:t>合法</w:t>
      </w:r>
      <w:r>
        <w:rPr>
          <w:rFonts w:hint="eastAsia"/>
          <w:color w:val="auto"/>
          <w:highlight w:val="none"/>
          <w:lang w:val="en-US" w:eastAsia="zh-CN"/>
        </w:rPr>
        <w:t>性</w:t>
      </w:r>
      <w:r>
        <w:rPr>
          <w:rFonts w:hint="eastAsia"/>
          <w:color w:val="auto"/>
          <w:highlight w:val="none"/>
        </w:rPr>
        <w:t>负责。如经查实上述承诺的内容事项存在虚假，我</w:t>
      </w:r>
      <w:r>
        <w:rPr>
          <w:rFonts w:hint="eastAsia"/>
          <w:color w:val="auto"/>
          <w:highlight w:val="none"/>
          <w:lang w:val="en-US" w:eastAsia="zh-CN"/>
        </w:rPr>
        <w:t>单位自愿</w:t>
      </w:r>
      <w:r>
        <w:rPr>
          <w:rFonts w:hint="eastAsia"/>
          <w:color w:val="auto"/>
          <w:highlight w:val="none"/>
        </w:rPr>
        <w:t>接受以提供虚假材料谋取</w:t>
      </w:r>
      <w:r>
        <w:rPr>
          <w:rFonts w:hint="eastAsia"/>
          <w:color w:val="auto"/>
          <w:highlight w:val="none"/>
          <w:lang w:val="en-US" w:eastAsia="zh-CN"/>
        </w:rPr>
        <w:t>中标所带来的所有</w:t>
      </w:r>
      <w:r>
        <w:rPr>
          <w:rFonts w:hint="eastAsia"/>
          <w:color w:val="auto"/>
          <w:highlight w:val="none"/>
        </w:rPr>
        <w:t>法律责任。</w:t>
      </w:r>
    </w:p>
    <w:p>
      <w:pPr>
        <w:pStyle w:val="42"/>
        <w:bidi w:val="0"/>
        <w:rPr>
          <w:rFonts w:hint="eastAsia"/>
          <w:color w:val="auto"/>
          <w:highlight w:val="none"/>
          <w:lang w:val="en-US" w:eastAsia="zh-CN"/>
        </w:rPr>
      </w:pPr>
    </w:p>
    <w:p>
      <w:pPr>
        <w:pStyle w:val="42"/>
        <w:bidi w:val="0"/>
        <w:rPr>
          <w:rFonts w:hint="eastAsia"/>
          <w:color w:val="auto"/>
          <w:highlight w:val="none"/>
          <w:lang w:val="en-US" w:eastAsia="zh-CN"/>
        </w:rPr>
      </w:pPr>
    </w:p>
    <w:p>
      <w:pPr>
        <w:pStyle w:val="46"/>
        <w:bidi w:val="0"/>
        <w:rPr>
          <w:rFonts w:hint="eastAsia"/>
          <w:color w:val="auto"/>
          <w:highlight w:val="none"/>
        </w:rPr>
      </w:pPr>
      <w:r>
        <w:rPr>
          <w:rFonts w:hint="eastAsia"/>
          <w:color w:val="auto"/>
          <w:highlight w:val="none"/>
          <w:lang w:val="en-US" w:eastAsia="zh-CN"/>
        </w:rPr>
        <w:t>投标人</w:t>
      </w:r>
      <w:r>
        <w:rPr>
          <w:rFonts w:hint="eastAsia"/>
          <w:color w:val="auto"/>
          <w:highlight w:val="none"/>
        </w:rPr>
        <w:t>名称：</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(盖章)</w:t>
      </w:r>
    </w:p>
    <w:p>
      <w:pPr>
        <w:pStyle w:val="46"/>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color w:val="auto"/>
          <w:highlight w:val="none"/>
          <w:u w:val="single"/>
          <w:lang w:val="en-US" w:eastAsia="zh-CN"/>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46"/>
        <w:bidi w:val="0"/>
        <w:rPr>
          <w:rFonts w:hint="eastAsia"/>
          <w:color w:val="auto"/>
          <w:highlight w:val="none"/>
        </w:rPr>
      </w:pPr>
      <w:r>
        <w:rPr>
          <w:rFonts w:hint="eastAsia"/>
          <w:color w:val="auto"/>
          <w:highlight w:val="none"/>
          <w:lang w:val="en-US" w:eastAsia="zh-CN"/>
        </w:rPr>
        <w:t>投标</w:t>
      </w:r>
      <w:r>
        <w:rPr>
          <w:rFonts w:hint="eastAsia"/>
          <w:color w:val="auto"/>
          <w:highlight w:val="none"/>
        </w:rPr>
        <w:t>日期</w:t>
      </w:r>
      <w:r>
        <w:rPr>
          <w:rFonts w:hint="eastAsia"/>
          <w:color w:val="auto"/>
          <w:highlight w:val="none"/>
          <w:lang w:eastAsia="zh-CN"/>
        </w:rPr>
        <w:t>：</w:t>
      </w:r>
      <w:r>
        <w:rPr>
          <w:rFonts w:hint="eastAsia"/>
          <w:color w:val="auto"/>
          <w:highlight w:val="none"/>
          <w:u w:val="single"/>
          <w:lang w:val="en-US" w:eastAsia="zh-CN"/>
        </w:rPr>
        <w:t xml:space="preserve">                </w:t>
      </w:r>
      <w:r>
        <w:rPr>
          <w:rFonts w:hint="eastAsia"/>
          <w:color w:val="auto"/>
          <w:highlight w:val="none"/>
          <w:lang w:val="en-US" w:eastAsia="zh-CN"/>
        </w:rPr>
        <w:t xml:space="preserve">  </w:t>
      </w:r>
    </w:p>
    <w:p>
      <w:pPr>
        <w:pStyle w:val="47"/>
        <w:bidi w:val="0"/>
        <w:rPr>
          <w:rFonts w:hint="eastAsia"/>
          <w:color w:val="auto"/>
          <w:highlight w:val="none"/>
          <w:lang w:val="en-US" w:eastAsia="zh-CN"/>
        </w:rPr>
      </w:pPr>
      <w:r>
        <w:rPr>
          <w:rFonts w:hint="eastAsia"/>
          <w:color w:val="auto"/>
          <w:highlight w:val="none"/>
          <w:lang w:val="en-US" w:eastAsia="zh-CN"/>
        </w:rPr>
        <w:t>注：本章第一部分所要求的承诺函可参照本格式或自拟格式填写均有效。</w:t>
      </w:r>
    </w:p>
    <w:p>
      <w:pPr>
        <w:pStyle w:val="42"/>
        <w:bidi w:val="0"/>
        <w:rPr>
          <w:rFonts w:hint="eastAsia"/>
          <w:color w:val="auto"/>
          <w:highlight w:val="none"/>
          <w:lang w:val="en-US" w:eastAsia="zh-CN"/>
        </w:rPr>
      </w:pPr>
    </w:p>
    <w:p>
      <w:pPr>
        <w:pStyle w:val="42"/>
        <w:bidi w:val="0"/>
        <w:rPr>
          <w:rFonts w:hint="eastAsia"/>
          <w:color w:val="auto"/>
          <w:highlight w:val="none"/>
        </w:rPr>
      </w:pPr>
      <w:bookmarkStart w:id="954" w:name="_Toc14607"/>
      <w:bookmarkStart w:id="955" w:name="_Toc18702"/>
    </w:p>
    <w:p>
      <w:pPr>
        <w:rPr>
          <w:rFonts w:hint="eastAsia"/>
          <w:color w:val="auto"/>
          <w:sz w:val="32"/>
          <w:szCs w:val="32"/>
          <w:highlight w:val="none"/>
        </w:rPr>
      </w:pPr>
      <w:r>
        <w:rPr>
          <w:rFonts w:hint="eastAsia"/>
          <w:color w:val="auto"/>
          <w:sz w:val="32"/>
          <w:szCs w:val="32"/>
          <w:highlight w:val="none"/>
        </w:rPr>
        <w:br w:type="page"/>
      </w:r>
    </w:p>
    <w:p>
      <w:pPr>
        <w:pStyle w:val="34"/>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color w:val="auto"/>
          <w:sz w:val="32"/>
          <w:szCs w:val="32"/>
          <w:highlight w:val="none"/>
        </w:rPr>
      </w:pPr>
    </w:p>
    <w:p>
      <w:pPr>
        <w:pStyle w:val="34"/>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color w:val="auto"/>
          <w:sz w:val="32"/>
          <w:szCs w:val="32"/>
          <w:highlight w:val="none"/>
        </w:rPr>
      </w:pPr>
    </w:p>
    <w:p>
      <w:pPr>
        <w:pStyle w:val="34"/>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color w:val="auto"/>
          <w:sz w:val="32"/>
          <w:szCs w:val="32"/>
          <w:highlight w:val="none"/>
        </w:rPr>
      </w:pPr>
    </w:p>
    <w:p>
      <w:pPr>
        <w:pStyle w:val="34"/>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color w:val="auto"/>
          <w:sz w:val="32"/>
          <w:szCs w:val="32"/>
          <w:highlight w:val="none"/>
        </w:rPr>
      </w:pPr>
    </w:p>
    <w:p>
      <w:pPr>
        <w:pStyle w:val="34"/>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color w:val="auto"/>
          <w:sz w:val="32"/>
          <w:szCs w:val="32"/>
          <w:highlight w:val="none"/>
        </w:rPr>
      </w:pPr>
    </w:p>
    <w:p>
      <w:pPr>
        <w:pStyle w:val="34"/>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color w:val="auto"/>
          <w:sz w:val="32"/>
          <w:szCs w:val="32"/>
          <w:highlight w:val="none"/>
        </w:rPr>
      </w:pPr>
    </w:p>
    <w:p>
      <w:pPr>
        <w:pStyle w:val="34"/>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color w:val="auto"/>
          <w:sz w:val="32"/>
          <w:szCs w:val="32"/>
          <w:highlight w:val="none"/>
        </w:rPr>
      </w:pPr>
    </w:p>
    <w:p>
      <w:pPr>
        <w:pStyle w:val="34"/>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color w:val="auto"/>
          <w:sz w:val="32"/>
          <w:szCs w:val="32"/>
          <w:highlight w:val="none"/>
        </w:rPr>
      </w:pPr>
    </w:p>
    <w:p>
      <w:pPr>
        <w:pStyle w:val="34"/>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color w:val="auto"/>
          <w:sz w:val="32"/>
          <w:szCs w:val="32"/>
          <w:highlight w:val="none"/>
        </w:rPr>
      </w:pPr>
    </w:p>
    <w:p>
      <w:pPr>
        <w:pStyle w:val="34"/>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color w:val="auto"/>
          <w:sz w:val="32"/>
          <w:szCs w:val="32"/>
          <w:highlight w:val="none"/>
        </w:rPr>
      </w:pPr>
    </w:p>
    <w:p>
      <w:pPr>
        <w:pStyle w:val="34"/>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color w:val="auto"/>
          <w:sz w:val="32"/>
          <w:szCs w:val="32"/>
          <w:highlight w:val="none"/>
        </w:rPr>
      </w:pPr>
    </w:p>
    <w:p>
      <w:pPr>
        <w:pStyle w:val="34"/>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color w:val="auto"/>
          <w:sz w:val="32"/>
          <w:szCs w:val="32"/>
          <w:highlight w:val="none"/>
        </w:rPr>
      </w:pPr>
    </w:p>
    <w:p>
      <w:pPr>
        <w:pStyle w:val="34"/>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color w:val="auto"/>
          <w:sz w:val="32"/>
          <w:szCs w:val="32"/>
          <w:highlight w:val="none"/>
        </w:rPr>
      </w:pPr>
    </w:p>
    <w:p>
      <w:pPr>
        <w:pStyle w:val="34"/>
        <w:numPr>
          <w:ilvl w:val="1"/>
          <w:numId w:val="0"/>
        </w:numPr>
        <w:bidi w:val="0"/>
        <w:jc w:val="center"/>
        <w:rPr>
          <w:rFonts w:hint="eastAsia"/>
          <w:color w:val="auto"/>
          <w:sz w:val="32"/>
          <w:szCs w:val="32"/>
          <w:highlight w:val="none"/>
        </w:rPr>
      </w:pPr>
      <w:bookmarkStart w:id="956" w:name="_Toc7637"/>
      <w:bookmarkStart w:id="957" w:name="_Toc15072"/>
      <w:r>
        <w:rPr>
          <w:rFonts w:hint="eastAsia"/>
          <w:color w:val="auto"/>
          <w:sz w:val="32"/>
          <w:szCs w:val="32"/>
          <w:highlight w:val="none"/>
        </w:rPr>
        <w:t>第</w:t>
      </w:r>
      <w:r>
        <w:rPr>
          <w:rFonts w:hint="eastAsia"/>
          <w:color w:val="auto"/>
          <w:sz w:val="32"/>
          <w:szCs w:val="32"/>
          <w:highlight w:val="none"/>
          <w:lang w:val="en-US" w:eastAsia="zh-CN"/>
        </w:rPr>
        <w:t>二</w:t>
      </w:r>
      <w:r>
        <w:rPr>
          <w:rFonts w:hint="eastAsia"/>
          <w:color w:val="auto"/>
          <w:sz w:val="32"/>
          <w:szCs w:val="32"/>
          <w:highlight w:val="none"/>
        </w:rPr>
        <w:t>部分 其他</w:t>
      </w:r>
      <w:r>
        <w:rPr>
          <w:rFonts w:hint="eastAsia"/>
          <w:color w:val="auto"/>
          <w:sz w:val="32"/>
          <w:szCs w:val="32"/>
          <w:highlight w:val="none"/>
          <w:lang w:val="en-US" w:eastAsia="zh-CN"/>
        </w:rPr>
        <w:t>投标</w:t>
      </w:r>
      <w:r>
        <w:rPr>
          <w:rFonts w:hint="eastAsia"/>
          <w:color w:val="auto"/>
          <w:sz w:val="32"/>
          <w:szCs w:val="32"/>
          <w:highlight w:val="none"/>
        </w:rPr>
        <w:t>文件(格式)</w:t>
      </w:r>
      <w:bookmarkEnd w:id="954"/>
      <w:bookmarkEnd w:id="956"/>
      <w:bookmarkEnd w:id="957"/>
    </w:p>
    <w:p>
      <w:pPr>
        <w:pStyle w:val="42"/>
        <w:bidi w:val="0"/>
        <w:rPr>
          <w:rFonts w:hint="eastAsia"/>
          <w:color w:val="auto"/>
          <w:highlight w:val="none"/>
          <w:lang w:val="en-US" w:eastAsia="zh-CN"/>
        </w:rPr>
      </w:pPr>
      <w:bookmarkStart w:id="958" w:name="_Toc26038"/>
      <w:r>
        <w:rPr>
          <w:rFonts w:hint="eastAsia"/>
          <w:color w:val="auto"/>
          <w:highlight w:val="none"/>
          <w:lang w:val="en-US" w:eastAsia="zh-CN"/>
        </w:rPr>
        <w:br w:type="page"/>
      </w:r>
    </w:p>
    <w:p>
      <w:pPr>
        <w:pStyle w:val="44"/>
        <w:numPr>
          <w:ilvl w:val="0"/>
          <w:numId w:val="23"/>
        </w:numPr>
        <w:bidi w:val="0"/>
        <w:ind w:left="0" w:leftChars="0" w:firstLine="0" w:firstLineChars="0"/>
        <w:rPr>
          <w:rFonts w:hint="eastAsia"/>
          <w:color w:val="auto"/>
          <w:highlight w:val="none"/>
          <w:lang w:val="en-US" w:eastAsia="zh-CN"/>
        </w:rPr>
      </w:pPr>
      <w:bookmarkStart w:id="959" w:name="_Toc2311"/>
      <w:bookmarkStart w:id="960" w:name="_Toc21811"/>
      <w:bookmarkStart w:id="961" w:name="_Toc5408"/>
      <w:r>
        <w:rPr>
          <w:rFonts w:hint="eastAsia"/>
          <w:color w:val="auto"/>
          <w:highlight w:val="none"/>
          <w:lang w:val="en-US" w:eastAsia="zh-CN"/>
        </w:rPr>
        <w:t>投标函</w:t>
      </w:r>
      <w:bookmarkEnd w:id="955"/>
      <w:bookmarkEnd w:id="958"/>
      <w:bookmarkEnd w:id="959"/>
      <w:bookmarkEnd w:id="960"/>
      <w:bookmarkEnd w:id="961"/>
    </w:p>
    <w:p>
      <w:pPr>
        <w:pStyle w:val="42"/>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highlight w:val="none"/>
          <w:lang w:val="zh-CN"/>
        </w:rPr>
      </w:pPr>
      <w:r>
        <w:rPr>
          <w:rFonts w:hint="eastAsia"/>
          <w:color w:val="auto"/>
          <w:highlight w:val="none"/>
          <w:lang w:val="zh-CN"/>
        </w:rPr>
        <w:t>致：四川乾新招投标代理有限公司　</w:t>
      </w:r>
    </w:p>
    <w:p>
      <w:pPr>
        <w:pStyle w:val="46"/>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highlight w:val="none"/>
        </w:rPr>
      </w:pPr>
      <w:r>
        <w:rPr>
          <w:rFonts w:hint="eastAsia"/>
          <w:color w:val="auto"/>
          <w:highlight w:val="none"/>
        </w:rPr>
        <w:t>我方全面研究了“</w:t>
      </w:r>
      <w:r>
        <w:rPr>
          <w:rFonts w:hint="eastAsia"/>
          <w:color w:val="auto"/>
          <w:highlight w:val="none"/>
          <w:u w:val="single"/>
        </w:rPr>
        <w:t xml:space="preserve">               </w:t>
      </w:r>
      <w:r>
        <w:rPr>
          <w:rFonts w:hint="eastAsia"/>
          <w:color w:val="auto"/>
          <w:highlight w:val="none"/>
          <w:lang w:val="en-US" w:eastAsia="zh-CN"/>
        </w:rPr>
        <w:t>(项目名称)</w:t>
      </w:r>
      <w:r>
        <w:rPr>
          <w:rFonts w:hint="eastAsia"/>
          <w:color w:val="auto"/>
          <w:highlight w:val="none"/>
        </w:rPr>
        <w:t>(项目编号：</w:t>
      </w:r>
      <w:r>
        <w:rPr>
          <w:rFonts w:hint="eastAsia"/>
          <w:color w:val="auto"/>
          <w:highlight w:val="none"/>
          <w:u w:val="single"/>
        </w:rPr>
        <w:t xml:space="preserve">               </w:t>
      </w:r>
      <w:r>
        <w:rPr>
          <w:rFonts w:hint="eastAsia"/>
          <w:color w:val="auto"/>
          <w:highlight w:val="none"/>
        </w:rPr>
        <w:t>)”</w:t>
      </w:r>
      <w:r>
        <w:rPr>
          <w:rFonts w:hint="eastAsia"/>
          <w:color w:val="auto"/>
          <w:highlight w:val="none"/>
          <w:lang w:eastAsia="zh-CN"/>
        </w:rPr>
        <w:t>的</w:t>
      </w:r>
      <w:r>
        <w:rPr>
          <w:rFonts w:hint="eastAsia"/>
          <w:color w:val="auto"/>
          <w:highlight w:val="none"/>
        </w:rPr>
        <w:t>招标文件，决定参加贵单位组织的本项目投标。我方授权</w:t>
      </w:r>
      <w:r>
        <w:rPr>
          <w:rFonts w:hint="eastAsia"/>
          <w:color w:val="auto"/>
          <w:highlight w:val="none"/>
          <w:u w:val="single"/>
        </w:rPr>
        <w:t xml:space="preserve">               </w:t>
      </w:r>
      <w:r>
        <w:rPr>
          <w:rFonts w:hint="eastAsia"/>
          <w:color w:val="auto"/>
          <w:highlight w:val="none"/>
        </w:rPr>
        <w:t>(姓名、职务)代表我</w:t>
      </w:r>
      <w:r>
        <w:rPr>
          <w:rFonts w:hint="eastAsia"/>
          <w:color w:val="auto"/>
          <w:highlight w:val="none"/>
          <w:lang w:val="en-US" w:eastAsia="zh-CN"/>
        </w:rPr>
        <w:t>方</w:t>
      </w:r>
      <w:r>
        <w:rPr>
          <w:rFonts w:hint="eastAsia"/>
          <w:color w:val="auto"/>
          <w:highlight w:val="none"/>
          <w:u w:val="single"/>
        </w:rPr>
        <w:t xml:space="preserve">               </w:t>
      </w:r>
      <w:r>
        <w:rPr>
          <w:rFonts w:hint="eastAsia"/>
          <w:color w:val="auto"/>
          <w:highlight w:val="none"/>
        </w:rPr>
        <w:t>(</w:t>
      </w:r>
      <w:r>
        <w:rPr>
          <w:rFonts w:hint="eastAsia"/>
          <w:color w:val="auto"/>
          <w:highlight w:val="none"/>
          <w:lang w:val="en-US" w:eastAsia="zh-CN"/>
        </w:rPr>
        <w:t>投标人名称</w:t>
      </w:r>
      <w:r>
        <w:rPr>
          <w:rFonts w:hint="eastAsia"/>
          <w:color w:val="auto"/>
          <w:highlight w:val="none"/>
        </w:rPr>
        <w:t>)全权处理本项目投标的有关事宜。</w:t>
      </w:r>
    </w:p>
    <w:p>
      <w:pPr>
        <w:pStyle w:val="35"/>
        <w:keepNext w:val="0"/>
        <w:keepLines w:val="0"/>
        <w:pageBreakBefore w:val="0"/>
        <w:widowControl w:val="0"/>
        <w:numPr>
          <w:ilvl w:val="2"/>
          <w:numId w:val="24"/>
        </w:numPr>
        <w:kinsoku/>
        <w:wordWrap w:val="0"/>
        <w:overflowPunct/>
        <w:topLinePunct/>
        <w:autoSpaceDE/>
        <w:autoSpaceDN/>
        <w:bidi w:val="0"/>
        <w:adjustRightInd w:val="0"/>
        <w:snapToGrid w:val="0"/>
        <w:spacing w:line="520" w:lineRule="exact"/>
        <w:textAlignment w:val="auto"/>
        <w:rPr>
          <w:rFonts w:hint="eastAsia"/>
          <w:color w:val="auto"/>
          <w:highlight w:val="none"/>
        </w:rPr>
      </w:pPr>
      <w:r>
        <w:rPr>
          <w:rFonts w:hint="eastAsia"/>
          <w:color w:val="auto"/>
          <w:highlight w:val="none"/>
        </w:rPr>
        <w:t>我方自愿按照招标文件规定的各项要求向采购人提供所需</w:t>
      </w:r>
      <w:r>
        <w:rPr>
          <w:rFonts w:hint="eastAsia"/>
          <w:color w:val="auto"/>
          <w:highlight w:val="none"/>
          <w:lang w:val="en-US" w:eastAsia="zh-CN"/>
        </w:rPr>
        <w:t>货物及服务</w:t>
      </w:r>
      <w:r>
        <w:rPr>
          <w:rFonts w:hint="eastAsia"/>
          <w:color w:val="auto"/>
          <w:highlight w:val="none"/>
        </w:rPr>
        <w:t>，投标</w:t>
      </w:r>
      <w:r>
        <w:rPr>
          <w:rFonts w:hint="eastAsia"/>
          <w:color w:val="auto"/>
          <w:highlight w:val="none"/>
          <w:lang w:val="en-US" w:eastAsia="zh-CN"/>
        </w:rPr>
        <w:t>总</w:t>
      </w:r>
      <w:r>
        <w:rPr>
          <w:rFonts w:hint="eastAsia"/>
          <w:color w:val="auto"/>
          <w:highlight w:val="none"/>
        </w:rPr>
        <w:t>价</w:t>
      </w:r>
      <w:r>
        <w:rPr>
          <w:rFonts w:hint="eastAsia"/>
          <w:color w:val="auto"/>
          <w:highlight w:val="none"/>
          <w:lang w:eastAsia="zh-CN"/>
        </w:rPr>
        <w:t>为</w:t>
      </w:r>
      <w:r>
        <w:rPr>
          <w:rFonts w:hint="eastAsia"/>
          <w:color w:val="auto"/>
          <w:highlight w:val="none"/>
          <w:u w:val="none"/>
          <w:lang w:val="en-US" w:eastAsia="zh-CN"/>
        </w:rPr>
        <w:t>人民币</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u w:val="none"/>
          <w:lang w:val="en-US" w:eastAsia="zh-CN"/>
        </w:rPr>
        <w:t>元</w:t>
      </w:r>
      <w:r>
        <w:rPr>
          <w:rFonts w:hint="eastAsia"/>
          <w:color w:val="auto"/>
          <w:highlight w:val="none"/>
        </w:rPr>
        <w:t>(大写：</w:t>
      </w:r>
      <w:r>
        <w:rPr>
          <w:rFonts w:hint="eastAsia"/>
          <w:color w:val="auto"/>
          <w:highlight w:val="none"/>
          <w:u w:val="none"/>
          <w:lang w:val="en-US" w:eastAsia="zh-CN"/>
        </w:rPr>
        <w:t>人民币</w:t>
      </w:r>
      <w:r>
        <w:rPr>
          <w:rFonts w:hint="eastAsia"/>
          <w:color w:val="auto"/>
          <w:highlight w:val="none"/>
          <w:u w:val="single"/>
        </w:rPr>
        <w:t xml:space="preserve">             </w:t>
      </w:r>
      <w:r>
        <w:rPr>
          <w:rFonts w:hint="eastAsia"/>
          <w:color w:val="auto"/>
          <w:highlight w:val="none"/>
        </w:rPr>
        <w:t>)</w:t>
      </w:r>
      <w:r>
        <w:rPr>
          <w:rFonts w:hint="eastAsia"/>
          <w:color w:val="auto"/>
          <w:highlight w:val="none"/>
          <w:lang w:eastAsia="zh-CN"/>
        </w:rPr>
        <w:t>，</w:t>
      </w:r>
      <w:r>
        <w:rPr>
          <w:rFonts w:hint="eastAsia"/>
          <w:color w:val="auto"/>
          <w:highlight w:val="none"/>
        </w:rPr>
        <w:t>我方将严格履行合同规定的责任和义务，</w:t>
      </w:r>
      <w:r>
        <w:rPr>
          <w:rFonts w:hint="eastAsia"/>
          <w:color w:val="auto"/>
          <w:highlight w:val="none"/>
          <w:lang w:val="en-US" w:eastAsia="zh-CN"/>
        </w:rPr>
        <w:t>履约时间为</w:t>
      </w:r>
      <w:r>
        <w:rPr>
          <w:rFonts w:hint="eastAsia"/>
          <w:color w:val="auto"/>
          <w:highlight w:val="none"/>
          <w:u w:val="single"/>
        </w:rPr>
        <w:t xml:space="preserve">             </w:t>
      </w:r>
      <w:r>
        <w:rPr>
          <w:rFonts w:hint="eastAsia"/>
          <w:color w:val="auto"/>
          <w:highlight w:val="none"/>
        </w:rPr>
        <w:t>。</w:t>
      </w:r>
    </w:p>
    <w:p>
      <w:pPr>
        <w:pStyle w:val="35"/>
        <w:keepNext w:val="0"/>
        <w:keepLines w:val="0"/>
        <w:pageBreakBefore w:val="0"/>
        <w:widowControl w:val="0"/>
        <w:numPr>
          <w:ilvl w:val="2"/>
          <w:numId w:val="24"/>
        </w:numPr>
        <w:kinsoku/>
        <w:wordWrap w:val="0"/>
        <w:overflowPunct/>
        <w:topLinePunct/>
        <w:autoSpaceDE/>
        <w:autoSpaceDN/>
        <w:bidi w:val="0"/>
        <w:adjustRightInd w:val="0"/>
        <w:snapToGrid w:val="0"/>
        <w:spacing w:line="520" w:lineRule="exact"/>
        <w:textAlignment w:val="auto"/>
        <w:rPr>
          <w:rFonts w:hint="eastAsia"/>
          <w:color w:val="auto"/>
          <w:highlight w:val="none"/>
        </w:rPr>
      </w:pPr>
      <w:r>
        <w:rPr>
          <w:rFonts w:hint="eastAsia"/>
          <w:color w:val="auto"/>
          <w:highlight w:val="none"/>
        </w:rPr>
        <w:t>我方承诺：投标有效</w:t>
      </w:r>
      <w:r>
        <w:rPr>
          <w:rFonts w:hint="eastAsia"/>
          <w:color w:val="auto"/>
          <w:highlight w:val="none"/>
          <w:u w:val="none"/>
        </w:rPr>
        <w:t>期为</w:t>
      </w:r>
      <w:r>
        <w:rPr>
          <w:rFonts w:hint="eastAsia"/>
          <w:color w:val="auto"/>
          <w:highlight w:val="none"/>
          <w:u w:val="none"/>
          <w:lang w:val="en-US" w:eastAsia="zh-CN"/>
        </w:rPr>
        <w:t>提交投标文件的截止之日起90日</w:t>
      </w:r>
      <w:r>
        <w:rPr>
          <w:rFonts w:hint="eastAsia"/>
          <w:color w:val="auto"/>
          <w:highlight w:val="none"/>
        </w:rPr>
        <w:t>。</w:t>
      </w:r>
    </w:p>
    <w:p>
      <w:pPr>
        <w:pStyle w:val="35"/>
        <w:keepNext w:val="0"/>
        <w:keepLines w:val="0"/>
        <w:pageBreakBefore w:val="0"/>
        <w:widowControl w:val="0"/>
        <w:numPr>
          <w:ilvl w:val="2"/>
          <w:numId w:val="24"/>
        </w:numPr>
        <w:kinsoku/>
        <w:wordWrap w:val="0"/>
        <w:overflowPunct/>
        <w:topLinePunct/>
        <w:autoSpaceDE/>
        <w:autoSpaceDN/>
        <w:bidi w:val="0"/>
        <w:adjustRightInd w:val="0"/>
        <w:snapToGrid w:val="0"/>
        <w:spacing w:line="520" w:lineRule="exact"/>
        <w:textAlignment w:val="auto"/>
        <w:rPr>
          <w:rFonts w:hint="eastAsia"/>
          <w:color w:val="auto"/>
          <w:highlight w:val="none"/>
        </w:rPr>
      </w:pPr>
      <w:r>
        <w:rPr>
          <w:rFonts w:hint="eastAsia"/>
          <w:color w:val="auto"/>
          <w:highlight w:val="none"/>
        </w:rPr>
        <w:t>我方完全理解采购人不一定将合同授予最低报价的投标人的行为。</w:t>
      </w:r>
    </w:p>
    <w:p>
      <w:pPr>
        <w:pStyle w:val="35"/>
        <w:keepNext w:val="0"/>
        <w:keepLines w:val="0"/>
        <w:pageBreakBefore w:val="0"/>
        <w:widowControl w:val="0"/>
        <w:numPr>
          <w:ilvl w:val="2"/>
          <w:numId w:val="24"/>
        </w:numPr>
        <w:kinsoku/>
        <w:wordWrap w:val="0"/>
        <w:overflowPunct/>
        <w:topLinePunct/>
        <w:autoSpaceDE/>
        <w:autoSpaceDN/>
        <w:bidi w:val="0"/>
        <w:adjustRightInd w:val="0"/>
        <w:snapToGrid w:val="0"/>
        <w:spacing w:line="520" w:lineRule="exact"/>
        <w:textAlignment w:val="auto"/>
        <w:rPr>
          <w:rFonts w:hint="eastAsia"/>
          <w:color w:val="auto"/>
          <w:highlight w:val="none"/>
        </w:rPr>
      </w:pPr>
      <w:r>
        <w:rPr>
          <w:rFonts w:hint="eastAsia"/>
          <w:color w:val="auto"/>
          <w:highlight w:val="none"/>
        </w:rPr>
        <w:t>一旦我方中标</w:t>
      </w:r>
      <w:r>
        <w:rPr>
          <w:rFonts w:hint="eastAsia"/>
          <w:color w:val="auto"/>
          <w:highlight w:val="none"/>
          <w:lang w:eastAsia="zh-CN"/>
        </w:rPr>
        <w:t>：</w:t>
      </w:r>
    </w:p>
    <w:p>
      <w:pPr>
        <w:pStyle w:val="36"/>
        <w:keepNext w:val="0"/>
        <w:keepLines w:val="0"/>
        <w:pageBreakBefore w:val="0"/>
        <w:widowControl w:val="0"/>
        <w:kinsoku/>
        <w:overflowPunct/>
        <w:autoSpaceDE/>
        <w:autoSpaceDN/>
        <w:bidi w:val="0"/>
        <w:adjustRightInd w:val="0"/>
        <w:snapToGrid w:val="0"/>
        <w:spacing w:line="520" w:lineRule="exact"/>
        <w:textAlignment w:val="auto"/>
        <w:rPr>
          <w:rFonts w:hint="eastAsia"/>
          <w:color w:val="auto"/>
          <w:highlight w:val="none"/>
        </w:rPr>
      </w:pPr>
      <w:r>
        <w:rPr>
          <w:rFonts w:hint="eastAsia"/>
          <w:color w:val="auto"/>
          <w:highlight w:val="none"/>
        </w:rPr>
        <w:t>我方承诺</w:t>
      </w:r>
      <w:r>
        <w:rPr>
          <w:rFonts w:hint="eastAsia"/>
          <w:color w:val="auto"/>
          <w:highlight w:val="none"/>
          <w:lang w:val="en-US" w:eastAsia="zh-CN"/>
        </w:rPr>
        <w:t>积极配合招标代理机构办理领取中标通知书事宜，同时</w:t>
      </w:r>
      <w:r>
        <w:rPr>
          <w:rFonts w:hint="eastAsia"/>
          <w:color w:val="auto"/>
          <w:highlight w:val="none"/>
        </w:rPr>
        <w:t>在收到中标通知书后，在规定的期限内与采购人签订合同。</w:t>
      </w:r>
    </w:p>
    <w:p>
      <w:pPr>
        <w:pStyle w:val="36"/>
        <w:keepNext w:val="0"/>
        <w:keepLines w:val="0"/>
        <w:pageBreakBefore w:val="0"/>
        <w:widowControl w:val="0"/>
        <w:kinsoku/>
        <w:overflowPunct/>
        <w:autoSpaceDE/>
        <w:autoSpaceDN/>
        <w:bidi w:val="0"/>
        <w:adjustRightInd w:val="0"/>
        <w:snapToGrid w:val="0"/>
        <w:spacing w:line="520" w:lineRule="exact"/>
        <w:textAlignment w:val="auto"/>
        <w:rPr>
          <w:rFonts w:hint="eastAsia"/>
          <w:color w:val="auto"/>
          <w:highlight w:val="none"/>
        </w:rPr>
      </w:pPr>
      <w:r>
        <w:rPr>
          <w:rFonts w:hint="eastAsia"/>
          <w:color w:val="auto"/>
          <w:highlight w:val="none"/>
        </w:rPr>
        <w:t>我方承诺按照</w:t>
      </w:r>
      <w:r>
        <w:rPr>
          <w:rFonts w:hint="eastAsia"/>
          <w:color w:val="auto"/>
          <w:highlight w:val="none"/>
          <w:lang w:val="en-US" w:eastAsia="zh-CN"/>
        </w:rPr>
        <w:t>招标</w:t>
      </w:r>
      <w:r>
        <w:rPr>
          <w:rFonts w:hint="eastAsia"/>
          <w:color w:val="auto"/>
          <w:highlight w:val="none"/>
        </w:rPr>
        <w:t>文件规定的金额和方式向采购人缴纳履约保证金。</w:t>
      </w:r>
    </w:p>
    <w:p>
      <w:pPr>
        <w:pStyle w:val="36"/>
        <w:keepNext w:val="0"/>
        <w:keepLines w:val="0"/>
        <w:pageBreakBefore w:val="0"/>
        <w:widowControl w:val="0"/>
        <w:kinsoku/>
        <w:overflowPunct/>
        <w:autoSpaceDE/>
        <w:autoSpaceDN/>
        <w:bidi w:val="0"/>
        <w:adjustRightInd w:val="0"/>
        <w:snapToGrid w:val="0"/>
        <w:spacing w:line="520" w:lineRule="exact"/>
        <w:textAlignment w:val="auto"/>
        <w:rPr>
          <w:rFonts w:hint="eastAsia"/>
          <w:color w:val="auto"/>
          <w:highlight w:val="none"/>
        </w:rPr>
      </w:pPr>
      <w:r>
        <w:rPr>
          <w:rFonts w:hint="eastAsia"/>
          <w:color w:val="auto"/>
          <w:highlight w:val="none"/>
        </w:rPr>
        <w:t>我方将严格履行</w:t>
      </w:r>
      <w:r>
        <w:rPr>
          <w:rFonts w:hint="eastAsia"/>
          <w:color w:val="auto"/>
          <w:highlight w:val="none"/>
          <w:lang w:eastAsia="zh-CN"/>
        </w:rPr>
        <w:t>采购合同</w:t>
      </w:r>
      <w:r>
        <w:rPr>
          <w:rFonts w:hint="eastAsia"/>
          <w:color w:val="auto"/>
          <w:highlight w:val="none"/>
        </w:rPr>
        <w:t>规定的责任和义务。</w:t>
      </w:r>
    </w:p>
    <w:p>
      <w:pPr>
        <w:pStyle w:val="36"/>
        <w:keepNext w:val="0"/>
        <w:keepLines w:val="0"/>
        <w:pageBreakBefore w:val="0"/>
        <w:widowControl w:val="0"/>
        <w:kinsoku/>
        <w:overflowPunct/>
        <w:autoSpaceDE/>
        <w:autoSpaceDN/>
        <w:bidi w:val="0"/>
        <w:adjustRightInd w:val="0"/>
        <w:snapToGrid w:val="0"/>
        <w:spacing w:line="520" w:lineRule="exact"/>
        <w:textAlignment w:val="auto"/>
        <w:rPr>
          <w:rFonts w:hint="eastAsia"/>
          <w:color w:val="auto"/>
          <w:highlight w:val="none"/>
        </w:rPr>
      </w:pPr>
      <w:r>
        <w:rPr>
          <w:rFonts w:hint="eastAsia"/>
          <w:color w:val="auto"/>
          <w:highlight w:val="none"/>
        </w:rPr>
        <w:t>我方愿意提供与</w:t>
      </w:r>
      <w:r>
        <w:rPr>
          <w:rFonts w:hint="eastAsia"/>
          <w:color w:val="auto"/>
          <w:highlight w:val="none"/>
          <w:lang w:val="en-US" w:eastAsia="zh-CN"/>
        </w:rPr>
        <w:t>投标</w:t>
      </w:r>
      <w:r>
        <w:rPr>
          <w:rFonts w:hint="eastAsia"/>
          <w:color w:val="auto"/>
          <w:highlight w:val="none"/>
        </w:rPr>
        <w:t>报价有关的文件资料，并保证我方已提供和将要提供的文件资料是真实、准确的。</w:t>
      </w:r>
    </w:p>
    <w:p>
      <w:pPr>
        <w:pStyle w:val="36"/>
        <w:keepNext w:val="0"/>
        <w:keepLines w:val="0"/>
        <w:pageBreakBefore w:val="0"/>
        <w:widowControl w:val="0"/>
        <w:kinsoku/>
        <w:overflowPunct/>
        <w:autoSpaceDE/>
        <w:autoSpaceDN/>
        <w:bidi w:val="0"/>
        <w:adjustRightInd w:val="0"/>
        <w:snapToGrid w:val="0"/>
        <w:spacing w:line="520" w:lineRule="exact"/>
        <w:textAlignment w:val="auto"/>
        <w:rPr>
          <w:rFonts w:hint="eastAsia"/>
          <w:color w:val="auto"/>
          <w:highlight w:val="none"/>
        </w:rPr>
      </w:pPr>
      <w:r>
        <w:rPr>
          <w:rFonts w:hint="eastAsia"/>
          <w:color w:val="auto"/>
          <w:highlight w:val="none"/>
        </w:rPr>
        <w:t>我方自愿按照</w:t>
      </w:r>
      <w:r>
        <w:rPr>
          <w:rFonts w:hint="eastAsia"/>
          <w:color w:val="auto"/>
          <w:highlight w:val="none"/>
          <w:lang w:val="en-US" w:eastAsia="zh-CN"/>
        </w:rPr>
        <w:t>招标</w:t>
      </w:r>
      <w:r>
        <w:rPr>
          <w:rFonts w:hint="eastAsia"/>
          <w:color w:val="auto"/>
          <w:highlight w:val="none"/>
        </w:rPr>
        <w:t>文件规定的各项要求完成</w:t>
      </w:r>
      <w:r>
        <w:rPr>
          <w:rFonts w:hint="eastAsia"/>
          <w:color w:val="auto"/>
          <w:highlight w:val="none"/>
          <w:lang w:val="en-US" w:eastAsia="zh-CN"/>
        </w:rPr>
        <w:t>采购</w:t>
      </w:r>
      <w:r>
        <w:rPr>
          <w:rFonts w:hint="eastAsia"/>
          <w:color w:val="auto"/>
          <w:highlight w:val="none"/>
        </w:rPr>
        <w:t>项目，接受采购人按照</w:t>
      </w:r>
      <w:r>
        <w:rPr>
          <w:rFonts w:hint="eastAsia"/>
          <w:color w:val="auto"/>
          <w:highlight w:val="none"/>
          <w:lang w:eastAsia="zh-CN"/>
        </w:rPr>
        <w:t>采购合同</w:t>
      </w:r>
      <w:r>
        <w:rPr>
          <w:rFonts w:hint="eastAsia"/>
          <w:color w:val="auto"/>
          <w:highlight w:val="none"/>
        </w:rPr>
        <w:t>约定金额支付采购资金。</w:t>
      </w:r>
    </w:p>
    <w:p>
      <w:pPr>
        <w:pStyle w:val="36"/>
        <w:keepNext w:val="0"/>
        <w:keepLines w:val="0"/>
        <w:pageBreakBefore w:val="0"/>
        <w:widowControl w:val="0"/>
        <w:kinsoku/>
        <w:overflowPunct/>
        <w:autoSpaceDE/>
        <w:autoSpaceDN/>
        <w:bidi w:val="0"/>
        <w:adjustRightInd w:val="0"/>
        <w:snapToGrid w:val="0"/>
        <w:spacing w:line="520" w:lineRule="exact"/>
        <w:textAlignment w:val="auto"/>
        <w:rPr>
          <w:rFonts w:hint="eastAsia"/>
          <w:color w:val="auto"/>
          <w:highlight w:val="none"/>
        </w:rPr>
      </w:pPr>
      <w:r>
        <w:rPr>
          <w:rFonts w:hint="eastAsia"/>
          <w:color w:val="auto"/>
          <w:highlight w:val="none"/>
          <w:lang w:val="en-US" w:eastAsia="zh-CN"/>
        </w:rPr>
        <w:t>我方在参与本项目履约过程中涉及国家相关强制标准的，均按照该标准执行。</w:t>
      </w:r>
    </w:p>
    <w:p>
      <w:pPr>
        <w:pStyle w:val="35"/>
        <w:keepNext w:val="0"/>
        <w:keepLines w:val="0"/>
        <w:pageBreakBefore w:val="0"/>
        <w:widowControl w:val="0"/>
        <w:numPr>
          <w:ilvl w:val="2"/>
          <w:numId w:val="0"/>
        </w:numPr>
        <w:kinsoku/>
        <w:wordWrap w:val="0"/>
        <w:overflowPunct/>
        <w:topLinePunct/>
        <w:autoSpaceDE/>
        <w:autoSpaceDN/>
        <w:bidi w:val="0"/>
        <w:adjustRightInd w:val="0"/>
        <w:snapToGrid w:val="0"/>
        <w:spacing w:line="520" w:lineRule="exact"/>
        <w:ind w:leftChars="0" w:firstLine="480" w:firstLineChars="200"/>
        <w:textAlignment w:val="auto"/>
        <w:rPr>
          <w:rFonts w:hint="eastAsia"/>
          <w:color w:val="auto"/>
          <w:highlight w:val="none"/>
        </w:rPr>
      </w:pPr>
      <w:r>
        <w:rPr>
          <w:rFonts w:hint="eastAsia"/>
          <w:color w:val="auto"/>
          <w:highlight w:val="none"/>
          <w:lang w:val="en-US" w:eastAsia="zh-CN"/>
        </w:rPr>
        <w:t>5.我方在参加本次采购活动中，涉及的询问、质疑</w:t>
      </w:r>
      <w:r>
        <w:rPr>
          <w:rFonts w:hint="eastAsia"/>
          <w:color w:val="auto"/>
          <w:highlight w:val="none"/>
          <w:lang w:eastAsia="zh-CN"/>
        </w:rPr>
        <w:t>、</w:t>
      </w:r>
      <w:r>
        <w:rPr>
          <w:rFonts w:hint="eastAsia"/>
          <w:color w:val="auto"/>
          <w:highlight w:val="none"/>
          <w:lang w:val="en-US" w:eastAsia="zh-CN"/>
        </w:rPr>
        <w:t>邮寄(快递)中标通知书等采购相关文书资料</w:t>
      </w:r>
      <w:r>
        <w:rPr>
          <w:rFonts w:hint="eastAsia"/>
          <w:color w:val="auto"/>
          <w:highlight w:val="none"/>
        </w:rPr>
        <w:t>送达地址</w:t>
      </w:r>
      <w:r>
        <w:rPr>
          <w:rFonts w:hint="eastAsia"/>
          <w:color w:val="auto"/>
          <w:highlight w:val="none"/>
          <w:lang w:val="en-US" w:eastAsia="zh-CN"/>
        </w:rPr>
        <w:t>为：</w:t>
      </w:r>
      <w:r>
        <w:rPr>
          <w:rFonts w:hint="eastAsia"/>
          <w:color w:val="auto"/>
          <w:highlight w:val="none"/>
          <w:u w:val="single"/>
          <w:lang w:val="en-US" w:eastAsia="zh-CN"/>
        </w:rPr>
        <w:t xml:space="preserve">                                     </w:t>
      </w:r>
      <w:r>
        <w:rPr>
          <w:rFonts w:hint="eastAsia"/>
          <w:color w:val="auto"/>
          <w:highlight w:val="none"/>
          <w:lang w:eastAsia="zh-CN"/>
        </w:rPr>
        <w:t>；</w:t>
      </w:r>
      <w:r>
        <w:rPr>
          <w:rFonts w:hint="eastAsia"/>
          <w:color w:val="auto"/>
          <w:highlight w:val="none"/>
          <w:lang w:val="en-US" w:eastAsia="zh-CN"/>
        </w:rPr>
        <w:t>联系人：</w:t>
      </w:r>
      <w:r>
        <w:rPr>
          <w:rFonts w:hint="eastAsia"/>
          <w:color w:val="auto"/>
          <w:highlight w:val="none"/>
          <w:u w:val="single"/>
          <w:lang w:val="en-US" w:eastAsia="zh-CN"/>
        </w:rPr>
        <w:t xml:space="preserve">           </w:t>
      </w:r>
      <w:r>
        <w:rPr>
          <w:rFonts w:hint="eastAsia"/>
          <w:color w:val="auto"/>
          <w:highlight w:val="none"/>
          <w:lang w:val="en-US" w:eastAsia="zh-CN"/>
        </w:rPr>
        <w:t>；联系电话：</w:t>
      </w:r>
      <w:r>
        <w:rPr>
          <w:rFonts w:hint="eastAsia"/>
          <w:color w:val="auto"/>
          <w:highlight w:val="none"/>
          <w:u w:val="single"/>
          <w:lang w:val="en-US" w:eastAsia="zh-CN"/>
        </w:rPr>
        <w:t xml:space="preserve">            </w:t>
      </w:r>
      <w:r>
        <w:rPr>
          <w:rFonts w:hint="eastAsia"/>
          <w:color w:val="auto"/>
          <w:highlight w:val="none"/>
          <w:lang w:val="en-US" w:eastAsia="zh-CN"/>
        </w:rPr>
        <w:t>，如</w:t>
      </w:r>
      <w:r>
        <w:rPr>
          <w:rFonts w:hint="eastAsia"/>
          <w:color w:val="auto"/>
          <w:highlight w:val="none"/>
        </w:rPr>
        <w:t>在</w:t>
      </w:r>
      <w:r>
        <w:rPr>
          <w:rFonts w:hint="eastAsia"/>
          <w:color w:val="auto"/>
          <w:highlight w:val="none"/>
          <w:lang w:val="en-US" w:eastAsia="zh-CN"/>
        </w:rPr>
        <w:t>采购结果公告发布</w:t>
      </w:r>
      <w:r>
        <w:rPr>
          <w:rFonts w:hint="eastAsia"/>
          <w:color w:val="auto"/>
          <w:highlight w:val="none"/>
        </w:rPr>
        <w:t>前变更送达地址的，</w:t>
      </w:r>
      <w:r>
        <w:rPr>
          <w:rFonts w:hint="eastAsia"/>
          <w:color w:val="auto"/>
          <w:highlight w:val="none"/>
          <w:lang w:val="en-US" w:eastAsia="zh-CN"/>
        </w:rPr>
        <w:t>将</w:t>
      </w:r>
      <w:r>
        <w:rPr>
          <w:rFonts w:hint="eastAsia"/>
          <w:color w:val="auto"/>
          <w:highlight w:val="none"/>
        </w:rPr>
        <w:t>及时以书面方式告知</w:t>
      </w:r>
      <w:r>
        <w:rPr>
          <w:rFonts w:hint="eastAsia"/>
          <w:color w:val="auto"/>
          <w:highlight w:val="none"/>
          <w:lang w:val="en-US" w:eastAsia="zh-CN"/>
        </w:rPr>
        <w:t>贵公司</w:t>
      </w:r>
      <w:r>
        <w:rPr>
          <w:rFonts w:hint="eastAsia"/>
          <w:color w:val="auto"/>
          <w:highlight w:val="none"/>
        </w:rPr>
        <w:t>。</w:t>
      </w:r>
    </w:p>
    <w:p>
      <w:pPr>
        <w:pStyle w:val="35"/>
        <w:keepNext w:val="0"/>
        <w:keepLines w:val="0"/>
        <w:pageBreakBefore w:val="0"/>
        <w:widowControl w:val="0"/>
        <w:numPr>
          <w:ilvl w:val="2"/>
          <w:numId w:val="0"/>
        </w:numPr>
        <w:kinsoku/>
        <w:wordWrap w:val="0"/>
        <w:overflowPunct/>
        <w:topLinePunct/>
        <w:autoSpaceDE/>
        <w:autoSpaceDN/>
        <w:bidi w:val="0"/>
        <w:adjustRightInd w:val="0"/>
        <w:snapToGrid w:val="0"/>
        <w:spacing w:line="520" w:lineRule="exact"/>
        <w:ind w:leftChars="0" w:firstLine="480" w:firstLineChars="200"/>
        <w:textAlignment w:val="auto"/>
        <w:rPr>
          <w:rFonts w:hint="eastAsia"/>
          <w:color w:val="auto"/>
          <w:highlight w:val="none"/>
        </w:rPr>
      </w:pPr>
      <w:r>
        <w:rPr>
          <w:rFonts w:hint="eastAsia"/>
          <w:color w:val="auto"/>
          <w:highlight w:val="none"/>
          <w:lang w:val="en-US" w:eastAsia="zh-CN"/>
        </w:rPr>
        <w:t>5.1我方承诺：如未</w:t>
      </w:r>
      <w:r>
        <w:rPr>
          <w:rFonts w:hint="eastAsia"/>
          <w:color w:val="auto"/>
          <w:highlight w:val="none"/>
        </w:rPr>
        <w:t>提供自己的送达地址，经</w:t>
      </w:r>
      <w:r>
        <w:rPr>
          <w:rFonts w:hint="eastAsia"/>
          <w:color w:val="auto"/>
          <w:highlight w:val="none"/>
          <w:lang w:val="en-US" w:eastAsia="zh-CN"/>
        </w:rPr>
        <w:t>招标代理机构</w:t>
      </w:r>
      <w:r>
        <w:rPr>
          <w:rFonts w:hint="eastAsia"/>
          <w:color w:val="auto"/>
          <w:highlight w:val="none"/>
        </w:rPr>
        <w:t>告知后仍不提供的，自然人以其户籍登记中的住所地为送达地址</w:t>
      </w:r>
      <w:r>
        <w:rPr>
          <w:rFonts w:hint="eastAsia"/>
          <w:color w:val="auto"/>
          <w:highlight w:val="none"/>
          <w:lang w:eastAsia="zh-CN"/>
        </w:rPr>
        <w:t>；</w:t>
      </w:r>
      <w:r>
        <w:rPr>
          <w:rFonts w:hint="eastAsia"/>
          <w:color w:val="auto"/>
          <w:highlight w:val="none"/>
        </w:rPr>
        <w:t>法人或者其他组织以其工商登记或者其他依法登记、备案中的住所地为送达地址。</w:t>
      </w:r>
    </w:p>
    <w:p>
      <w:pPr>
        <w:pStyle w:val="35"/>
        <w:keepNext w:val="0"/>
        <w:keepLines w:val="0"/>
        <w:pageBreakBefore w:val="0"/>
        <w:widowControl w:val="0"/>
        <w:numPr>
          <w:ilvl w:val="2"/>
          <w:numId w:val="0"/>
        </w:numPr>
        <w:kinsoku/>
        <w:wordWrap w:val="0"/>
        <w:overflowPunct/>
        <w:topLinePunct/>
        <w:autoSpaceDE/>
        <w:autoSpaceDN/>
        <w:bidi w:val="0"/>
        <w:adjustRightInd w:val="0"/>
        <w:snapToGrid w:val="0"/>
        <w:spacing w:line="520" w:lineRule="exact"/>
        <w:ind w:leftChars="0" w:firstLine="480" w:firstLineChars="200"/>
        <w:textAlignment w:val="auto"/>
        <w:rPr>
          <w:rFonts w:hint="eastAsia"/>
          <w:color w:val="auto"/>
          <w:highlight w:val="none"/>
        </w:rPr>
      </w:pPr>
      <w:r>
        <w:rPr>
          <w:rFonts w:hint="eastAsia"/>
          <w:color w:val="auto"/>
          <w:highlight w:val="none"/>
          <w:lang w:val="en-US" w:eastAsia="zh-CN"/>
        </w:rPr>
        <w:t>5.2</w:t>
      </w:r>
      <w:r>
        <w:rPr>
          <w:rFonts w:hint="eastAsia"/>
          <w:color w:val="auto"/>
          <w:highlight w:val="none"/>
        </w:rPr>
        <w:t>因</w:t>
      </w:r>
      <w:r>
        <w:rPr>
          <w:rFonts w:hint="eastAsia"/>
          <w:color w:val="auto"/>
          <w:highlight w:val="none"/>
          <w:lang w:val="en-US" w:eastAsia="zh-CN"/>
        </w:rPr>
        <w:t>我方</w:t>
      </w:r>
      <w:r>
        <w:rPr>
          <w:rFonts w:hint="eastAsia"/>
          <w:color w:val="auto"/>
          <w:highlight w:val="none"/>
        </w:rPr>
        <w:t>提供的送达地址不准确</w:t>
      </w:r>
      <w:r>
        <w:rPr>
          <w:rFonts w:hint="eastAsia"/>
          <w:color w:val="auto"/>
          <w:highlight w:val="none"/>
          <w:lang w:eastAsia="zh-CN"/>
        </w:rPr>
        <w:t>、</w:t>
      </w:r>
      <w:r>
        <w:rPr>
          <w:rFonts w:hint="eastAsia"/>
          <w:color w:val="auto"/>
          <w:highlight w:val="none"/>
        </w:rPr>
        <w:t>拒不提供送达地址、送达地址变更未及时告知</w:t>
      </w:r>
      <w:r>
        <w:rPr>
          <w:rFonts w:hint="eastAsia"/>
          <w:color w:val="auto"/>
          <w:highlight w:val="none"/>
          <w:lang w:val="en-US" w:eastAsia="zh-CN"/>
        </w:rPr>
        <w:t>招标代理机构</w:t>
      </w:r>
      <w:r>
        <w:rPr>
          <w:rFonts w:hint="eastAsia"/>
          <w:color w:val="auto"/>
          <w:highlight w:val="none"/>
        </w:rPr>
        <w:t>、受送达人本人或者受送达人指定的代收人拒绝签收，导致</w:t>
      </w:r>
      <w:r>
        <w:rPr>
          <w:rFonts w:hint="eastAsia"/>
          <w:color w:val="auto"/>
          <w:highlight w:val="none"/>
          <w:lang w:val="en-US" w:eastAsia="zh-CN"/>
        </w:rPr>
        <w:t>采购</w:t>
      </w:r>
      <w:r>
        <w:rPr>
          <w:rFonts w:hint="eastAsia"/>
          <w:color w:val="auto"/>
          <w:highlight w:val="none"/>
        </w:rPr>
        <w:t>文书</w:t>
      </w:r>
      <w:r>
        <w:rPr>
          <w:rFonts w:hint="eastAsia"/>
          <w:color w:val="auto"/>
          <w:highlight w:val="none"/>
          <w:lang w:val="en-US" w:eastAsia="zh-CN"/>
        </w:rPr>
        <w:t>等资料</w:t>
      </w:r>
      <w:r>
        <w:rPr>
          <w:rFonts w:hint="eastAsia"/>
          <w:color w:val="auto"/>
          <w:highlight w:val="none"/>
        </w:rPr>
        <w:t>未能被受送达人实际接收的，</w:t>
      </w:r>
      <w:r>
        <w:rPr>
          <w:rFonts w:hint="eastAsia"/>
          <w:color w:val="auto"/>
          <w:highlight w:val="none"/>
          <w:lang w:val="en-US" w:eastAsia="zh-CN"/>
        </w:rPr>
        <w:t>采购</w:t>
      </w:r>
      <w:r>
        <w:rPr>
          <w:rFonts w:hint="eastAsia"/>
          <w:color w:val="auto"/>
          <w:highlight w:val="none"/>
        </w:rPr>
        <w:t>文书退回之日视为送达之日。邮寄送达的，邮件回执上注明的退回之日视为送达之日</w:t>
      </w:r>
      <w:r>
        <w:rPr>
          <w:rFonts w:hint="eastAsia"/>
          <w:color w:val="auto"/>
          <w:highlight w:val="none"/>
          <w:lang w:eastAsia="zh-CN"/>
        </w:rPr>
        <w:t>；</w:t>
      </w:r>
      <w:r>
        <w:rPr>
          <w:rFonts w:hint="eastAsia"/>
          <w:color w:val="auto"/>
          <w:highlight w:val="none"/>
        </w:rPr>
        <w:t>直接送达的，送达人当场在送达</w:t>
      </w:r>
      <w:r>
        <w:rPr>
          <w:rFonts w:hint="eastAsia"/>
          <w:color w:val="auto"/>
          <w:highlight w:val="none"/>
          <w:lang w:val="en-US" w:eastAsia="zh-CN"/>
        </w:rPr>
        <w:t>回执</w:t>
      </w:r>
      <w:r>
        <w:rPr>
          <w:rFonts w:hint="eastAsia"/>
          <w:color w:val="auto"/>
          <w:highlight w:val="none"/>
        </w:rPr>
        <w:t>上</w:t>
      </w:r>
      <w:r>
        <w:rPr>
          <w:rFonts w:hint="eastAsia"/>
          <w:color w:val="auto"/>
          <w:highlight w:val="none"/>
          <w:lang w:val="en-US" w:eastAsia="zh-CN"/>
        </w:rPr>
        <w:t>签收</w:t>
      </w:r>
      <w:r>
        <w:rPr>
          <w:rFonts w:hint="eastAsia"/>
          <w:color w:val="auto"/>
          <w:highlight w:val="none"/>
        </w:rPr>
        <w:t>之日视为送达之日。</w:t>
      </w:r>
    </w:p>
    <w:p>
      <w:pPr>
        <w:pStyle w:val="35"/>
        <w:keepNext w:val="0"/>
        <w:keepLines w:val="0"/>
        <w:pageBreakBefore w:val="0"/>
        <w:widowControl w:val="0"/>
        <w:numPr>
          <w:ilvl w:val="2"/>
          <w:numId w:val="0"/>
        </w:numPr>
        <w:kinsoku/>
        <w:wordWrap w:val="0"/>
        <w:overflowPunct/>
        <w:topLinePunct/>
        <w:autoSpaceDE/>
        <w:autoSpaceDN/>
        <w:bidi w:val="0"/>
        <w:adjustRightInd w:val="0"/>
        <w:snapToGrid w:val="0"/>
        <w:spacing w:line="520" w:lineRule="exact"/>
        <w:ind w:firstLine="480" w:firstLineChars="200"/>
        <w:textAlignment w:val="auto"/>
        <w:rPr>
          <w:rFonts w:hint="eastAsia"/>
          <w:color w:val="auto"/>
          <w:highlight w:val="none"/>
          <w:u w:val="none"/>
          <w:lang w:val="zh-CN"/>
        </w:rPr>
      </w:pPr>
      <w:r>
        <w:rPr>
          <w:rFonts w:hint="eastAsia"/>
          <w:color w:val="auto"/>
          <w:highlight w:val="none"/>
          <w:u w:val="none"/>
          <w:lang w:val="en-US" w:eastAsia="zh-CN"/>
        </w:rPr>
        <w:t>6.参照</w:t>
      </w:r>
      <w:r>
        <w:rPr>
          <w:rFonts w:hint="eastAsia"/>
          <w:color w:val="auto"/>
          <w:highlight w:val="none"/>
          <w:u w:val="none"/>
          <w:lang w:val="zh-CN"/>
        </w:rPr>
        <w:t>《中华人民共和国政府采购法实施条例》第四十三条的规定，公告内容应当包括主要中标标的的名称、规格型号、数量、单价、服务要求以及评审专家名单。</w:t>
      </w:r>
      <w:r>
        <w:rPr>
          <w:rFonts w:hint="eastAsia"/>
          <w:color w:val="auto"/>
          <w:highlight w:val="none"/>
          <w:u w:val="none"/>
          <w:lang w:val="en-US" w:eastAsia="zh-CN"/>
        </w:rPr>
        <w:t>我方已</w:t>
      </w:r>
      <w:r>
        <w:rPr>
          <w:rFonts w:hint="eastAsia"/>
          <w:color w:val="auto"/>
          <w:highlight w:val="none"/>
          <w:u w:val="none"/>
          <w:lang w:val="zh-CN"/>
        </w:rPr>
        <w:t>将投标文件中涉及商业秘密和知识产权的内容进行标注和说明。若未进行标注和说明的，视为全部内容均可公布，采购人或者采购代理机构对此不承担任何责任。</w:t>
      </w:r>
    </w:p>
    <w:p>
      <w:pPr>
        <w:pStyle w:val="35"/>
        <w:keepNext w:val="0"/>
        <w:keepLines w:val="0"/>
        <w:pageBreakBefore w:val="0"/>
        <w:widowControl w:val="0"/>
        <w:numPr>
          <w:ilvl w:val="2"/>
          <w:numId w:val="0"/>
        </w:numPr>
        <w:kinsoku/>
        <w:wordWrap w:val="0"/>
        <w:overflowPunct/>
        <w:topLinePunct/>
        <w:autoSpaceDE/>
        <w:autoSpaceDN/>
        <w:bidi w:val="0"/>
        <w:adjustRightInd w:val="0"/>
        <w:snapToGrid w:val="0"/>
        <w:spacing w:line="520" w:lineRule="exact"/>
        <w:ind w:firstLine="480" w:firstLineChars="200"/>
        <w:textAlignment w:val="auto"/>
        <w:rPr>
          <w:rFonts w:hint="eastAsia" w:ascii="宋体" w:hAnsi="宋体" w:eastAsia="宋体"/>
          <w:color w:val="auto"/>
          <w:highlight w:val="none"/>
          <w:u w:val="none"/>
          <w:lang w:val="en-US" w:eastAsia="zh-CN"/>
        </w:rPr>
      </w:pPr>
      <w:r>
        <w:rPr>
          <w:rFonts w:hint="eastAsia"/>
          <w:color w:val="auto"/>
          <w:highlight w:val="none"/>
          <w:u w:val="none"/>
          <w:lang w:val="en-US" w:eastAsia="zh-CN"/>
        </w:rPr>
        <w:t>7.</w:t>
      </w:r>
      <w:r>
        <w:rPr>
          <w:rFonts w:hint="eastAsia" w:ascii="宋体" w:hAnsi="宋体" w:eastAsia="宋体"/>
          <w:color w:val="auto"/>
          <w:highlight w:val="none"/>
          <w:u w:val="none"/>
          <w:lang w:val="en-US" w:eastAsia="zh-CN"/>
        </w:rPr>
        <w:t>我方</w:t>
      </w:r>
      <w:r>
        <w:rPr>
          <w:rFonts w:hint="eastAsia" w:ascii="宋体" w:hAnsi="宋体" w:eastAsia="宋体"/>
          <w:color w:val="auto"/>
          <w:highlight w:val="none"/>
          <w:u w:val="single"/>
          <w:lang w:val="en-US" w:eastAsia="zh-CN"/>
        </w:rPr>
        <w:t xml:space="preserve">      </w:t>
      </w:r>
      <w:r>
        <w:rPr>
          <w:rFonts w:hint="eastAsia" w:ascii="宋体" w:hAnsi="宋体" w:eastAsia="宋体"/>
          <w:color w:val="auto"/>
          <w:highlight w:val="none"/>
          <w:u w:val="none"/>
          <w:lang w:val="en-US" w:eastAsia="zh-CN"/>
        </w:rPr>
        <w:t>(“有”或“没有”)《关于对政府采购领域严重违法失信主体开展联合惩戒的合作备忘录》的通知</w:t>
      </w:r>
      <w:r>
        <w:rPr>
          <w:rFonts w:hint="eastAsia"/>
          <w:color w:val="auto"/>
          <w:highlight w:val="none"/>
          <w:u w:val="none"/>
          <w:lang w:val="en-US" w:eastAsia="zh-CN"/>
        </w:rPr>
        <w:t>(</w:t>
      </w:r>
      <w:r>
        <w:rPr>
          <w:rFonts w:hint="eastAsia" w:ascii="宋体" w:hAnsi="宋体" w:eastAsia="宋体"/>
          <w:color w:val="auto"/>
          <w:highlight w:val="none"/>
          <w:u w:val="none"/>
          <w:lang w:val="en-US" w:eastAsia="zh-CN"/>
        </w:rPr>
        <w:t>发改财金〔2018〕1614号</w:t>
      </w:r>
      <w:r>
        <w:rPr>
          <w:rFonts w:hint="eastAsia"/>
          <w:color w:val="auto"/>
          <w:highlight w:val="none"/>
          <w:u w:val="none"/>
          <w:lang w:val="en-US" w:eastAsia="zh-CN"/>
        </w:rPr>
        <w:t>)</w:t>
      </w:r>
      <w:r>
        <w:rPr>
          <w:rFonts w:hint="eastAsia" w:ascii="宋体" w:hAnsi="宋体" w:eastAsia="宋体"/>
          <w:color w:val="auto"/>
          <w:highlight w:val="none"/>
          <w:u w:val="none"/>
          <w:lang w:val="en-US" w:eastAsia="zh-CN"/>
        </w:rPr>
        <w:t>、</w:t>
      </w:r>
      <w:r>
        <w:rPr>
          <w:rFonts w:hint="eastAsia" w:ascii="宋体" w:hAnsi="宋体" w:eastAsia="宋体" w:cstheme="minorBidi"/>
          <w:i w:val="0"/>
          <w:iCs w:val="0"/>
          <w:caps w:val="0"/>
          <w:color w:val="auto"/>
          <w:spacing w:val="0"/>
          <w:sz w:val="24"/>
          <w:szCs w:val="24"/>
          <w:highlight w:val="none"/>
          <w:u w:val="none"/>
          <w:shd w:val="clear"/>
        </w:rPr>
        <w:fldChar w:fldCharType="begin"/>
      </w:r>
      <w:r>
        <w:rPr>
          <w:rFonts w:hint="eastAsia" w:ascii="宋体" w:hAnsi="宋体" w:eastAsia="宋体" w:cstheme="minorBidi"/>
          <w:i w:val="0"/>
          <w:iCs w:val="0"/>
          <w:caps w:val="0"/>
          <w:color w:val="auto"/>
          <w:spacing w:val="0"/>
          <w:sz w:val="24"/>
          <w:szCs w:val="24"/>
          <w:highlight w:val="none"/>
          <w:u w:val="none"/>
          <w:shd w:val="clear"/>
        </w:rPr>
        <w:instrText xml:space="preserve"> HYPERLINK "http://fgw.sc.gov.cn/sfgwsjd/c100029/2019/10/15/5344a76ba0804c13be19f2313f85bf8f.shtml" \o "《四川省公共资源交易领域严重失信联合惩戒实施办法》政策解读" \t "http://fgw.sc.gov.cn/sfgwsjd/c100029/2019/10/15/_blank" </w:instrText>
      </w:r>
      <w:r>
        <w:rPr>
          <w:rFonts w:hint="eastAsia" w:ascii="宋体" w:hAnsi="宋体" w:eastAsia="宋体" w:cstheme="minorBidi"/>
          <w:i w:val="0"/>
          <w:iCs w:val="0"/>
          <w:caps w:val="0"/>
          <w:color w:val="auto"/>
          <w:spacing w:val="0"/>
          <w:sz w:val="24"/>
          <w:szCs w:val="24"/>
          <w:highlight w:val="none"/>
          <w:u w:val="none"/>
          <w:shd w:val="clear"/>
        </w:rPr>
        <w:fldChar w:fldCharType="separate"/>
      </w:r>
      <w:r>
        <w:rPr>
          <w:rFonts w:hint="eastAsia" w:ascii="宋体" w:hAnsi="宋体" w:eastAsia="宋体" w:cstheme="minorBidi"/>
          <w:i w:val="0"/>
          <w:iCs w:val="0"/>
          <w:caps w:val="0"/>
          <w:color w:val="auto"/>
          <w:spacing w:val="0"/>
          <w:sz w:val="24"/>
          <w:szCs w:val="24"/>
          <w:highlight w:val="none"/>
          <w:u w:val="none"/>
          <w:shd w:val="clear"/>
        </w:rPr>
        <w:t>《四川省公共资源交易领域严重失信联合惩戒实施办法》</w:t>
      </w:r>
      <w:r>
        <w:rPr>
          <w:rFonts w:hint="eastAsia" w:ascii="宋体" w:hAnsi="宋体" w:eastAsia="宋体" w:cstheme="minorBidi"/>
          <w:i w:val="0"/>
          <w:iCs w:val="0"/>
          <w:caps w:val="0"/>
          <w:color w:val="auto"/>
          <w:spacing w:val="0"/>
          <w:sz w:val="24"/>
          <w:szCs w:val="24"/>
          <w:highlight w:val="none"/>
          <w:u w:val="none"/>
          <w:shd w:val="clear"/>
        </w:rPr>
        <w:fldChar w:fldCharType="end"/>
      </w:r>
      <w:r>
        <w:rPr>
          <w:rFonts w:hint="eastAsia" w:cstheme="minorBidi"/>
          <w:i w:val="0"/>
          <w:iCs w:val="0"/>
          <w:caps w:val="0"/>
          <w:color w:val="auto"/>
          <w:spacing w:val="0"/>
          <w:sz w:val="24"/>
          <w:szCs w:val="24"/>
          <w:highlight w:val="none"/>
          <w:u w:val="none"/>
          <w:shd w:val="clear"/>
          <w:lang w:eastAsia="zh-CN"/>
        </w:rPr>
        <w:t>(</w:t>
      </w:r>
      <w:r>
        <w:rPr>
          <w:rFonts w:hint="eastAsia" w:ascii="宋体" w:hAnsi="宋体" w:eastAsia="宋体" w:cstheme="minorBidi"/>
          <w:i w:val="0"/>
          <w:iCs w:val="0"/>
          <w:caps w:val="0"/>
          <w:color w:val="auto"/>
          <w:spacing w:val="0"/>
          <w:sz w:val="24"/>
          <w:szCs w:val="24"/>
          <w:highlight w:val="none"/>
          <w:u w:val="none"/>
          <w:shd w:val="clear"/>
        </w:rPr>
        <w:t>川发改信用规〔2019〕405号</w:t>
      </w:r>
      <w:r>
        <w:rPr>
          <w:rFonts w:hint="eastAsia" w:cstheme="minorBidi"/>
          <w:i w:val="0"/>
          <w:iCs w:val="0"/>
          <w:caps w:val="0"/>
          <w:color w:val="auto"/>
          <w:spacing w:val="0"/>
          <w:sz w:val="24"/>
          <w:szCs w:val="24"/>
          <w:highlight w:val="none"/>
          <w:u w:val="none"/>
          <w:shd w:val="clear"/>
          <w:lang w:eastAsia="zh-CN"/>
        </w:rPr>
        <w:t>)</w:t>
      </w:r>
      <w:r>
        <w:rPr>
          <w:rFonts w:hint="eastAsia" w:ascii="宋体" w:hAnsi="宋体" w:eastAsia="宋体" w:cstheme="minorBidi"/>
          <w:i w:val="0"/>
          <w:iCs w:val="0"/>
          <w:caps w:val="0"/>
          <w:color w:val="auto"/>
          <w:spacing w:val="0"/>
          <w:sz w:val="24"/>
          <w:szCs w:val="24"/>
          <w:highlight w:val="none"/>
          <w:u w:val="none"/>
          <w:shd w:val="clear"/>
          <w:lang w:val="en-US" w:eastAsia="zh-CN"/>
        </w:rPr>
        <w:t>规定的记入诚信档案的严重失信行为。如有，请如实列举：1.2.3.</w:t>
      </w:r>
      <w:r>
        <w:rPr>
          <w:rFonts w:hint="eastAsia" w:ascii="微软雅黑" w:hAnsi="微软雅黑" w:eastAsia="微软雅黑" w:cs="微软雅黑"/>
          <w:i w:val="0"/>
          <w:iCs w:val="0"/>
          <w:caps w:val="0"/>
          <w:color w:val="auto"/>
          <w:spacing w:val="0"/>
          <w:sz w:val="24"/>
          <w:szCs w:val="24"/>
          <w:highlight w:val="none"/>
          <w:u w:val="none"/>
          <w:shd w:val="clear"/>
          <w:lang w:val="en-US" w:eastAsia="zh-CN"/>
        </w:rPr>
        <w:t>……。</w:t>
      </w:r>
    </w:p>
    <w:p>
      <w:pPr>
        <w:pStyle w:val="35"/>
        <w:keepNext w:val="0"/>
        <w:keepLines w:val="0"/>
        <w:pageBreakBefore w:val="0"/>
        <w:widowControl w:val="0"/>
        <w:numPr>
          <w:ilvl w:val="2"/>
          <w:numId w:val="0"/>
        </w:numPr>
        <w:kinsoku/>
        <w:wordWrap w:val="0"/>
        <w:overflowPunct/>
        <w:topLinePunct/>
        <w:autoSpaceDE/>
        <w:autoSpaceDN/>
        <w:bidi w:val="0"/>
        <w:adjustRightInd w:val="0"/>
        <w:snapToGrid w:val="0"/>
        <w:spacing w:line="520" w:lineRule="exact"/>
        <w:ind w:firstLine="480" w:firstLineChars="200"/>
        <w:textAlignment w:val="auto"/>
        <w:rPr>
          <w:rFonts w:hint="eastAsia"/>
          <w:color w:val="auto"/>
          <w:highlight w:val="none"/>
        </w:rPr>
      </w:pPr>
      <w:r>
        <w:rPr>
          <w:rFonts w:hint="eastAsia"/>
          <w:color w:val="auto"/>
          <w:highlight w:val="none"/>
          <w:lang w:val="en-US" w:eastAsia="zh-CN"/>
        </w:rPr>
        <w:t>8.我方如对招标文件有异议，已经在投标</w:t>
      </w:r>
      <w:r>
        <w:rPr>
          <w:rFonts w:hint="eastAsia"/>
          <w:color w:val="auto"/>
          <w:highlight w:val="none"/>
        </w:rPr>
        <w:t>截止时间届满前依法进行维权救济，不存在对</w:t>
      </w:r>
      <w:r>
        <w:rPr>
          <w:rFonts w:hint="eastAsia"/>
          <w:color w:val="auto"/>
          <w:highlight w:val="none"/>
          <w:lang w:val="en-US" w:eastAsia="zh-CN"/>
        </w:rPr>
        <w:t>招标</w:t>
      </w:r>
      <w:r>
        <w:rPr>
          <w:rFonts w:hint="eastAsia"/>
          <w:color w:val="auto"/>
          <w:highlight w:val="none"/>
          <w:lang w:eastAsia="zh-CN"/>
        </w:rPr>
        <w:t>文件</w:t>
      </w:r>
      <w:r>
        <w:rPr>
          <w:rFonts w:hint="eastAsia"/>
          <w:color w:val="auto"/>
          <w:highlight w:val="none"/>
        </w:rPr>
        <w:t>有异议的同时又参加</w:t>
      </w:r>
      <w:r>
        <w:rPr>
          <w:rFonts w:hint="eastAsia"/>
          <w:color w:val="auto"/>
          <w:highlight w:val="none"/>
          <w:lang w:val="en-US" w:eastAsia="zh-CN"/>
        </w:rPr>
        <w:t>投标</w:t>
      </w:r>
      <w:r>
        <w:rPr>
          <w:rFonts w:hint="eastAsia"/>
          <w:color w:val="auto"/>
          <w:highlight w:val="none"/>
        </w:rPr>
        <w:t>以求侥幸</w:t>
      </w:r>
      <w:r>
        <w:rPr>
          <w:rFonts w:hint="eastAsia"/>
          <w:color w:val="auto"/>
          <w:highlight w:val="none"/>
          <w:lang w:val="en-US" w:eastAsia="zh-CN"/>
        </w:rPr>
        <w:t>中标</w:t>
      </w:r>
      <w:r>
        <w:rPr>
          <w:rFonts w:hint="eastAsia"/>
          <w:color w:val="auto"/>
          <w:highlight w:val="none"/>
        </w:rPr>
        <w:t>或者为实现其他非法目的的行为。</w:t>
      </w:r>
    </w:p>
    <w:p>
      <w:pPr>
        <w:pStyle w:val="42"/>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p>
    <w:p>
      <w:pPr>
        <w:pStyle w:val="42"/>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(盖章)</w:t>
      </w:r>
    </w:p>
    <w:p>
      <w:pPr>
        <w:pStyle w:val="42"/>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42"/>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邮政编码：</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pStyle w:val="42"/>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lang w:val="en-US" w:eastAsia="zh-CN"/>
        </w:rPr>
        <w:t>联系人：</w:t>
      </w:r>
      <w:r>
        <w:rPr>
          <w:rFonts w:hint="eastAsia" w:cs="宋体"/>
          <w:bCs/>
          <w:color w:val="auto"/>
          <w:highlight w:val="none"/>
          <w:u w:val="single"/>
        </w:rPr>
        <w:t xml:space="preserve">          </w:t>
      </w:r>
      <w:r>
        <w:rPr>
          <w:rFonts w:hint="eastAsia" w:cs="宋体"/>
          <w:bCs/>
          <w:color w:val="auto"/>
          <w:highlight w:val="none"/>
          <w:u w:val="single"/>
          <w:lang w:val="en-US" w:eastAsia="zh-CN"/>
        </w:rPr>
        <w:t xml:space="preserve">  </w:t>
      </w:r>
      <w:r>
        <w:rPr>
          <w:rFonts w:hint="eastAsia" w:cs="宋体"/>
          <w:bCs/>
          <w:color w:val="auto"/>
          <w:highlight w:val="none"/>
          <w:u w:val="single"/>
        </w:rPr>
        <w:t xml:space="preserve">     </w:t>
      </w:r>
    </w:p>
    <w:p>
      <w:pPr>
        <w:pStyle w:val="42"/>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联系电话：</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pStyle w:val="42"/>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投标日期：</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rPr>
          <w:rFonts w:hint="eastAsia"/>
          <w:color w:val="auto"/>
          <w:highlight w:val="none"/>
        </w:rPr>
      </w:pPr>
      <w:r>
        <w:rPr>
          <w:rFonts w:hint="eastAsia"/>
          <w:color w:val="auto"/>
          <w:highlight w:val="none"/>
        </w:rPr>
        <w:br w:type="page"/>
      </w:r>
    </w:p>
    <w:p>
      <w:pPr>
        <w:pStyle w:val="44"/>
        <w:numPr>
          <w:ilvl w:val="0"/>
          <w:numId w:val="23"/>
        </w:numPr>
        <w:bidi w:val="0"/>
        <w:ind w:left="0" w:leftChars="0" w:firstLine="0" w:firstLineChars="0"/>
        <w:rPr>
          <w:rFonts w:hint="eastAsia"/>
          <w:color w:val="auto"/>
          <w:highlight w:val="none"/>
          <w:lang w:val="en-US" w:eastAsia="zh-CN"/>
        </w:rPr>
      </w:pPr>
      <w:bookmarkStart w:id="962" w:name="_Toc20318"/>
      <w:bookmarkStart w:id="963" w:name="_Toc11208"/>
      <w:r>
        <w:rPr>
          <w:rFonts w:hint="eastAsia"/>
          <w:color w:val="auto"/>
          <w:highlight w:val="none"/>
          <w:lang w:val="en-US" w:eastAsia="zh-CN"/>
        </w:rPr>
        <w:t>实质性要求承诺</w:t>
      </w:r>
      <w:bookmarkEnd w:id="962"/>
      <w:bookmarkEnd w:id="963"/>
    </w:p>
    <w:p>
      <w:pPr>
        <w:pStyle w:val="42"/>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highlight w:val="none"/>
        </w:rPr>
      </w:pPr>
      <w:r>
        <w:rPr>
          <w:rFonts w:hint="eastAsia"/>
          <w:color w:val="auto"/>
          <w:highlight w:val="none"/>
          <w:u w:val="single"/>
        </w:rPr>
        <w:t xml:space="preserve">                   </w:t>
      </w:r>
      <w:r>
        <w:rPr>
          <w:rFonts w:hint="eastAsia"/>
          <w:color w:val="auto"/>
          <w:highlight w:val="none"/>
          <w:lang w:eastAsia="zh-CN"/>
        </w:rPr>
        <w:t>(</w:t>
      </w:r>
      <w:r>
        <w:rPr>
          <w:rFonts w:hint="eastAsia"/>
          <w:color w:val="auto"/>
          <w:highlight w:val="none"/>
        </w:rPr>
        <w:t>采购代理机构名称</w:t>
      </w:r>
      <w:r>
        <w:rPr>
          <w:rFonts w:hint="eastAsia"/>
          <w:color w:val="auto"/>
          <w:highlight w:val="none"/>
          <w:lang w:eastAsia="zh-CN"/>
        </w:rPr>
        <w:t>)</w:t>
      </w:r>
      <w:r>
        <w:rPr>
          <w:rFonts w:hint="eastAsia"/>
          <w:color w:val="auto"/>
          <w:highlight w:val="none"/>
        </w:rPr>
        <w:t>：</w:t>
      </w:r>
    </w:p>
    <w:p>
      <w:pPr>
        <w:pStyle w:val="46"/>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highlight w:val="none"/>
        </w:rPr>
      </w:pPr>
      <w:r>
        <w:rPr>
          <w:rFonts w:hint="eastAsia"/>
          <w:color w:val="auto"/>
          <w:highlight w:val="none"/>
        </w:rPr>
        <w:t>我</w:t>
      </w:r>
      <w:r>
        <w:rPr>
          <w:rFonts w:hint="eastAsia"/>
          <w:color w:val="auto"/>
          <w:highlight w:val="none"/>
          <w:lang w:val="en-US" w:eastAsia="zh-CN"/>
        </w:rPr>
        <w:t>方</w:t>
      </w:r>
      <w:r>
        <w:rPr>
          <w:rFonts w:hint="eastAsia"/>
          <w:color w:val="auto"/>
          <w:highlight w:val="none"/>
        </w:rPr>
        <w:t>作为本次采购项目的</w:t>
      </w:r>
      <w:r>
        <w:rPr>
          <w:rFonts w:hint="eastAsia"/>
          <w:color w:val="auto"/>
          <w:highlight w:val="none"/>
          <w:lang w:val="en-US" w:eastAsia="zh-CN"/>
        </w:rPr>
        <w:t>投标人</w:t>
      </w:r>
      <w:r>
        <w:rPr>
          <w:rFonts w:hint="eastAsia"/>
          <w:color w:val="auto"/>
          <w:highlight w:val="none"/>
        </w:rPr>
        <w:t>，根据</w:t>
      </w:r>
      <w:r>
        <w:rPr>
          <w:rFonts w:hint="eastAsia"/>
          <w:color w:val="auto"/>
          <w:highlight w:val="none"/>
          <w:lang w:val="en-US" w:eastAsia="zh-CN"/>
        </w:rPr>
        <w:t>招标</w:t>
      </w:r>
      <w:r>
        <w:rPr>
          <w:rFonts w:hint="eastAsia"/>
          <w:color w:val="auto"/>
          <w:highlight w:val="none"/>
          <w:lang w:eastAsia="zh-CN"/>
        </w:rPr>
        <w:t>文件</w:t>
      </w:r>
      <w:r>
        <w:rPr>
          <w:rFonts w:hint="eastAsia"/>
          <w:color w:val="auto"/>
          <w:highlight w:val="none"/>
        </w:rPr>
        <w:t>要求，现郑重承诺及声明如下：</w:t>
      </w:r>
    </w:p>
    <w:p>
      <w:pPr>
        <w:pStyle w:val="35"/>
        <w:keepNext w:val="0"/>
        <w:keepLines w:val="0"/>
        <w:pageBreakBefore w:val="0"/>
        <w:widowControl w:val="0"/>
        <w:numPr>
          <w:ilvl w:val="2"/>
          <w:numId w:val="25"/>
        </w:numPr>
        <w:kinsoku/>
        <w:wordWrap w:val="0"/>
        <w:overflowPunct/>
        <w:topLinePunct/>
        <w:autoSpaceDE/>
        <w:autoSpaceDN/>
        <w:bidi w:val="0"/>
        <w:adjustRightInd w:val="0"/>
        <w:snapToGrid w:val="0"/>
        <w:spacing w:line="520" w:lineRule="exact"/>
        <w:textAlignment w:val="auto"/>
        <w:rPr>
          <w:rFonts w:hint="eastAsia"/>
          <w:color w:val="auto"/>
          <w:highlight w:val="none"/>
        </w:rPr>
      </w:pPr>
      <w:r>
        <w:rPr>
          <w:rFonts w:hint="eastAsia"/>
          <w:color w:val="auto"/>
          <w:highlight w:val="none"/>
        </w:rPr>
        <w:t>我方已认真阅读并接受本项目</w:t>
      </w:r>
      <w:r>
        <w:rPr>
          <w:rFonts w:hint="eastAsia"/>
          <w:color w:val="auto"/>
          <w:highlight w:val="none"/>
          <w:lang w:val="en-US" w:eastAsia="zh-CN"/>
        </w:rPr>
        <w:t>采购文件</w:t>
      </w:r>
      <w:r>
        <w:rPr>
          <w:rFonts w:hint="eastAsia"/>
          <w:color w:val="auto"/>
          <w:highlight w:val="none"/>
        </w:rPr>
        <w:t>的全部实质性要求</w:t>
      </w:r>
      <w:r>
        <w:rPr>
          <w:rFonts w:hint="eastAsia"/>
          <w:color w:val="auto"/>
          <w:highlight w:val="none"/>
          <w:lang w:val="en-US" w:eastAsia="zh-CN"/>
        </w:rPr>
        <w:t>(招标文件中</w:t>
      </w:r>
      <w:r>
        <w:rPr>
          <w:rFonts w:hint="eastAsia"/>
          <w:color w:val="auto"/>
          <w:highlight w:val="none"/>
        </w:rPr>
        <w:t>明确要求</w:t>
      </w:r>
      <w:r>
        <w:rPr>
          <w:rFonts w:hint="eastAsia"/>
          <w:color w:val="auto"/>
          <w:highlight w:val="none"/>
          <w:lang w:val="en-US" w:eastAsia="zh-CN"/>
        </w:rPr>
        <w:t>需在投标时</w:t>
      </w:r>
      <w:r>
        <w:rPr>
          <w:rFonts w:hint="eastAsia"/>
          <w:color w:val="auto"/>
          <w:highlight w:val="none"/>
        </w:rPr>
        <w:t>提供承诺函</w:t>
      </w:r>
      <w:r>
        <w:rPr>
          <w:rFonts w:hint="eastAsia"/>
          <w:color w:val="auto"/>
          <w:highlight w:val="none"/>
          <w:lang w:val="en-US" w:eastAsia="zh-CN"/>
        </w:rPr>
        <w:t>或具体</w:t>
      </w:r>
      <w:r>
        <w:rPr>
          <w:rFonts w:hint="eastAsia"/>
          <w:color w:val="auto"/>
          <w:highlight w:val="none"/>
        </w:rPr>
        <w:t>证明材料</w:t>
      </w:r>
      <w:r>
        <w:rPr>
          <w:rFonts w:hint="eastAsia"/>
          <w:color w:val="auto"/>
          <w:highlight w:val="none"/>
          <w:lang w:val="en-US" w:eastAsia="zh-CN"/>
        </w:rPr>
        <w:t>进行响应的</w:t>
      </w:r>
      <w:r>
        <w:rPr>
          <w:rFonts w:hint="eastAsia"/>
          <w:color w:val="auto"/>
          <w:highlight w:val="none"/>
        </w:rPr>
        <w:t>实质性</w:t>
      </w:r>
      <w:r>
        <w:rPr>
          <w:rFonts w:hint="eastAsia"/>
          <w:color w:val="auto"/>
          <w:highlight w:val="none"/>
          <w:lang w:val="en-US" w:eastAsia="zh-CN"/>
        </w:rPr>
        <w:t>要求</w:t>
      </w:r>
      <w:r>
        <w:rPr>
          <w:rFonts w:hint="eastAsia"/>
          <w:color w:val="auto"/>
          <w:highlight w:val="none"/>
        </w:rPr>
        <w:t>除外</w:t>
      </w:r>
      <w:r>
        <w:rPr>
          <w:rFonts w:hint="eastAsia"/>
          <w:color w:val="auto"/>
          <w:highlight w:val="none"/>
          <w:lang w:val="en-US" w:eastAsia="zh-CN"/>
        </w:rPr>
        <w:t>)</w:t>
      </w:r>
      <w:r>
        <w:rPr>
          <w:rFonts w:hint="eastAsia"/>
          <w:color w:val="auto"/>
          <w:highlight w:val="none"/>
          <w:lang w:eastAsia="zh-CN"/>
        </w:rPr>
        <w:t>。</w:t>
      </w:r>
    </w:p>
    <w:p>
      <w:pPr>
        <w:pStyle w:val="35"/>
        <w:keepNext w:val="0"/>
        <w:keepLines w:val="0"/>
        <w:pageBreakBefore w:val="0"/>
        <w:widowControl w:val="0"/>
        <w:numPr>
          <w:ilvl w:val="2"/>
          <w:numId w:val="25"/>
        </w:numPr>
        <w:kinsoku/>
        <w:wordWrap w:val="0"/>
        <w:overflowPunct/>
        <w:topLinePunct/>
        <w:autoSpaceDE/>
        <w:autoSpaceDN/>
        <w:bidi w:val="0"/>
        <w:adjustRightInd w:val="0"/>
        <w:snapToGrid w:val="0"/>
        <w:spacing w:line="520" w:lineRule="exact"/>
        <w:textAlignment w:val="auto"/>
        <w:rPr>
          <w:rFonts w:hint="eastAsia"/>
          <w:color w:val="auto"/>
          <w:highlight w:val="none"/>
        </w:rPr>
      </w:pPr>
      <w:r>
        <w:rPr>
          <w:rFonts w:hint="eastAsia"/>
          <w:color w:val="auto"/>
          <w:highlight w:val="none"/>
          <w:lang w:val="en-US" w:eastAsia="zh-CN"/>
        </w:rPr>
        <w:t>我方</w:t>
      </w:r>
      <w:r>
        <w:rPr>
          <w:rFonts w:hint="eastAsia"/>
          <w:color w:val="auto"/>
          <w:highlight w:val="none"/>
        </w:rPr>
        <w:t>参加本次采购活动，不存在与单位负责人为同一人或者存在直接控股、管理关系的其他供应商参与同一合同项下的</w:t>
      </w:r>
      <w:r>
        <w:rPr>
          <w:rFonts w:hint="eastAsia"/>
          <w:color w:val="auto"/>
          <w:highlight w:val="none"/>
          <w:lang w:eastAsia="zh-CN"/>
        </w:rPr>
        <w:t>采购</w:t>
      </w:r>
      <w:r>
        <w:rPr>
          <w:rFonts w:hint="eastAsia"/>
          <w:color w:val="auto"/>
          <w:highlight w:val="none"/>
        </w:rPr>
        <w:t>活动的行为。</w:t>
      </w:r>
      <w:r>
        <w:rPr>
          <w:rFonts w:hint="eastAsia"/>
          <w:color w:val="auto"/>
          <w:sz w:val="24"/>
          <w:szCs w:val="24"/>
          <w:highlight w:val="none"/>
          <w:lang w:val="en-US" w:eastAsia="zh-CN"/>
        </w:rPr>
        <w:t>与我方</w:t>
      </w:r>
      <w:r>
        <w:rPr>
          <w:rFonts w:hint="eastAsia"/>
          <w:color w:val="auto"/>
          <w:sz w:val="24"/>
          <w:szCs w:val="24"/>
          <w:highlight w:val="none"/>
        </w:rPr>
        <w:t>存在直接控股关系的</w:t>
      </w:r>
      <w:r>
        <w:rPr>
          <w:rFonts w:hint="eastAsia"/>
          <w:color w:val="auto"/>
          <w:sz w:val="24"/>
          <w:szCs w:val="24"/>
          <w:highlight w:val="none"/>
          <w:lang w:val="en-US" w:eastAsia="zh-CN"/>
        </w:rPr>
        <w:t>单位为：</w:t>
      </w:r>
      <w:r>
        <w:rPr>
          <w:rFonts w:hint="eastAsia"/>
          <w:color w:val="auto"/>
          <w:sz w:val="24"/>
          <w:szCs w:val="24"/>
          <w:highlight w:val="none"/>
          <w:u w:val="single"/>
          <w:lang w:val="en-US" w:eastAsia="zh-CN"/>
        </w:rPr>
        <w:t xml:space="preserve">                  </w:t>
      </w:r>
      <w:r>
        <w:rPr>
          <w:rFonts w:hint="eastAsia"/>
          <w:color w:val="auto"/>
          <w:sz w:val="24"/>
          <w:szCs w:val="24"/>
          <w:highlight w:val="none"/>
          <w:lang w:eastAsia="zh-CN"/>
        </w:rPr>
        <w:t>；</w:t>
      </w:r>
      <w:r>
        <w:rPr>
          <w:rFonts w:hint="eastAsia"/>
          <w:color w:val="auto"/>
          <w:sz w:val="24"/>
          <w:szCs w:val="24"/>
          <w:highlight w:val="none"/>
          <w:lang w:val="en-US" w:eastAsia="zh-CN"/>
        </w:rPr>
        <w:t>存在</w:t>
      </w:r>
      <w:r>
        <w:rPr>
          <w:rFonts w:hint="eastAsia"/>
          <w:color w:val="auto"/>
          <w:sz w:val="24"/>
          <w:szCs w:val="24"/>
          <w:highlight w:val="none"/>
        </w:rPr>
        <w:t>管理关系的</w:t>
      </w:r>
      <w:r>
        <w:rPr>
          <w:rFonts w:hint="eastAsia"/>
          <w:color w:val="auto"/>
          <w:sz w:val="24"/>
          <w:szCs w:val="24"/>
          <w:highlight w:val="none"/>
          <w:lang w:val="en-US" w:eastAsia="zh-CN"/>
        </w:rPr>
        <w:t>单位为：</w:t>
      </w:r>
      <w:r>
        <w:rPr>
          <w:rFonts w:hint="eastAsia"/>
          <w:color w:val="auto"/>
          <w:sz w:val="24"/>
          <w:szCs w:val="24"/>
          <w:highlight w:val="none"/>
          <w:u w:val="single"/>
          <w:lang w:val="en-US" w:eastAsia="zh-CN"/>
        </w:rPr>
        <w:t xml:space="preserve">                      </w:t>
      </w:r>
      <w:r>
        <w:rPr>
          <w:rFonts w:hint="eastAsia"/>
          <w:color w:val="auto"/>
          <w:sz w:val="24"/>
          <w:szCs w:val="24"/>
          <w:highlight w:val="none"/>
          <w:u w:val="none"/>
          <w:lang w:val="en-US" w:eastAsia="zh-CN"/>
        </w:rPr>
        <w:t>。(如不存在</w:t>
      </w:r>
      <w:r>
        <w:rPr>
          <w:rFonts w:hint="eastAsia"/>
          <w:color w:val="auto"/>
          <w:sz w:val="24"/>
          <w:szCs w:val="24"/>
          <w:highlight w:val="none"/>
        </w:rPr>
        <w:t>直接控股、管理关系的相关供应商</w:t>
      </w:r>
      <w:r>
        <w:rPr>
          <w:rFonts w:hint="eastAsia"/>
          <w:color w:val="auto"/>
          <w:sz w:val="24"/>
          <w:szCs w:val="24"/>
          <w:highlight w:val="none"/>
          <w:lang w:val="en-US" w:eastAsia="zh-CN"/>
        </w:rPr>
        <w:t>填“无”</w:t>
      </w:r>
      <w:r>
        <w:rPr>
          <w:rFonts w:hint="eastAsia"/>
          <w:color w:val="auto"/>
          <w:sz w:val="24"/>
          <w:szCs w:val="24"/>
          <w:highlight w:val="none"/>
          <w:u w:val="none"/>
          <w:lang w:val="en-US" w:eastAsia="zh-CN"/>
        </w:rPr>
        <w:t>)。</w:t>
      </w:r>
    </w:p>
    <w:p>
      <w:pPr>
        <w:pStyle w:val="35"/>
        <w:keepNext w:val="0"/>
        <w:keepLines w:val="0"/>
        <w:pageBreakBefore w:val="0"/>
        <w:widowControl w:val="0"/>
        <w:numPr>
          <w:ilvl w:val="2"/>
          <w:numId w:val="25"/>
        </w:numPr>
        <w:kinsoku/>
        <w:wordWrap w:val="0"/>
        <w:overflowPunct/>
        <w:topLinePunct/>
        <w:autoSpaceDE/>
        <w:autoSpaceDN/>
        <w:bidi w:val="0"/>
        <w:adjustRightInd w:val="0"/>
        <w:snapToGrid w:val="0"/>
        <w:spacing w:line="520" w:lineRule="exact"/>
        <w:textAlignment w:val="auto"/>
        <w:rPr>
          <w:rFonts w:hint="eastAsia"/>
          <w:color w:val="auto"/>
          <w:highlight w:val="none"/>
        </w:rPr>
      </w:pPr>
      <w:r>
        <w:rPr>
          <w:rFonts w:hint="eastAsia"/>
          <w:color w:val="auto"/>
          <w:highlight w:val="none"/>
          <w:lang w:val="en-US" w:eastAsia="zh-CN"/>
        </w:rPr>
        <w:t>我方</w:t>
      </w:r>
      <w:r>
        <w:rPr>
          <w:rFonts w:hint="eastAsia"/>
          <w:color w:val="auto"/>
          <w:highlight w:val="none"/>
        </w:rPr>
        <w:t>参加本次采购活动前本单位未对本次采购项目提供过整体设计、规范编制或者项目管理、监理、检测等服务。</w:t>
      </w:r>
    </w:p>
    <w:p>
      <w:pPr>
        <w:pStyle w:val="35"/>
        <w:keepNext w:val="0"/>
        <w:keepLines w:val="0"/>
        <w:pageBreakBefore w:val="0"/>
        <w:widowControl w:val="0"/>
        <w:numPr>
          <w:ilvl w:val="2"/>
          <w:numId w:val="25"/>
        </w:numPr>
        <w:kinsoku/>
        <w:wordWrap w:val="0"/>
        <w:overflowPunct/>
        <w:topLinePunct/>
        <w:autoSpaceDE/>
        <w:autoSpaceDN/>
        <w:bidi w:val="0"/>
        <w:adjustRightInd w:val="0"/>
        <w:snapToGrid w:val="0"/>
        <w:spacing w:line="520" w:lineRule="exact"/>
        <w:textAlignment w:val="auto"/>
        <w:rPr>
          <w:rFonts w:hint="eastAsia"/>
          <w:color w:val="auto"/>
          <w:highlight w:val="none"/>
          <w:lang w:val="en-US"/>
        </w:rPr>
      </w:pPr>
      <w:r>
        <w:rPr>
          <w:rFonts w:hint="eastAsia"/>
          <w:color w:val="auto"/>
          <w:highlight w:val="none"/>
          <w:lang w:val="en-US" w:eastAsia="zh-CN"/>
        </w:rPr>
        <w:t>我方</w:t>
      </w:r>
      <w:r>
        <w:rPr>
          <w:rFonts w:hint="eastAsia"/>
          <w:color w:val="auto"/>
          <w:highlight w:val="none"/>
        </w:rPr>
        <w:t>参加本次采购活动，</w:t>
      </w:r>
      <w:r>
        <w:rPr>
          <w:rFonts w:hint="eastAsia"/>
          <w:color w:val="auto"/>
          <w:highlight w:val="none"/>
          <w:lang w:val="en-US" w:eastAsia="zh-CN"/>
        </w:rPr>
        <w:t>不存在我单位实际控制人或者中高级管理人员是本项目采购代理机构的工作人员的情形。</w:t>
      </w:r>
    </w:p>
    <w:p>
      <w:pPr>
        <w:pStyle w:val="35"/>
        <w:keepNext w:val="0"/>
        <w:keepLines w:val="0"/>
        <w:pageBreakBefore w:val="0"/>
        <w:widowControl w:val="0"/>
        <w:numPr>
          <w:ilvl w:val="2"/>
          <w:numId w:val="25"/>
        </w:numPr>
        <w:kinsoku/>
        <w:wordWrap w:val="0"/>
        <w:overflowPunct/>
        <w:topLinePunct/>
        <w:autoSpaceDE/>
        <w:autoSpaceDN/>
        <w:bidi w:val="0"/>
        <w:adjustRightInd w:val="0"/>
        <w:snapToGrid w:val="0"/>
        <w:spacing w:line="520" w:lineRule="exact"/>
        <w:textAlignment w:val="auto"/>
        <w:rPr>
          <w:rFonts w:hint="eastAsia"/>
          <w:color w:val="auto"/>
          <w:highlight w:val="none"/>
          <w:lang w:eastAsia="zh-CN"/>
        </w:rPr>
      </w:pPr>
      <w:r>
        <w:rPr>
          <w:rFonts w:hint="eastAsia"/>
          <w:color w:val="auto"/>
          <w:highlight w:val="none"/>
          <w:lang w:val="en-US" w:eastAsia="zh-CN"/>
        </w:rPr>
        <w:t>我方</w:t>
      </w:r>
      <w:r>
        <w:rPr>
          <w:rFonts w:hint="eastAsia"/>
          <w:color w:val="auto"/>
          <w:highlight w:val="none"/>
        </w:rPr>
        <w:t>参加本次采购活动，</w:t>
      </w:r>
      <w:r>
        <w:rPr>
          <w:rFonts w:hint="eastAsia"/>
          <w:color w:val="auto"/>
          <w:highlight w:val="none"/>
          <w:lang w:val="en-US" w:eastAsia="zh-CN"/>
        </w:rPr>
        <w:t>不存在</w:t>
      </w:r>
      <w:r>
        <w:rPr>
          <w:rFonts w:hint="eastAsia"/>
          <w:color w:val="auto"/>
          <w:highlight w:val="none"/>
        </w:rPr>
        <w:t>同一母公司的两家以上的子公司以不同供应商身份同时参加本项目同一合同项下的采购活动</w:t>
      </w:r>
      <w:r>
        <w:rPr>
          <w:rFonts w:hint="eastAsia"/>
          <w:color w:val="auto"/>
          <w:highlight w:val="none"/>
          <w:lang w:val="en-US" w:eastAsia="zh-CN"/>
        </w:rPr>
        <w:t>的情形</w:t>
      </w:r>
      <w:r>
        <w:rPr>
          <w:rFonts w:hint="eastAsia"/>
          <w:color w:val="auto"/>
          <w:highlight w:val="none"/>
          <w:lang w:eastAsia="zh-CN"/>
        </w:rPr>
        <w:t>。</w:t>
      </w:r>
    </w:p>
    <w:p>
      <w:pPr>
        <w:pStyle w:val="35"/>
        <w:keepNext w:val="0"/>
        <w:keepLines w:val="0"/>
        <w:pageBreakBefore w:val="0"/>
        <w:widowControl w:val="0"/>
        <w:numPr>
          <w:ilvl w:val="2"/>
          <w:numId w:val="25"/>
        </w:numPr>
        <w:kinsoku/>
        <w:wordWrap w:val="0"/>
        <w:overflowPunct/>
        <w:topLinePunct/>
        <w:autoSpaceDE/>
        <w:autoSpaceDN/>
        <w:bidi w:val="0"/>
        <w:adjustRightInd w:val="0"/>
        <w:snapToGrid w:val="0"/>
        <w:spacing w:line="520" w:lineRule="exact"/>
        <w:textAlignment w:val="auto"/>
        <w:rPr>
          <w:rFonts w:hint="eastAsia"/>
          <w:color w:val="auto"/>
          <w:highlight w:val="none"/>
        </w:rPr>
      </w:pPr>
      <w:r>
        <w:rPr>
          <w:rFonts w:hint="eastAsia"/>
          <w:color w:val="auto"/>
          <w:highlight w:val="none"/>
          <w:lang w:val="en-US" w:eastAsia="zh-CN"/>
        </w:rPr>
        <w:t>我方</w:t>
      </w:r>
      <w:r>
        <w:rPr>
          <w:rFonts w:hint="eastAsia"/>
          <w:color w:val="auto"/>
          <w:highlight w:val="none"/>
        </w:rPr>
        <w:t>参加本次采购活动，</w:t>
      </w:r>
      <w:r>
        <w:rPr>
          <w:rFonts w:hint="eastAsia"/>
          <w:color w:val="auto"/>
          <w:highlight w:val="none"/>
          <w:lang w:val="en-US"/>
        </w:rPr>
        <w:t>与采购代理机构</w:t>
      </w:r>
      <w:r>
        <w:rPr>
          <w:rFonts w:hint="eastAsia"/>
          <w:color w:val="auto"/>
          <w:highlight w:val="none"/>
          <w:lang w:val="en-US" w:eastAsia="zh-CN"/>
        </w:rPr>
        <w:t>不</w:t>
      </w:r>
      <w:r>
        <w:rPr>
          <w:rFonts w:hint="eastAsia"/>
          <w:color w:val="auto"/>
          <w:highlight w:val="none"/>
          <w:lang w:val="en-US"/>
        </w:rPr>
        <w:t>存在关联关系，</w:t>
      </w:r>
      <w:r>
        <w:rPr>
          <w:rFonts w:hint="eastAsia"/>
          <w:color w:val="auto"/>
          <w:highlight w:val="none"/>
          <w:lang w:val="en-US" w:eastAsia="zh-CN"/>
        </w:rPr>
        <w:t>不为</w:t>
      </w:r>
      <w:r>
        <w:rPr>
          <w:rFonts w:hint="eastAsia"/>
          <w:color w:val="auto"/>
          <w:highlight w:val="none"/>
          <w:lang w:val="en-US"/>
        </w:rPr>
        <w:t>采购代理机构的母公司或子公司</w:t>
      </w:r>
      <w:r>
        <w:rPr>
          <w:rFonts w:hint="eastAsia"/>
          <w:color w:val="auto"/>
          <w:highlight w:val="none"/>
          <w:lang w:val="en-US" w:eastAsia="zh-CN"/>
        </w:rPr>
        <w:t>。</w:t>
      </w:r>
    </w:p>
    <w:p>
      <w:pPr>
        <w:pStyle w:val="35"/>
        <w:keepNext w:val="0"/>
        <w:keepLines w:val="0"/>
        <w:pageBreakBefore w:val="0"/>
        <w:widowControl w:val="0"/>
        <w:numPr>
          <w:ilvl w:val="2"/>
          <w:numId w:val="25"/>
        </w:numPr>
        <w:kinsoku/>
        <w:wordWrap w:val="0"/>
        <w:overflowPunct/>
        <w:topLinePunct/>
        <w:autoSpaceDE/>
        <w:autoSpaceDN/>
        <w:bidi w:val="0"/>
        <w:adjustRightInd w:val="0"/>
        <w:snapToGrid w:val="0"/>
        <w:spacing w:line="520" w:lineRule="exact"/>
        <w:textAlignment w:val="auto"/>
        <w:rPr>
          <w:rFonts w:hint="eastAsia"/>
          <w:color w:val="auto"/>
          <w:highlight w:val="none"/>
        </w:rPr>
      </w:pPr>
      <w:r>
        <w:rPr>
          <w:rFonts w:hint="eastAsia"/>
          <w:color w:val="auto"/>
          <w:highlight w:val="none"/>
          <w:lang w:val="en-US" w:eastAsia="zh-CN"/>
        </w:rPr>
        <w:t>我方</w:t>
      </w:r>
      <w:r>
        <w:rPr>
          <w:rFonts w:hint="eastAsia"/>
          <w:color w:val="auto"/>
          <w:highlight w:val="none"/>
        </w:rPr>
        <w:t>参加本次采购活动，不存在和其他供应商在同一合同项下的采购项目中，同时委托同一个自然人、同一家庭的人员、同一单位的人员作为代理人的行为。</w:t>
      </w:r>
    </w:p>
    <w:p>
      <w:pPr>
        <w:pStyle w:val="35"/>
        <w:keepNext w:val="0"/>
        <w:keepLines w:val="0"/>
        <w:pageBreakBefore w:val="0"/>
        <w:widowControl w:val="0"/>
        <w:numPr>
          <w:ilvl w:val="2"/>
          <w:numId w:val="25"/>
        </w:numPr>
        <w:kinsoku/>
        <w:wordWrap w:val="0"/>
        <w:overflowPunct/>
        <w:topLinePunct/>
        <w:autoSpaceDE/>
        <w:autoSpaceDN/>
        <w:bidi w:val="0"/>
        <w:adjustRightInd w:val="0"/>
        <w:snapToGrid w:val="0"/>
        <w:spacing w:line="520" w:lineRule="exact"/>
        <w:textAlignment w:val="auto"/>
        <w:rPr>
          <w:rFonts w:hint="eastAsia"/>
          <w:color w:val="auto"/>
          <w:highlight w:val="none"/>
        </w:rPr>
      </w:pPr>
      <w:r>
        <w:rPr>
          <w:rFonts w:hint="eastAsia"/>
          <w:color w:val="auto"/>
          <w:highlight w:val="none"/>
          <w:lang w:val="en-US" w:eastAsia="zh-CN"/>
        </w:rPr>
        <w:t>我方</w:t>
      </w:r>
      <w:r>
        <w:rPr>
          <w:rFonts w:hint="eastAsia"/>
          <w:color w:val="auto"/>
          <w:highlight w:val="none"/>
          <w:lang w:eastAsia="zh-CN"/>
        </w:rPr>
        <w:t>投标文件</w:t>
      </w:r>
      <w:r>
        <w:rPr>
          <w:rFonts w:hint="eastAsia"/>
          <w:color w:val="auto"/>
          <w:highlight w:val="none"/>
        </w:rPr>
        <w:t>中提供的任何资料和技术、服务、商务等响应承诺情况都是真实的、有效的、合法的。</w:t>
      </w:r>
    </w:p>
    <w:p>
      <w:pPr>
        <w:pStyle w:val="35"/>
        <w:keepNext w:val="0"/>
        <w:keepLines w:val="0"/>
        <w:pageBreakBefore w:val="0"/>
        <w:widowControl w:val="0"/>
        <w:numPr>
          <w:ilvl w:val="2"/>
          <w:numId w:val="25"/>
        </w:numPr>
        <w:kinsoku/>
        <w:wordWrap w:val="0"/>
        <w:overflowPunct/>
        <w:topLinePunct/>
        <w:autoSpaceDE/>
        <w:autoSpaceDN/>
        <w:bidi w:val="0"/>
        <w:adjustRightInd w:val="0"/>
        <w:snapToGrid w:val="0"/>
        <w:spacing w:line="520" w:lineRule="exact"/>
        <w:textAlignment w:val="auto"/>
        <w:rPr>
          <w:rFonts w:hint="eastAsia"/>
          <w:color w:val="auto"/>
          <w:highlight w:val="none"/>
        </w:rPr>
      </w:pPr>
      <w:r>
        <w:rPr>
          <w:rFonts w:hint="eastAsia"/>
          <w:color w:val="auto"/>
          <w:highlight w:val="none"/>
          <w:lang w:val="en-US" w:eastAsia="zh-CN"/>
        </w:rPr>
        <w:t>我方</w:t>
      </w:r>
      <w:r>
        <w:rPr>
          <w:rFonts w:hint="eastAsia"/>
          <w:color w:val="auto"/>
          <w:highlight w:val="none"/>
        </w:rPr>
        <w:t>参加本次采购活动，我方完全同意</w:t>
      </w:r>
      <w:r>
        <w:rPr>
          <w:rFonts w:hint="eastAsia"/>
          <w:color w:val="auto"/>
          <w:highlight w:val="none"/>
          <w:lang w:val="en-US" w:eastAsia="zh-CN"/>
        </w:rPr>
        <w:t>招标</w:t>
      </w:r>
      <w:r>
        <w:rPr>
          <w:rFonts w:hint="eastAsia"/>
          <w:color w:val="auto"/>
          <w:highlight w:val="none"/>
        </w:rPr>
        <w:t>文件</w:t>
      </w:r>
      <w:r>
        <w:rPr>
          <w:rFonts w:hint="eastAsia"/>
          <w:color w:val="auto"/>
          <w:highlight w:val="none"/>
          <w:lang w:val="en-US" w:eastAsia="zh-CN"/>
        </w:rPr>
        <w:t>中</w:t>
      </w:r>
      <w:r>
        <w:rPr>
          <w:rFonts w:hint="eastAsia"/>
          <w:color w:val="auto"/>
          <w:highlight w:val="none"/>
        </w:rPr>
        <w:t>关于“</w:t>
      </w:r>
      <w:r>
        <w:rPr>
          <w:rFonts w:hint="eastAsia"/>
          <w:color w:val="auto"/>
          <w:highlight w:val="none"/>
          <w:lang w:val="en-US" w:eastAsia="zh-CN"/>
        </w:rPr>
        <w:t>投标</w:t>
      </w:r>
      <w:r>
        <w:rPr>
          <w:rFonts w:hint="eastAsia"/>
          <w:color w:val="auto"/>
          <w:highlight w:val="none"/>
        </w:rPr>
        <w:t>费用”、“合同分包”、“合同转包”、</w:t>
      </w:r>
      <w:r>
        <w:rPr>
          <w:rFonts w:hint="eastAsia"/>
          <w:color w:val="auto"/>
          <w:highlight w:val="none"/>
          <w:lang w:eastAsia="zh-CN"/>
        </w:rPr>
        <w:t>“</w:t>
      </w:r>
      <w:r>
        <w:rPr>
          <w:rFonts w:hint="eastAsia"/>
          <w:color w:val="auto"/>
          <w:highlight w:val="none"/>
          <w:lang w:val="en-US" w:eastAsia="zh-CN"/>
        </w:rPr>
        <w:t>合同定价方式</w:t>
      </w:r>
      <w:r>
        <w:rPr>
          <w:rFonts w:hint="eastAsia"/>
          <w:color w:val="auto"/>
          <w:highlight w:val="none"/>
          <w:lang w:eastAsia="zh-CN"/>
        </w:rPr>
        <w:t>”、</w:t>
      </w:r>
      <w:r>
        <w:rPr>
          <w:rFonts w:hint="eastAsia"/>
          <w:color w:val="auto"/>
          <w:highlight w:val="none"/>
        </w:rPr>
        <w:t>“履约保证金”</w:t>
      </w:r>
      <w:r>
        <w:rPr>
          <w:rFonts w:hint="eastAsia"/>
          <w:color w:val="auto"/>
          <w:highlight w:val="none"/>
          <w:lang w:val="en-US" w:eastAsia="zh-CN"/>
        </w:rPr>
        <w:t>等</w:t>
      </w:r>
      <w:r>
        <w:rPr>
          <w:rFonts w:hint="eastAsia"/>
          <w:color w:val="auto"/>
          <w:highlight w:val="none"/>
        </w:rPr>
        <w:t>实质性要求，并承诺严格按照</w:t>
      </w:r>
      <w:r>
        <w:rPr>
          <w:rFonts w:hint="eastAsia"/>
          <w:color w:val="auto"/>
          <w:highlight w:val="none"/>
          <w:lang w:val="en-US" w:eastAsia="zh-CN"/>
        </w:rPr>
        <w:t>招标</w:t>
      </w:r>
      <w:r>
        <w:rPr>
          <w:rFonts w:hint="eastAsia"/>
          <w:color w:val="auto"/>
          <w:highlight w:val="none"/>
        </w:rPr>
        <w:t>文件</w:t>
      </w:r>
      <w:r>
        <w:rPr>
          <w:rFonts w:hint="eastAsia"/>
          <w:color w:val="auto"/>
          <w:highlight w:val="none"/>
          <w:lang w:val="en-US" w:eastAsia="zh-CN"/>
        </w:rPr>
        <w:t>采购合同</w:t>
      </w:r>
      <w:r>
        <w:rPr>
          <w:rFonts w:hint="eastAsia"/>
          <w:color w:val="auto"/>
          <w:highlight w:val="none"/>
        </w:rPr>
        <w:t>要求履行。</w:t>
      </w:r>
    </w:p>
    <w:p>
      <w:pPr>
        <w:pStyle w:val="35"/>
        <w:keepNext w:val="0"/>
        <w:keepLines w:val="0"/>
        <w:pageBreakBefore w:val="0"/>
        <w:widowControl w:val="0"/>
        <w:numPr>
          <w:ilvl w:val="2"/>
          <w:numId w:val="25"/>
        </w:numPr>
        <w:kinsoku/>
        <w:wordWrap w:val="0"/>
        <w:overflowPunct/>
        <w:topLinePunct/>
        <w:autoSpaceDE/>
        <w:autoSpaceDN/>
        <w:bidi w:val="0"/>
        <w:adjustRightInd w:val="0"/>
        <w:snapToGrid w:val="0"/>
        <w:spacing w:line="520" w:lineRule="exact"/>
        <w:textAlignment w:val="auto"/>
        <w:rPr>
          <w:rFonts w:hint="eastAsia"/>
          <w:color w:val="auto"/>
          <w:highlight w:val="none"/>
        </w:rPr>
      </w:pPr>
      <w:r>
        <w:rPr>
          <w:rFonts w:hint="eastAsia"/>
          <w:color w:val="auto"/>
          <w:highlight w:val="none"/>
        </w:rPr>
        <w:t>我方保证在本项目使用的任何产品和服务</w:t>
      </w:r>
      <w:r>
        <w:rPr>
          <w:rFonts w:hint="eastAsia"/>
          <w:color w:val="auto"/>
          <w:highlight w:val="none"/>
          <w:lang w:eastAsia="zh-CN"/>
        </w:rPr>
        <w:t>(</w:t>
      </w:r>
      <w:r>
        <w:rPr>
          <w:rFonts w:hint="eastAsia"/>
          <w:color w:val="auto"/>
          <w:highlight w:val="none"/>
        </w:rPr>
        <w:t>包括部分使用</w:t>
      </w:r>
      <w:r>
        <w:rPr>
          <w:rFonts w:hint="eastAsia"/>
          <w:color w:val="auto"/>
          <w:highlight w:val="none"/>
          <w:lang w:eastAsia="zh-CN"/>
        </w:rPr>
        <w:t>)</w:t>
      </w:r>
      <w:r>
        <w:rPr>
          <w:rFonts w:hint="eastAsia"/>
          <w:color w:val="auto"/>
          <w:highlight w:val="none"/>
        </w:rPr>
        <w:t>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w:t>
      </w:r>
      <w:r>
        <w:rPr>
          <w:rFonts w:hint="eastAsia"/>
          <w:color w:val="auto"/>
          <w:highlight w:val="none"/>
          <w:lang w:eastAsia="zh-CN"/>
        </w:rPr>
        <w:t>，</w:t>
      </w:r>
      <w:r>
        <w:rPr>
          <w:rFonts w:hint="eastAsia" w:cs="宋体"/>
          <w:color w:val="auto"/>
          <w:highlight w:val="none"/>
        </w:rPr>
        <w:t>并依据实际情况对采购标的涉及的知识产权进行处理</w:t>
      </w:r>
      <w:r>
        <w:rPr>
          <w:rFonts w:hint="eastAsia"/>
          <w:color w:val="auto"/>
          <w:highlight w:val="none"/>
        </w:rPr>
        <w:t>。如我方在项目实施过程中采用自有知识成果，我方</w:t>
      </w:r>
      <w:r>
        <w:rPr>
          <w:color w:val="auto"/>
          <w:highlight w:val="none"/>
        </w:rPr>
        <w:t>承诺</w:t>
      </w:r>
      <w:r>
        <w:rPr>
          <w:rFonts w:hint="eastAsia"/>
          <w:color w:val="auto"/>
          <w:highlight w:val="none"/>
        </w:rPr>
        <w:t>提供</w:t>
      </w:r>
      <w:r>
        <w:rPr>
          <w:rFonts w:hint="eastAsia"/>
          <w:color w:val="auto"/>
          <w:highlight w:val="none"/>
          <w:lang w:val="en-US" w:eastAsia="zh-CN"/>
        </w:rPr>
        <w:t>相关</w:t>
      </w:r>
      <w:r>
        <w:rPr>
          <w:rFonts w:hint="eastAsia"/>
          <w:color w:val="auto"/>
          <w:highlight w:val="none"/>
        </w:rPr>
        <w:t>技术文档，并提供无限期技术支持，采购人享有永久使用权</w:t>
      </w:r>
      <w:r>
        <w:rPr>
          <w:rFonts w:hint="eastAsia"/>
          <w:color w:val="auto"/>
          <w:highlight w:val="none"/>
          <w:lang w:eastAsia="zh-CN"/>
        </w:rPr>
        <w:t>(</w:t>
      </w:r>
      <w:r>
        <w:rPr>
          <w:rFonts w:hint="eastAsia"/>
          <w:color w:val="auto"/>
          <w:highlight w:val="none"/>
        </w:rPr>
        <w:t>含采购人委托第三方在该项目后续开发的使用权</w:t>
      </w:r>
      <w:r>
        <w:rPr>
          <w:rFonts w:hint="eastAsia"/>
          <w:color w:val="auto"/>
          <w:highlight w:val="none"/>
          <w:lang w:eastAsia="zh-CN"/>
        </w:rPr>
        <w:t>)</w:t>
      </w:r>
      <w:r>
        <w:rPr>
          <w:rFonts w:hint="eastAsia"/>
          <w:color w:val="auto"/>
          <w:highlight w:val="none"/>
        </w:rPr>
        <w:t>。如我方在项目实施过程中采用非自有的知识产权，我方</w:t>
      </w:r>
      <w:r>
        <w:rPr>
          <w:color w:val="auto"/>
          <w:highlight w:val="none"/>
        </w:rPr>
        <w:t>承诺</w:t>
      </w:r>
      <w:r>
        <w:rPr>
          <w:rFonts w:hint="eastAsia" w:cs="宋体"/>
          <w:color w:val="auto"/>
          <w:highlight w:val="none"/>
        </w:rPr>
        <w:t>提供相关技术文档，并提供无限期技术支持，</w:t>
      </w:r>
      <w:r>
        <w:rPr>
          <w:rFonts w:hint="eastAsia" w:cs="宋体"/>
          <w:color w:val="auto"/>
          <w:highlight w:val="none"/>
          <w:lang w:val="en-US" w:eastAsia="zh-CN"/>
        </w:rPr>
        <w:t>采购人</w:t>
      </w:r>
      <w:r>
        <w:rPr>
          <w:rFonts w:hint="eastAsia" w:cs="宋体"/>
          <w:color w:val="auto"/>
          <w:highlight w:val="none"/>
        </w:rPr>
        <w:t>享有永久合法使用的使用权，且不承担该知识产权的相关费用</w:t>
      </w:r>
      <w:r>
        <w:rPr>
          <w:rFonts w:hint="eastAsia" w:cs="宋体"/>
          <w:color w:val="auto"/>
          <w:highlight w:val="none"/>
          <w:lang w:eastAsia="zh-CN"/>
        </w:rPr>
        <w:t>，</w:t>
      </w:r>
      <w:r>
        <w:rPr>
          <w:rFonts w:hint="eastAsia" w:cs="宋体"/>
          <w:color w:val="auto"/>
          <w:highlight w:val="none"/>
          <w:lang w:val="en-US" w:eastAsia="zh-CN"/>
        </w:rPr>
        <w:t>且</w:t>
      </w:r>
      <w:r>
        <w:rPr>
          <w:rFonts w:hint="eastAsia"/>
          <w:color w:val="auto"/>
          <w:highlight w:val="none"/>
        </w:rPr>
        <w:t>在投标报价中已包括合法获取该知识产权的相关费用。</w:t>
      </w:r>
      <w:r>
        <w:rPr>
          <w:rFonts w:hint="eastAsia" w:ascii="宋体" w:hAnsi="宋体" w:eastAsia="宋体" w:cs="宋体"/>
          <w:color w:val="auto"/>
          <w:sz w:val="24"/>
          <w:szCs w:val="24"/>
          <w:highlight w:val="none"/>
          <w:lang w:val="en-US" w:eastAsia="zh-Hans"/>
        </w:rPr>
        <w:t>若项目实施过程形成了新的技术成果或知识产权</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Hans"/>
        </w:rPr>
        <w:t>包括但不限于新开发的计算机软件、在原有软件基础上修改软件架构或增加新功能等的技术改进、新功能开发过程中形成的技术文件等</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Hans"/>
        </w:rPr>
        <w:t>，应由采购人和</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Hans"/>
        </w:rPr>
        <w:t>共同所有前述科技成果权利或知识产权，</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Hans"/>
        </w:rPr>
        <w:t>承诺采购人享有前述成果权利或知识产权永久合法使用的使用权，且</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Hans"/>
        </w:rPr>
        <w:t>承诺额外承担任何与之有关的费用</w:t>
      </w:r>
      <w:r>
        <w:rPr>
          <w:rFonts w:hint="eastAsia" w:cs="宋体"/>
          <w:color w:val="auto"/>
          <w:sz w:val="24"/>
          <w:szCs w:val="24"/>
          <w:highlight w:val="none"/>
          <w:lang w:val="en-US" w:eastAsia="zh-CN"/>
        </w:rPr>
        <w:t>。</w:t>
      </w:r>
    </w:p>
    <w:p>
      <w:pPr>
        <w:pStyle w:val="46"/>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highlight w:val="none"/>
        </w:rPr>
      </w:pPr>
      <w:r>
        <w:rPr>
          <w:rFonts w:hint="eastAsia"/>
          <w:color w:val="auto"/>
          <w:highlight w:val="none"/>
        </w:rPr>
        <w:t>我</w:t>
      </w:r>
      <w:r>
        <w:rPr>
          <w:rFonts w:hint="eastAsia"/>
          <w:color w:val="auto"/>
          <w:highlight w:val="none"/>
          <w:lang w:val="en-US" w:eastAsia="zh-CN"/>
        </w:rPr>
        <w:t>单位</w:t>
      </w:r>
      <w:r>
        <w:rPr>
          <w:rFonts w:hint="eastAsia"/>
          <w:color w:val="auto"/>
          <w:highlight w:val="none"/>
        </w:rPr>
        <w:t>对上述承诺的内容事项真实性</w:t>
      </w:r>
      <w:r>
        <w:rPr>
          <w:rFonts w:hint="eastAsia"/>
          <w:color w:val="auto"/>
          <w:highlight w:val="none"/>
          <w:lang w:eastAsia="zh-CN"/>
        </w:rPr>
        <w:t>、</w:t>
      </w:r>
      <w:r>
        <w:rPr>
          <w:rFonts w:hint="eastAsia"/>
          <w:color w:val="auto"/>
          <w:highlight w:val="none"/>
        </w:rPr>
        <w:t>合法</w:t>
      </w:r>
      <w:r>
        <w:rPr>
          <w:rFonts w:hint="eastAsia"/>
          <w:color w:val="auto"/>
          <w:highlight w:val="none"/>
          <w:lang w:val="en-US" w:eastAsia="zh-CN"/>
        </w:rPr>
        <w:t>性</w:t>
      </w:r>
      <w:r>
        <w:rPr>
          <w:rFonts w:hint="eastAsia"/>
          <w:color w:val="auto"/>
          <w:highlight w:val="none"/>
        </w:rPr>
        <w:t>负责。如经查实上述承诺的内容事项存在虚假，我</w:t>
      </w:r>
      <w:r>
        <w:rPr>
          <w:rFonts w:hint="eastAsia"/>
          <w:color w:val="auto"/>
          <w:highlight w:val="none"/>
          <w:lang w:val="en-US" w:eastAsia="zh-CN"/>
        </w:rPr>
        <w:t>单位自愿</w:t>
      </w:r>
      <w:r>
        <w:rPr>
          <w:rFonts w:hint="eastAsia"/>
          <w:color w:val="auto"/>
          <w:highlight w:val="none"/>
        </w:rPr>
        <w:t>接受以提供虚假材料谋取</w:t>
      </w:r>
      <w:r>
        <w:rPr>
          <w:rFonts w:hint="eastAsia"/>
          <w:color w:val="auto"/>
          <w:highlight w:val="none"/>
          <w:lang w:val="en-US" w:eastAsia="zh-CN"/>
        </w:rPr>
        <w:t>中标所带来的所有</w:t>
      </w:r>
      <w:r>
        <w:rPr>
          <w:rFonts w:hint="eastAsia"/>
          <w:color w:val="auto"/>
          <w:highlight w:val="none"/>
        </w:rPr>
        <w:t>法律责任。</w:t>
      </w:r>
    </w:p>
    <w:p>
      <w:pPr>
        <w:pStyle w:val="42"/>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highlight w:val="none"/>
          <w:lang w:val="en-US" w:eastAsia="zh-CN"/>
        </w:rPr>
      </w:pPr>
    </w:p>
    <w:p>
      <w:pPr>
        <w:pStyle w:val="42"/>
        <w:bidi w:val="0"/>
        <w:rPr>
          <w:rFonts w:hint="eastAsia"/>
          <w:color w:val="auto"/>
          <w:highlight w:val="none"/>
        </w:rPr>
      </w:pPr>
    </w:p>
    <w:p>
      <w:pPr>
        <w:pStyle w:val="42"/>
        <w:bidi w:val="0"/>
        <w:rPr>
          <w:rFonts w:hint="eastAsia"/>
          <w:color w:val="auto"/>
          <w:highlight w:val="none"/>
        </w:rPr>
      </w:pPr>
    </w:p>
    <w:p>
      <w:pPr>
        <w:pStyle w:val="46"/>
        <w:bidi w:val="0"/>
        <w:rPr>
          <w:rFonts w:hint="eastAsia"/>
          <w:color w:val="auto"/>
          <w:highlight w:val="none"/>
        </w:rPr>
      </w:pPr>
      <w:r>
        <w:rPr>
          <w:rFonts w:hint="eastAsia"/>
          <w:color w:val="auto"/>
          <w:highlight w:val="none"/>
          <w:lang w:val="en-US" w:eastAsia="zh-CN"/>
        </w:rPr>
        <w:t>投标人</w:t>
      </w:r>
      <w:r>
        <w:rPr>
          <w:rFonts w:hint="eastAsia"/>
          <w:color w:val="auto"/>
          <w:highlight w:val="none"/>
        </w:rPr>
        <w:t>名称：</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color w:val="auto"/>
          <w:highlight w:val="none"/>
        </w:rPr>
        <w:t>(盖章)</w:t>
      </w:r>
    </w:p>
    <w:p>
      <w:pPr>
        <w:pStyle w:val="46"/>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46"/>
        <w:bidi w:val="0"/>
        <w:rPr>
          <w:rFonts w:hint="eastAsia" w:ascii="宋体" w:hAnsi="宋体" w:eastAsia="宋体"/>
          <w:color w:val="auto"/>
          <w:highlight w:val="none"/>
        </w:rPr>
      </w:pPr>
      <w:r>
        <w:rPr>
          <w:rFonts w:hint="eastAsia"/>
          <w:color w:val="auto"/>
          <w:highlight w:val="none"/>
          <w:lang w:val="en-US" w:eastAsia="zh-CN"/>
        </w:rPr>
        <w:t>投标</w:t>
      </w:r>
      <w:r>
        <w:rPr>
          <w:rFonts w:hint="eastAsia"/>
          <w:color w:val="auto"/>
          <w:highlight w:val="none"/>
        </w:rPr>
        <w:t>日期</w:t>
      </w:r>
      <w:r>
        <w:rPr>
          <w:rFonts w:hint="eastAsia"/>
          <w:color w:val="auto"/>
          <w:highlight w:val="none"/>
          <w:lang w:eastAsia="zh-CN"/>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color w:val="auto"/>
          <w:highlight w:val="none"/>
          <w:lang w:val="en-US" w:eastAsia="zh-CN"/>
        </w:rPr>
        <w:t xml:space="preserve">         </w:t>
      </w:r>
      <w:r>
        <w:rPr>
          <w:rFonts w:hint="eastAsia" w:ascii="宋体" w:hAnsi="宋体" w:eastAsia="宋体"/>
          <w:color w:val="auto"/>
          <w:highlight w:val="none"/>
        </w:rPr>
        <w:br w:type="page"/>
      </w:r>
    </w:p>
    <w:p>
      <w:pPr>
        <w:pStyle w:val="44"/>
        <w:numPr>
          <w:ilvl w:val="0"/>
          <w:numId w:val="23"/>
        </w:numPr>
        <w:bidi w:val="0"/>
        <w:ind w:left="0" w:leftChars="0" w:firstLine="0" w:firstLineChars="0"/>
        <w:rPr>
          <w:rFonts w:hint="eastAsia"/>
          <w:color w:val="auto"/>
          <w:highlight w:val="none"/>
          <w:lang w:val="en-US" w:eastAsia="zh-CN"/>
        </w:rPr>
      </w:pPr>
      <w:bookmarkStart w:id="964" w:name="_Toc31800"/>
      <w:bookmarkStart w:id="965" w:name="_Toc17762"/>
      <w:bookmarkStart w:id="966" w:name="_Toc27210"/>
      <w:r>
        <w:rPr>
          <w:rFonts w:hint="eastAsia"/>
          <w:color w:val="auto"/>
          <w:highlight w:val="none"/>
          <w:lang w:val="en-US" w:eastAsia="zh-CN"/>
        </w:rPr>
        <w:t>投标人基本情况表</w:t>
      </w:r>
      <w:bookmarkEnd w:id="964"/>
      <w:bookmarkEnd w:id="965"/>
      <w:bookmarkEnd w:id="966"/>
    </w:p>
    <w:tbl>
      <w:tblPr>
        <w:tblStyle w:val="21"/>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939"/>
        <w:gridCol w:w="1432"/>
        <w:gridCol w:w="1455"/>
        <w:gridCol w:w="1548"/>
        <w:gridCol w:w="186"/>
        <w:gridCol w:w="117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投标人名称</w:t>
            </w:r>
          </w:p>
        </w:tc>
        <w:tc>
          <w:tcPr>
            <w:tcW w:w="8000" w:type="dxa"/>
            <w:gridSpan w:val="7"/>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注册地址</w:t>
            </w:r>
          </w:p>
        </w:tc>
        <w:tc>
          <w:tcPr>
            <w:tcW w:w="3826" w:type="dxa"/>
            <w:gridSpan w:val="3"/>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548"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邮政编码</w:t>
            </w:r>
          </w:p>
        </w:tc>
        <w:tc>
          <w:tcPr>
            <w:tcW w:w="2626" w:type="dxa"/>
            <w:gridSpan w:val="3"/>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Merge w:val="restart"/>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联系方式</w:t>
            </w:r>
          </w:p>
        </w:tc>
        <w:tc>
          <w:tcPr>
            <w:tcW w:w="939"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联系人</w:t>
            </w:r>
          </w:p>
        </w:tc>
        <w:tc>
          <w:tcPr>
            <w:tcW w:w="2887" w:type="dxa"/>
            <w:gridSpan w:val="2"/>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548"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电话</w:t>
            </w:r>
          </w:p>
        </w:tc>
        <w:tc>
          <w:tcPr>
            <w:tcW w:w="2626" w:type="dxa"/>
            <w:gridSpan w:val="3"/>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956" w:type="dxa"/>
            <w:vMerge w:val="continue"/>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939"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传真</w:t>
            </w:r>
          </w:p>
        </w:tc>
        <w:tc>
          <w:tcPr>
            <w:tcW w:w="2887" w:type="dxa"/>
            <w:gridSpan w:val="2"/>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548"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网址</w:t>
            </w:r>
          </w:p>
        </w:tc>
        <w:tc>
          <w:tcPr>
            <w:tcW w:w="2626" w:type="dxa"/>
            <w:gridSpan w:val="3"/>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956"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法定代表人</w:t>
            </w:r>
          </w:p>
        </w:tc>
        <w:tc>
          <w:tcPr>
            <w:tcW w:w="939"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姓名</w:t>
            </w:r>
          </w:p>
        </w:tc>
        <w:tc>
          <w:tcPr>
            <w:tcW w:w="1432"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技术职称</w:t>
            </w:r>
          </w:p>
        </w:tc>
        <w:tc>
          <w:tcPr>
            <w:tcW w:w="1548"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364" w:type="dxa"/>
            <w:gridSpan w:val="2"/>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电话</w:t>
            </w:r>
          </w:p>
        </w:tc>
        <w:tc>
          <w:tcPr>
            <w:tcW w:w="1262"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956"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技术负责人</w:t>
            </w:r>
          </w:p>
        </w:tc>
        <w:tc>
          <w:tcPr>
            <w:tcW w:w="939"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姓名</w:t>
            </w:r>
          </w:p>
        </w:tc>
        <w:tc>
          <w:tcPr>
            <w:tcW w:w="1432"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技术职称</w:t>
            </w:r>
          </w:p>
        </w:tc>
        <w:tc>
          <w:tcPr>
            <w:tcW w:w="1548"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364" w:type="dxa"/>
            <w:gridSpan w:val="2"/>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电话</w:t>
            </w:r>
          </w:p>
        </w:tc>
        <w:tc>
          <w:tcPr>
            <w:tcW w:w="1262"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成立时间</w:t>
            </w:r>
          </w:p>
        </w:tc>
        <w:tc>
          <w:tcPr>
            <w:tcW w:w="2371" w:type="dxa"/>
            <w:gridSpan w:val="2"/>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5629" w:type="dxa"/>
            <w:gridSpan w:val="5"/>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lang w:val="en-US" w:eastAsia="zh-CN"/>
              </w:rPr>
              <w:t>从业人员</w:t>
            </w:r>
            <w:r>
              <w:rPr>
                <w:rFonts w:hint="eastAsia"/>
                <w:color w:val="auto"/>
                <w:highlight w:val="none"/>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企业资质等级</w:t>
            </w:r>
          </w:p>
        </w:tc>
        <w:tc>
          <w:tcPr>
            <w:tcW w:w="2371" w:type="dxa"/>
            <w:gridSpan w:val="2"/>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Merge w:val="restart"/>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其中</w:t>
            </w:r>
          </w:p>
        </w:tc>
        <w:tc>
          <w:tcPr>
            <w:tcW w:w="1734" w:type="dxa"/>
            <w:gridSpan w:val="2"/>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项目经理</w:t>
            </w:r>
          </w:p>
        </w:tc>
        <w:tc>
          <w:tcPr>
            <w:tcW w:w="2440" w:type="dxa"/>
            <w:gridSpan w:val="2"/>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营业执照号/统一社会信用代码</w:t>
            </w:r>
          </w:p>
        </w:tc>
        <w:tc>
          <w:tcPr>
            <w:tcW w:w="2371" w:type="dxa"/>
            <w:gridSpan w:val="2"/>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Merge w:val="continue"/>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734" w:type="dxa"/>
            <w:gridSpan w:val="2"/>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高级职称人员</w:t>
            </w:r>
          </w:p>
        </w:tc>
        <w:tc>
          <w:tcPr>
            <w:tcW w:w="2440" w:type="dxa"/>
            <w:gridSpan w:val="2"/>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注册资金</w:t>
            </w:r>
          </w:p>
        </w:tc>
        <w:tc>
          <w:tcPr>
            <w:tcW w:w="2371" w:type="dxa"/>
            <w:gridSpan w:val="2"/>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Merge w:val="continue"/>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734" w:type="dxa"/>
            <w:gridSpan w:val="2"/>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中级职称人员</w:t>
            </w:r>
          </w:p>
        </w:tc>
        <w:tc>
          <w:tcPr>
            <w:tcW w:w="2440" w:type="dxa"/>
            <w:gridSpan w:val="2"/>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开户银行</w:t>
            </w:r>
          </w:p>
        </w:tc>
        <w:tc>
          <w:tcPr>
            <w:tcW w:w="2371" w:type="dxa"/>
            <w:gridSpan w:val="2"/>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Merge w:val="continue"/>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734" w:type="dxa"/>
            <w:gridSpan w:val="2"/>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初级职称人员</w:t>
            </w:r>
          </w:p>
        </w:tc>
        <w:tc>
          <w:tcPr>
            <w:tcW w:w="2440" w:type="dxa"/>
            <w:gridSpan w:val="2"/>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账号</w:t>
            </w:r>
          </w:p>
        </w:tc>
        <w:tc>
          <w:tcPr>
            <w:tcW w:w="2371" w:type="dxa"/>
            <w:gridSpan w:val="2"/>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Merge w:val="continue"/>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734" w:type="dxa"/>
            <w:gridSpan w:val="2"/>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技工</w:t>
            </w:r>
          </w:p>
        </w:tc>
        <w:tc>
          <w:tcPr>
            <w:tcW w:w="2440" w:type="dxa"/>
            <w:gridSpan w:val="2"/>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trPr>
        <w:tc>
          <w:tcPr>
            <w:tcW w:w="1956"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经营范围</w:t>
            </w:r>
          </w:p>
        </w:tc>
        <w:tc>
          <w:tcPr>
            <w:tcW w:w="8000" w:type="dxa"/>
            <w:gridSpan w:val="7"/>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956"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480" w:lineRule="exact"/>
              <w:jc w:val="center"/>
              <w:textAlignment w:val="auto"/>
              <w:rPr>
                <w:rFonts w:hint="eastAsia"/>
                <w:color w:val="auto"/>
                <w:highlight w:val="none"/>
              </w:rPr>
            </w:pPr>
            <w:r>
              <w:rPr>
                <w:rFonts w:hint="eastAsia"/>
                <w:color w:val="auto"/>
                <w:highlight w:val="none"/>
              </w:rPr>
              <w:t>备注</w:t>
            </w:r>
          </w:p>
        </w:tc>
        <w:tc>
          <w:tcPr>
            <w:tcW w:w="8000" w:type="dxa"/>
            <w:gridSpan w:val="7"/>
            <w:vAlign w:val="top"/>
          </w:tcPr>
          <w:p>
            <w:pPr>
              <w:pStyle w:val="45"/>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bl>
    <w:p>
      <w:pPr>
        <w:pStyle w:val="47"/>
        <w:bidi w:val="0"/>
        <w:rPr>
          <w:rFonts w:hint="eastAsia"/>
          <w:color w:val="auto"/>
          <w:highlight w:val="none"/>
        </w:rPr>
      </w:pPr>
      <w:r>
        <w:rPr>
          <w:rFonts w:hint="eastAsia"/>
          <w:color w:val="auto"/>
          <w:highlight w:val="none"/>
        </w:rPr>
        <w:t>注：</w:t>
      </w:r>
      <w:r>
        <w:rPr>
          <w:rFonts w:hint="eastAsia"/>
          <w:color w:val="auto"/>
          <w:highlight w:val="none"/>
          <w:lang w:val="en-US" w:eastAsia="zh-CN"/>
        </w:rPr>
        <w:t>投标人</w:t>
      </w:r>
      <w:r>
        <w:rPr>
          <w:rFonts w:hint="eastAsia"/>
          <w:color w:val="auto"/>
          <w:highlight w:val="none"/>
        </w:rPr>
        <w:t>根据</w:t>
      </w:r>
      <w:r>
        <w:rPr>
          <w:rFonts w:hint="eastAsia"/>
          <w:color w:val="auto"/>
          <w:highlight w:val="none"/>
          <w:lang w:val="en-US" w:eastAsia="zh-CN"/>
        </w:rPr>
        <w:t>自身</w:t>
      </w:r>
      <w:r>
        <w:rPr>
          <w:rFonts w:hint="eastAsia"/>
          <w:color w:val="auto"/>
          <w:highlight w:val="none"/>
        </w:rPr>
        <w:t>实际情况</w:t>
      </w:r>
      <w:r>
        <w:rPr>
          <w:rFonts w:hint="eastAsia"/>
          <w:color w:val="auto"/>
          <w:highlight w:val="none"/>
          <w:lang w:val="en-US" w:eastAsia="zh-CN"/>
        </w:rPr>
        <w:t>填写</w:t>
      </w:r>
      <w:r>
        <w:rPr>
          <w:rFonts w:hint="eastAsia"/>
          <w:color w:val="auto"/>
          <w:highlight w:val="none"/>
        </w:rPr>
        <w:t>，</w:t>
      </w:r>
      <w:r>
        <w:rPr>
          <w:rFonts w:hint="eastAsia"/>
          <w:color w:val="auto"/>
          <w:highlight w:val="none"/>
          <w:lang w:val="en-US" w:eastAsia="zh-CN"/>
        </w:rPr>
        <w:t>对不涉及的内容可填写“/”，</w:t>
      </w:r>
      <w:r>
        <w:rPr>
          <w:rFonts w:hint="eastAsia"/>
          <w:color w:val="auto"/>
          <w:highlight w:val="none"/>
        </w:rPr>
        <w:t>不影响投标资质及效力。</w:t>
      </w:r>
    </w:p>
    <w:p>
      <w:pPr>
        <w:pStyle w:val="42"/>
        <w:bidi w:val="0"/>
        <w:rPr>
          <w:rFonts w:hint="eastAsia"/>
          <w:color w:val="auto"/>
          <w:highlight w:val="none"/>
        </w:rPr>
      </w:pPr>
    </w:p>
    <w:p>
      <w:pPr>
        <w:pStyle w:val="46"/>
        <w:bidi w:val="0"/>
        <w:rPr>
          <w:rFonts w:hint="eastAsia"/>
          <w:color w:val="auto"/>
          <w:highlight w:val="none"/>
        </w:rPr>
      </w:pPr>
      <w:r>
        <w:rPr>
          <w:rFonts w:hint="eastAsia"/>
          <w:color w:val="auto"/>
          <w:highlight w:val="none"/>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(盖章)</w:t>
      </w:r>
    </w:p>
    <w:p>
      <w:pPr>
        <w:pStyle w:val="46"/>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46"/>
        <w:bidi w:val="0"/>
        <w:rPr>
          <w:rFonts w:hint="eastAsia" w:ascii="宋体" w:hAnsi="宋体" w:eastAsia="宋体"/>
          <w:color w:val="auto"/>
          <w:highlight w:val="none"/>
        </w:rPr>
      </w:pPr>
      <w:r>
        <w:rPr>
          <w:rFonts w:hint="eastAsia"/>
          <w:color w:val="auto"/>
          <w:highlight w:val="none"/>
        </w:rPr>
        <w:t>投标日期</w:t>
      </w:r>
      <w:r>
        <w:rPr>
          <w:rFonts w:hint="eastAsia"/>
          <w:color w:val="auto"/>
          <w:highlight w:val="none"/>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lang w:val="en-US" w:eastAsia="zh-CN"/>
        </w:rPr>
        <w:t xml:space="preserve">       </w:t>
      </w:r>
    </w:p>
    <w:p>
      <w:pPr>
        <w:pStyle w:val="46"/>
        <w:bidi w:val="0"/>
        <w:rPr>
          <w:rFonts w:hint="eastAsia"/>
          <w:color w:val="auto"/>
          <w:highlight w:val="none"/>
          <w:lang w:val="en-US" w:eastAsia="zh-CN"/>
        </w:rPr>
      </w:pPr>
      <w:r>
        <w:rPr>
          <w:rFonts w:hint="eastAsia"/>
          <w:color w:val="auto"/>
          <w:highlight w:val="none"/>
          <w:lang w:val="en-US" w:eastAsia="zh-CN"/>
        </w:rPr>
        <w:br w:type="page"/>
      </w:r>
    </w:p>
    <w:p>
      <w:pPr>
        <w:pStyle w:val="44"/>
        <w:numPr>
          <w:ilvl w:val="0"/>
          <w:numId w:val="23"/>
        </w:numPr>
        <w:bidi w:val="0"/>
        <w:ind w:left="0" w:leftChars="0" w:firstLine="0" w:firstLineChars="0"/>
        <w:rPr>
          <w:rFonts w:hint="eastAsia"/>
          <w:color w:val="auto"/>
          <w:highlight w:val="none"/>
          <w:lang w:val="en-US" w:eastAsia="zh-CN"/>
        </w:rPr>
      </w:pPr>
      <w:bookmarkStart w:id="967" w:name="_Toc19766"/>
      <w:bookmarkStart w:id="968" w:name="_Toc5308"/>
      <w:bookmarkStart w:id="969" w:name="_Toc30133"/>
      <w:bookmarkStart w:id="970" w:name="_Toc28442"/>
      <w:bookmarkStart w:id="971" w:name="_Toc1650"/>
      <w:bookmarkStart w:id="972" w:name="_Toc3891"/>
      <w:r>
        <w:rPr>
          <w:rFonts w:hint="eastAsia"/>
          <w:color w:val="auto"/>
          <w:highlight w:val="none"/>
          <w:lang w:val="en-US" w:eastAsia="zh-CN"/>
        </w:rPr>
        <w:t>开标一览表</w:t>
      </w:r>
      <w:bookmarkEnd w:id="967"/>
      <w:bookmarkEnd w:id="968"/>
      <w:bookmarkEnd w:id="969"/>
      <w:bookmarkEnd w:id="970"/>
      <w:bookmarkEnd w:id="971"/>
      <w:bookmarkEnd w:id="972"/>
    </w:p>
    <w:p>
      <w:pPr>
        <w:pStyle w:val="42"/>
        <w:bidi w:val="0"/>
        <w:rPr>
          <w:rFonts w:hint="eastAsia"/>
          <w:color w:val="auto"/>
          <w:highlight w:val="none"/>
          <w:u w:val="single"/>
        </w:rPr>
      </w:pPr>
      <w:r>
        <w:rPr>
          <w:rFonts w:hint="eastAsia"/>
          <w:color w:val="auto"/>
          <w:highlight w:val="none"/>
        </w:rPr>
        <w:t>项目名称：</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p>
    <w:p>
      <w:pPr>
        <w:pStyle w:val="42"/>
        <w:bidi w:val="0"/>
        <w:rPr>
          <w:rFonts w:hint="eastAsia"/>
          <w:color w:val="auto"/>
          <w:highlight w:val="none"/>
          <w:u w:val="single"/>
        </w:rPr>
      </w:pPr>
      <w:r>
        <w:rPr>
          <w:rFonts w:hint="eastAsia"/>
          <w:color w:val="auto"/>
          <w:highlight w:val="none"/>
        </w:rPr>
        <w:t>项目编号：</w:t>
      </w:r>
      <w:r>
        <w:rPr>
          <w:rFonts w:hint="eastAsia"/>
          <w:color w:val="auto"/>
          <w:highlight w:val="none"/>
          <w:u w:val="single"/>
        </w:rPr>
        <w:t xml:space="preserve">               </w:t>
      </w:r>
      <w:r>
        <w:rPr>
          <w:rFonts w:hint="eastAsia"/>
          <w:color w:val="auto"/>
          <w:highlight w:val="none"/>
          <w:u w:val="single"/>
          <w:lang w:val="en-US" w:eastAsia="zh-CN"/>
        </w:rPr>
        <w:t xml:space="preserve">          </w:t>
      </w:r>
    </w:p>
    <w:tbl>
      <w:tblPr>
        <w:tblStyle w:val="21"/>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2038"/>
        <w:gridCol w:w="3462"/>
        <w:gridCol w:w="1501"/>
        <w:gridCol w:w="1474"/>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 w:type="pct"/>
            <w:vAlign w:val="center"/>
          </w:tcPr>
          <w:p>
            <w:pPr>
              <w:pStyle w:val="45"/>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b/>
                <w:bCs/>
                <w:color w:val="auto"/>
                <w:sz w:val="21"/>
                <w:szCs w:val="21"/>
                <w:highlight w:val="none"/>
              </w:rPr>
            </w:pPr>
            <w:r>
              <w:rPr>
                <w:rFonts w:hint="eastAsia"/>
                <w:b/>
                <w:bCs/>
                <w:color w:val="auto"/>
                <w:sz w:val="21"/>
                <w:szCs w:val="21"/>
                <w:highlight w:val="none"/>
              </w:rPr>
              <w:t>序号</w:t>
            </w:r>
          </w:p>
        </w:tc>
        <w:tc>
          <w:tcPr>
            <w:tcW w:w="1026" w:type="pct"/>
            <w:vAlign w:val="center"/>
          </w:tcPr>
          <w:p>
            <w:pPr>
              <w:pStyle w:val="45"/>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default" w:eastAsia="宋体"/>
                <w:b/>
                <w:bCs/>
                <w:color w:val="auto"/>
                <w:sz w:val="21"/>
                <w:szCs w:val="21"/>
                <w:highlight w:val="none"/>
                <w:lang w:val="en-US" w:eastAsia="zh-CN"/>
              </w:rPr>
            </w:pPr>
            <w:r>
              <w:rPr>
                <w:rFonts w:hint="default"/>
                <w:b/>
                <w:bCs/>
                <w:color w:val="auto"/>
                <w:sz w:val="21"/>
                <w:szCs w:val="21"/>
                <w:highlight w:val="none"/>
                <w:lang w:val="en-US" w:eastAsia="zh-CN"/>
              </w:rPr>
              <w:t>标的名称</w:t>
            </w:r>
          </w:p>
        </w:tc>
        <w:tc>
          <w:tcPr>
            <w:tcW w:w="1743" w:type="pct"/>
            <w:vAlign w:val="center"/>
          </w:tcPr>
          <w:p>
            <w:pPr>
              <w:pStyle w:val="45"/>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b/>
                <w:bCs/>
                <w:color w:val="auto"/>
                <w:sz w:val="21"/>
                <w:szCs w:val="21"/>
                <w:highlight w:val="none"/>
              </w:rPr>
            </w:pPr>
            <w:r>
              <w:rPr>
                <w:rFonts w:hint="eastAsia"/>
                <w:b/>
                <w:bCs/>
                <w:color w:val="auto"/>
                <w:sz w:val="21"/>
                <w:szCs w:val="21"/>
                <w:highlight w:val="none"/>
              </w:rPr>
              <w:t>投标</w:t>
            </w:r>
            <w:r>
              <w:rPr>
                <w:rFonts w:hint="eastAsia"/>
                <w:b/>
                <w:bCs/>
                <w:color w:val="auto"/>
                <w:sz w:val="21"/>
                <w:szCs w:val="21"/>
                <w:highlight w:val="none"/>
                <w:lang w:val="en-US" w:eastAsia="zh-CN"/>
              </w:rPr>
              <w:t>单价</w:t>
            </w:r>
            <w:r>
              <w:rPr>
                <w:rFonts w:hint="eastAsia"/>
                <w:b/>
                <w:bCs/>
                <w:color w:val="auto"/>
                <w:sz w:val="21"/>
                <w:szCs w:val="21"/>
                <w:highlight w:val="none"/>
                <w:lang w:eastAsia="zh-CN"/>
              </w:rPr>
              <w:t>(</w:t>
            </w:r>
            <w:r>
              <w:rPr>
                <w:rFonts w:hint="eastAsia"/>
                <w:b/>
                <w:bCs/>
                <w:color w:val="auto"/>
                <w:sz w:val="21"/>
                <w:szCs w:val="21"/>
                <w:highlight w:val="none"/>
              </w:rPr>
              <w:t>元</w:t>
            </w:r>
            <w:r>
              <w:rPr>
                <w:rFonts w:hint="eastAsia"/>
                <w:b/>
                <w:bCs/>
                <w:color w:val="auto"/>
                <w:sz w:val="21"/>
                <w:szCs w:val="21"/>
                <w:highlight w:val="none"/>
                <w:lang w:eastAsia="zh-CN"/>
              </w:rPr>
              <w:t>)</w:t>
            </w:r>
          </w:p>
        </w:tc>
        <w:tc>
          <w:tcPr>
            <w:tcW w:w="756" w:type="pct"/>
            <w:vAlign w:val="center"/>
          </w:tcPr>
          <w:p>
            <w:pPr>
              <w:pStyle w:val="45"/>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default"/>
                <w:b/>
                <w:bCs/>
                <w:color w:val="auto"/>
                <w:sz w:val="21"/>
                <w:szCs w:val="21"/>
                <w:highlight w:val="none"/>
                <w:lang w:val="en-US" w:eastAsia="zh-CN"/>
              </w:rPr>
            </w:pPr>
            <w:r>
              <w:rPr>
                <w:rFonts w:hint="eastAsia"/>
                <w:b/>
                <w:bCs/>
                <w:color w:val="auto"/>
                <w:sz w:val="21"/>
                <w:szCs w:val="21"/>
                <w:highlight w:val="none"/>
                <w:lang w:val="en-US" w:eastAsia="zh-CN"/>
              </w:rPr>
              <w:t>单位</w:t>
            </w:r>
          </w:p>
        </w:tc>
        <w:tc>
          <w:tcPr>
            <w:tcW w:w="742" w:type="pct"/>
            <w:vAlign w:val="center"/>
          </w:tcPr>
          <w:p>
            <w:pPr>
              <w:pStyle w:val="45"/>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b/>
                <w:bCs/>
                <w:color w:val="auto"/>
                <w:sz w:val="21"/>
                <w:szCs w:val="21"/>
                <w:highlight w:val="none"/>
              </w:rPr>
            </w:pPr>
            <w:r>
              <w:rPr>
                <w:rFonts w:hint="eastAsia"/>
                <w:b/>
                <w:bCs/>
                <w:color w:val="auto"/>
                <w:sz w:val="21"/>
                <w:szCs w:val="21"/>
                <w:highlight w:val="none"/>
                <w:lang w:val="en-US" w:eastAsia="zh-CN"/>
              </w:rPr>
              <w:t>数量</w:t>
            </w:r>
          </w:p>
        </w:tc>
        <w:tc>
          <w:tcPr>
            <w:tcW w:w="393" w:type="pct"/>
            <w:vAlign w:val="center"/>
          </w:tcPr>
          <w:p>
            <w:pPr>
              <w:pStyle w:val="45"/>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b/>
                <w:bCs/>
                <w:color w:val="auto"/>
                <w:sz w:val="21"/>
                <w:szCs w:val="21"/>
                <w:highlight w:val="none"/>
              </w:rPr>
            </w:pPr>
            <w:r>
              <w:rPr>
                <w:rFonts w:hint="eastAsia"/>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 w:type="pct"/>
            <w:vAlign w:val="center"/>
          </w:tcPr>
          <w:p>
            <w:pPr>
              <w:pStyle w:val="42"/>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1</w:t>
            </w:r>
          </w:p>
        </w:tc>
        <w:tc>
          <w:tcPr>
            <w:tcW w:w="102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工业物联训赛平台</w:t>
            </w:r>
          </w:p>
        </w:tc>
        <w:tc>
          <w:tcPr>
            <w:tcW w:w="174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75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套</w:t>
            </w:r>
          </w:p>
        </w:tc>
        <w:tc>
          <w:tcPr>
            <w:tcW w:w="742"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393" w:type="pct"/>
            <w:vAlign w:val="center"/>
          </w:tcPr>
          <w:p>
            <w:pPr>
              <w:pStyle w:val="42"/>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 w:type="pct"/>
            <w:vAlign w:val="center"/>
          </w:tcPr>
          <w:p>
            <w:pPr>
              <w:pStyle w:val="42"/>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2</w:t>
            </w:r>
          </w:p>
        </w:tc>
        <w:tc>
          <w:tcPr>
            <w:tcW w:w="102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b w:val="0"/>
                <w:bCs/>
                <w:i w:val="0"/>
                <w:iCs w:val="0"/>
                <w:color w:val="auto"/>
                <w:kern w:val="2"/>
                <w:sz w:val="21"/>
                <w:szCs w:val="21"/>
                <w:highlight w:val="none"/>
                <w:lang w:val="en-US" w:eastAsia="zh-CN" w:bidi="ar-SA"/>
              </w:rPr>
              <w:t>建筑智能化系统安装与调试实训平台</w:t>
            </w:r>
          </w:p>
        </w:tc>
        <w:tc>
          <w:tcPr>
            <w:tcW w:w="174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75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套</w:t>
            </w:r>
          </w:p>
        </w:tc>
        <w:tc>
          <w:tcPr>
            <w:tcW w:w="742"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393" w:type="pct"/>
            <w:vAlign w:val="center"/>
          </w:tcPr>
          <w:p>
            <w:pPr>
              <w:pStyle w:val="42"/>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 w:type="pct"/>
            <w:vAlign w:val="center"/>
          </w:tcPr>
          <w:p>
            <w:pPr>
              <w:pStyle w:val="42"/>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3</w:t>
            </w:r>
          </w:p>
        </w:tc>
        <w:tc>
          <w:tcPr>
            <w:tcW w:w="102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sz w:val="21"/>
                <w:szCs w:val="21"/>
                <w:highlight w:val="none"/>
                <w:vertAlign w:val="baseline"/>
                <w:lang w:val="en-US" w:eastAsia="zh-Hans"/>
              </w:rPr>
              <w:t>机电一体化装配工作站</w:t>
            </w:r>
          </w:p>
        </w:tc>
        <w:tc>
          <w:tcPr>
            <w:tcW w:w="174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75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套</w:t>
            </w:r>
          </w:p>
        </w:tc>
        <w:tc>
          <w:tcPr>
            <w:tcW w:w="742"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393" w:type="pct"/>
            <w:vAlign w:val="center"/>
          </w:tcPr>
          <w:p>
            <w:pPr>
              <w:pStyle w:val="42"/>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6"/>
            <w:vAlign w:val="center"/>
          </w:tcPr>
          <w:p>
            <w:pPr>
              <w:pStyle w:val="42"/>
              <w:keepNext w:val="0"/>
              <w:keepLines w:val="0"/>
              <w:pageBreakBefore w:val="0"/>
              <w:widowControl w:val="0"/>
              <w:kinsoku/>
              <w:wordWrap w:val="0"/>
              <w:overflowPunct/>
              <w:topLinePunct/>
              <w:autoSpaceDE/>
              <w:autoSpaceDN/>
              <w:bidi w:val="0"/>
              <w:adjustRightInd w:val="0"/>
              <w:snapToGrid w:val="0"/>
              <w:spacing w:line="360" w:lineRule="exact"/>
              <w:jc w:val="left"/>
              <w:textAlignment w:val="auto"/>
              <w:rPr>
                <w:rFonts w:hint="default" w:eastAsia="宋体"/>
                <w:color w:val="auto"/>
                <w:sz w:val="21"/>
                <w:szCs w:val="21"/>
                <w:highlight w:val="none"/>
                <w:u w:val="single"/>
                <w:lang w:val="en-US" w:eastAsia="zh-CN"/>
              </w:rPr>
            </w:pPr>
            <w:r>
              <w:rPr>
                <w:rFonts w:hint="eastAsia"/>
                <w:color w:val="auto"/>
                <w:sz w:val="21"/>
                <w:szCs w:val="21"/>
                <w:highlight w:val="none"/>
                <w:lang w:val="en-US" w:eastAsia="zh-CN"/>
              </w:rPr>
              <w:t>投标总价：</w:t>
            </w:r>
            <w:r>
              <w:rPr>
                <w:rFonts w:hint="eastAsia"/>
                <w:color w:val="auto"/>
                <w:sz w:val="21"/>
                <w:szCs w:val="21"/>
                <w:highlight w:val="none"/>
                <w:u w:val="single"/>
                <w:lang w:val="en-US" w:eastAsia="zh-CN"/>
              </w:rPr>
              <w:t xml:space="preserve">         元(大写：)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6"/>
            <w:vAlign w:val="center"/>
          </w:tcPr>
          <w:p>
            <w:pPr>
              <w:pStyle w:val="42"/>
              <w:keepNext w:val="0"/>
              <w:keepLines w:val="0"/>
              <w:pageBreakBefore w:val="0"/>
              <w:widowControl w:val="0"/>
              <w:kinsoku/>
              <w:wordWrap w:val="0"/>
              <w:overflowPunct/>
              <w:topLinePunct/>
              <w:autoSpaceDE/>
              <w:autoSpaceDN/>
              <w:bidi w:val="0"/>
              <w:adjustRightInd w:val="0"/>
              <w:snapToGrid w:val="0"/>
              <w:spacing w:line="360" w:lineRule="exact"/>
              <w:jc w:val="left"/>
              <w:textAlignment w:val="auto"/>
              <w:rPr>
                <w:rFonts w:hint="default"/>
                <w:color w:val="auto"/>
                <w:sz w:val="21"/>
                <w:szCs w:val="21"/>
                <w:highlight w:val="none"/>
                <w:lang w:val="en-US" w:eastAsia="zh-CN"/>
              </w:rPr>
            </w:pPr>
            <w:r>
              <w:rPr>
                <w:rFonts w:hint="eastAsia"/>
                <w:color w:val="auto"/>
                <w:sz w:val="21"/>
                <w:szCs w:val="21"/>
                <w:highlight w:val="none"/>
                <w:lang w:val="en-US" w:eastAsia="zh-CN"/>
              </w:rPr>
              <w:t>履约时间：</w:t>
            </w:r>
          </w:p>
        </w:tc>
      </w:tr>
    </w:tbl>
    <w:p>
      <w:pPr>
        <w:pStyle w:val="47"/>
        <w:bidi w:val="0"/>
        <w:rPr>
          <w:rFonts w:hint="eastAsia"/>
          <w:b w:val="0"/>
          <w:bCs/>
          <w:color w:val="auto"/>
          <w:highlight w:val="none"/>
        </w:rPr>
      </w:pPr>
      <w:r>
        <w:rPr>
          <w:rFonts w:hint="eastAsia"/>
          <w:color w:val="auto"/>
          <w:highlight w:val="none"/>
          <w:lang w:eastAsia="zh-CN"/>
        </w:rPr>
        <w:t>注：</w:t>
      </w:r>
      <w:r>
        <w:rPr>
          <w:rFonts w:hint="eastAsia"/>
          <w:b w:val="0"/>
          <w:bCs/>
          <w:color w:val="auto"/>
          <w:highlight w:val="none"/>
          <w:lang w:val="en-US" w:eastAsia="zh-CN"/>
        </w:rPr>
        <w:t>①</w:t>
      </w:r>
      <w:r>
        <w:rPr>
          <w:rFonts w:hint="eastAsia"/>
          <w:b w:val="0"/>
          <w:bCs/>
          <w:color w:val="auto"/>
          <w:highlight w:val="none"/>
        </w:rPr>
        <w:t>报价应是投标人响应招标项目要求的全部</w:t>
      </w:r>
      <w:r>
        <w:rPr>
          <w:rFonts w:hint="eastAsia"/>
          <w:b w:val="0"/>
          <w:bCs/>
          <w:color w:val="auto"/>
          <w:highlight w:val="none"/>
          <w:lang w:val="en-US" w:eastAsia="zh-CN"/>
        </w:rPr>
        <w:t>采购</w:t>
      </w:r>
      <w:r>
        <w:rPr>
          <w:rFonts w:hint="eastAsia"/>
          <w:b w:val="0"/>
          <w:bCs/>
          <w:color w:val="auto"/>
          <w:highlight w:val="none"/>
        </w:rPr>
        <w:t>内容的价格体现，</w:t>
      </w:r>
      <w:r>
        <w:rPr>
          <w:rFonts w:hint="eastAsia"/>
          <w:b w:val="0"/>
          <w:bCs/>
          <w:color w:val="auto"/>
          <w:highlight w:val="none"/>
          <w:lang w:eastAsia="zh-CN"/>
        </w:rPr>
        <w:t>包括但不限于成都市技师学院工业机器人数字化虚拟仿真实训基地设备的供货、包装、运输、安装、调试、检测、</w:t>
      </w:r>
      <w:r>
        <w:rPr>
          <w:rFonts w:hint="eastAsia"/>
          <w:b w:val="0"/>
          <w:bCs/>
          <w:color w:val="auto"/>
          <w:highlight w:val="none"/>
          <w:lang w:val="en-US" w:eastAsia="zh-CN"/>
        </w:rPr>
        <w:t>售后服务、</w:t>
      </w:r>
      <w:r>
        <w:rPr>
          <w:rFonts w:hint="eastAsia"/>
          <w:b w:val="0"/>
          <w:bCs/>
          <w:color w:val="auto"/>
          <w:highlight w:val="none"/>
          <w:lang w:eastAsia="zh-CN"/>
        </w:rPr>
        <w:t>税费等与完成本项目有关的所有费用。本项目执行期间合同总价不变，</w:t>
      </w:r>
      <w:r>
        <w:rPr>
          <w:rFonts w:hint="eastAsia"/>
          <w:b w:val="0"/>
          <w:bCs/>
          <w:color w:val="auto"/>
          <w:highlight w:val="none"/>
          <w:lang w:val="en-US" w:eastAsia="zh-CN"/>
        </w:rPr>
        <w:t>采购人</w:t>
      </w:r>
      <w:r>
        <w:rPr>
          <w:rFonts w:hint="eastAsia"/>
          <w:b w:val="0"/>
          <w:bCs/>
          <w:color w:val="auto"/>
          <w:highlight w:val="none"/>
          <w:lang w:eastAsia="zh-CN"/>
        </w:rPr>
        <w:t>无须另向投标人支付本合同规定之外的其他任何费用。</w:t>
      </w:r>
      <w:r>
        <w:rPr>
          <w:rFonts w:hint="eastAsia"/>
          <w:b w:val="0"/>
          <w:bCs/>
          <w:color w:val="auto"/>
          <w:highlight w:val="none"/>
        </w:rPr>
        <w:t xml:space="preserve"> </w:t>
      </w:r>
    </w:p>
    <w:p>
      <w:pPr>
        <w:pStyle w:val="47"/>
        <w:bidi w:val="0"/>
        <w:rPr>
          <w:rFonts w:hint="eastAsia"/>
          <w:b w:val="0"/>
          <w:bCs/>
          <w:color w:val="auto"/>
          <w:highlight w:val="none"/>
        </w:rPr>
      </w:pPr>
      <w:r>
        <w:rPr>
          <w:rFonts w:hint="eastAsia"/>
          <w:b w:val="0"/>
          <w:bCs/>
          <w:color w:val="auto"/>
          <w:highlight w:val="none"/>
          <w:lang w:val="en-US" w:eastAsia="zh-CN"/>
        </w:rPr>
        <w:t>②</w:t>
      </w:r>
      <w:r>
        <w:rPr>
          <w:rFonts w:hint="eastAsia"/>
          <w:b w:val="0"/>
          <w:bCs/>
          <w:color w:val="auto"/>
          <w:highlight w:val="none"/>
        </w:rPr>
        <w:t>“开标一览表”为多页的，每页均需盖投标人印章</w:t>
      </w:r>
      <w:r>
        <w:rPr>
          <w:rFonts w:hint="eastAsia"/>
          <w:b w:val="0"/>
          <w:bCs/>
          <w:color w:val="auto"/>
          <w:highlight w:val="none"/>
          <w:lang w:eastAsia="zh-CN"/>
        </w:rPr>
        <w:t>，</w:t>
      </w:r>
      <w:r>
        <w:rPr>
          <w:rFonts w:hint="eastAsia"/>
          <w:b w:val="0"/>
          <w:bCs/>
          <w:color w:val="auto"/>
          <w:highlight w:val="none"/>
          <w:lang w:val="en-US" w:eastAsia="zh-CN"/>
        </w:rPr>
        <w:t>否则作无效投标处理</w:t>
      </w:r>
      <w:r>
        <w:rPr>
          <w:rFonts w:hint="eastAsia"/>
          <w:b w:val="0"/>
          <w:bCs/>
          <w:color w:val="auto"/>
          <w:highlight w:val="none"/>
        </w:rPr>
        <w:t>。</w:t>
      </w:r>
    </w:p>
    <w:p>
      <w:pPr>
        <w:pStyle w:val="47"/>
        <w:bidi w:val="0"/>
        <w:rPr>
          <w:color w:val="auto"/>
          <w:highlight w:val="none"/>
        </w:rPr>
      </w:pPr>
      <w:r>
        <w:rPr>
          <w:rFonts w:hint="eastAsia"/>
          <w:color w:val="auto"/>
          <w:highlight w:val="none"/>
        </w:rPr>
        <w:t>③“开标一览表”除了单独密封递交外，</w:t>
      </w:r>
      <w:r>
        <w:rPr>
          <w:rFonts w:hint="eastAsia"/>
          <w:color w:val="auto"/>
          <w:highlight w:val="none"/>
          <w:lang w:val="en-US" w:eastAsia="zh-CN"/>
        </w:rPr>
        <w:t>其他</w:t>
      </w:r>
      <w:r>
        <w:rPr>
          <w:rFonts w:hint="eastAsia"/>
          <w:color w:val="auto"/>
          <w:highlight w:val="none"/>
        </w:rPr>
        <w:t>投标文件(正副本)</w:t>
      </w:r>
      <w:r>
        <w:rPr>
          <w:rFonts w:hint="eastAsia"/>
          <w:color w:val="auto"/>
          <w:highlight w:val="none"/>
          <w:lang w:val="en-US" w:eastAsia="zh-CN"/>
        </w:rPr>
        <w:t>中</w:t>
      </w:r>
      <w:r>
        <w:rPr>
          <w:rFonts w:hint="eastAsia"/>
          <w:color w:val="auto"/>
          <w:highlight w:val="none"/>
        </w:rPr>
        <w:t>也应当提供。</w:t>
      </w:r>
    </w:p>
    <w:p>
      <w:pPr>
        <w:pStyle w:val="42"/>
        <w:bidi w:val="0"/>
        <w:rPr>
          <w:rFonts w:hint="eastAsia"/>
          <w:color w:val="auto"/>
          <w:highlight w:val="none"/>
          <w:lang w:eastAsia="zh-CN"/>
        </w:rPr>
      </w:pPr>
    </w:p>
    <w:p>
      <w:pPr>
        <w:pStyle w:val="42"/>
        <w:bidi w:val="0"/>
        <w:rPr>
          <w:rFonts w:hint="eastAsia"/>
          <w:color w:val="auto"/>
          <w:highlight w:val="none"/>
        </w:rPr>
      </w:pPr>
    </w:p>
    <w:p>
      <w:pPr>
        <w:pStyle w:val="42"/>
        <w:bidi w:val="0"/>
        <w:rPr>
          <w:rFonts w:hint="eastAsia"/>
          <w:color w:val="auto"/>
          <w:highlight w:val="none"/>
        </w:rPr>
      </w:pPr>
    </w:p>
    <w:p>
      <w:pPr>
        <w:pStyle w:val="42"/>
        <w:bidi w:val="0"/>
        <w:rPr>
          <w:rFonts w:hint="eastAsia"/>
          <w:color w:val="auto"/>
          <w:highlight w:val="none"/>
        </w:rPr>
      </w:pPr>
    </w:p>
    <w:p>
      <w:pPr>
        <w:pStyle w:val="42"/>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(盖章)</w:t>
      </w:r>
    </w:p>
    <w:p>
      <w:pPr>
        <w:pStyle w:val="42"/>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42"/>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lang w:val="en-US" w:eastAsia="zh-CN"/>
        </w:rPr>
      </w:pPr>
      <w:r>
        <w:rPr>
          <w:rFonts w:hint="eastAsia"/>
          <w:color w:val="auto"/>
          <w:highlight w:val="none"/>
        </w:rPr>
        <w:t>投标日期：</w:t>
      </w:r>
      <w:bookmarkStart w:id="973" w:name="_Toc7728"/>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lang w:val="en-US" w:eastAsia="zh-CN"/>
        </w:rPr>
        <w:br w:type="page"/>
      </w:r>
    </w:p>
    <w:p>
      <w:pPr>
        <w:pStyle w:val="44"/>
        <w:numPr>
          <w:ilvl w:val="0"/>
          <w:numId w:val="23"/>
        </w:numPr>
        <w:bidi w:val="0"/>
        <w:ind w:left="0" w:leftChars="0" w:firstLine="0" w:firstLineChars="0"/>
        <w:rPr>
          <w:rFonts w:hint="eastAsia"/>
          <w:color w:val="auto"/>
          <w:highlight w:val="none"/>
          <w:lang w:val="en-US" w:eastAsia="zh-CN"/>
        </w:rPr>
      </w:pPr>
      <w:bookmarkStart w:id="974" w:name="_Toc23742"/>
      <w:bookmarkStart w:id="975" w:name="_Toc17812"/>
      <w:bookmarkStart w:id="976" w:name="_Toc18840"/>
      <w:bookmarkStart w:id="977" w:name="_Toc19101"/>
      <w:r>
        <w:rPr>
          <w:rFonts w:hint="eastAsia"/>
          <w:color w:val="auto"/>
          <w:highlight w:val="none"/>
          <w:lang w:val="en-US" w:eastAsia="zh-CN"/>
        </w:rPr>
        <w:t>分项报价明细表</w:t>
      </w:r>
      <w:bookmarkEnd w:id="973"/>
      <w:bookmarkEnd w:id="974"/>
      <w:bookmarkEnd w:id="975"/>
      <w:bookmarkEnd w:id="976"/>
      <w:bookmarkEnd w:id="977"/>
    </w:p>
    <w:p>
      <w:pPr>
        <w:pStyle w:val="42"/>
        <w:bidi w:val="0"/>
        <w:rPr>
          <w:rFonts w:hint="eastAsia"/>
          <w:b w:val="0"/>
          <w:bCs w:val="0"/>
          <w:color w:val="auto"/>
          <w:highlight w:val="none"/>
          <w:u w:val="single"/>
        </w:rPr>
      </w:pPr>
      <w:r>
        <w:rPr>
          <w:rFonts w:hint="eastAsia"/>
          <w:b w:val="0"/>
          <w:bCs w:val="0"/>
          <w:color w:val="auto"/>
          <w:highlight w:val="none"/>
        </w:rPr>
        <w:t>项目名称：</w:t>
      </w:r>
      <w:r>
        <w:rPr>
          <w:rFonts w:hint="eastAsia"/>
          <w:b w:val="0"/>
          <w:bCs w:val="0"/>
          <w:color w:val="auto"/>
          <w:highlight w:val="none"/>
          <w:u w:val="single"/>
        </w:rPr>
        <w:t xml:space="preserve">              </w:t>
      </w:r>
      <w:r>
        <w:rPr>
          <w:rFonts w:hint="eastAsia"/>
          <w:b w:val="0"/>
          <w:bCs w:val="0"/>
          <w:color w:val="auto"/>
          <w:highlight w:val="none"/>
          <w:u w:val="single"/>
          <w:lang w:val="en-US" w:eastAsia="zh-CN"/>
        </w:rPr>
        <w:t xml:space="preserve">             </w:t>
      </w:r>
      <w:r>
        <w:rPr>
          <w:rFonts w:hint="eastAsia"/>
          <w:b w:val="0"/>
          <w:bCs w:val="0"/>
          <w:color w:val="auto"/>
          <w:highlight w:val="none"/>
          <w:u w:val="single"/>
        </w:rPr>
        <w:t xml:space="preserve"> </w:t>
      </w:r>
    </w:p>
    <w:p>
      <w:pPr>
        <w:pStyle w:val="42"/>
        <w:bidi w:val="0"/>
        <w:rPr>
          <w:rFonts w:hint="eastAsia"/>
          <w:b w:val="0"/>
          <w:bCs w:val="0"/>
          <w:color w:val="auto"/>
          <w:highlight w:val="none"/>
          <w:u w:val="single"/>
        </w:rPr>
      </w:pPr>
      <w:r>
        <w:rPr>
          <w:rFonts w:hint="eastAsia"/>
          <w:b w:val="0"/>
          <w:bCs w:val="0"/>
          <w:color w:val="auto"/>
          <w:highlight w:val="none"/>
        </w:rPr>
        <w:t>项目编号：</w:t>
      </w:r>
      <w:r>
        <w:rPr>
          <w:rFonts w:hint="eastAsia"/>
          <w:b w:val="0"/>
          <w:bCs w:val="0"/>
          <w:color w:val="auto"/>
          <w:highlight w:val="none"/>
          <w:u w:val="single"/>
        </w:rPr>
        <w:t xml:space="preserve">               </w:t>
      </w:r>
      <w:r>
        <w:rPr>
          <w:rFonts w:hint="eastAsia"/>
          <w:b w:val="0"/>
          <w:bCs w:val="0"/>
          <w:color w:val="auto"/>
          <w:highlight w:val="none"/>
          <w:u w:val="single"/>
          <w:lang w:val="en-US" w:eastAsia="zh-CN"/>
        </w:rPr>
        <w:t xml:space="preserve">             </w:t>
      </w:r>
    </w:p>
    <w:tbl>
      <w:tblPr>
        <w:tblStyle w:val="21"/>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159"/>
        <w:gridCol w:w="1014"/>
        <w:gridCol w:w="1014"/>
        <w:gridCol w:w="1014"/>
        <w:gridCol w:w="1014"/>
        <w:gridCol w:w="1014"/>
        <w:gridCol w:w="1014"/>
        <w:gridCol w:w="1014"/>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exact"/>
          <w:jc w:val="center"/>
        </w:trPr>
        <w:tc>
          <w:tcPr>
            <w:tcW w:w="681" w:type="dxa"/>
            <w:vAlign w:val="center"/>
          </w:tcPr>
          <w:p>
            <w:pPr>
              <w:pStyle w:val="45"/>
              <w:rPr>
                <w:b/>
                <w:bCs/>
                <w:color w:val="auto"/>
                <w:highlight w:val="none"/>
              </w:rPr>
            </w:pPr>
            <w:bookmarkStart w:id="978" w:name="_Toc24396"/>
            <w:r>
              <w:rPr>
                <w:rFonts w:hint="eastAsia"/>
                <w:b/>
                <w:bCs/>
                <w:color w:val="auto"/>
                <w:highlight w:val="none"/>
              </w:rPr>
              <w:t>序号</w:t>
            </w:r>
            <w:bookmarkEnd w:id="978"/>
          </w:p>
        </w:tc>
        <w:tc>
          <w:tcPr>
            <w:tcW w:w="1159" w:type="dxa"/>
            <w:vAlign w:val="center"/>
          </w:tcPr>
          <w:p>
            <w:pPr>
              <w:pStyle w:val="45"/>
              <w:rPr>
                <w:b/>
                <w:bCs/>
                <w:color w:val="auto"/>
                <w:highlight w:val="none"/>
              </w:rPr>
            </w:pPr>
            <w:bookmarkStart w:id="979" w:name="_Toc10307"/>
            <w:r>
              <w:rPr>
                <w:rFonts w:hint="eastAsia"/>
                <w:b/>
                <w:bCs/>
                <w:color w:val="auto"/>
                <w:highlight w:val="none"/>
                <w:lang w:val="en-US" w:eastAsia="zh-CN"/>
              </w:rPr>
              <w:t>标的</w:t>
            </w:r>
            <w:r>
              <w:rPr>
                <w:rFonts w:hint="eastAsia"/>
                <w:b/>
                <w:bCs/>
                <w:color w:val="auto"/>
                <w:highlight w:val="none"/>
              </w:rPr>
              <w:t>名称</w:t>
            </w:r>
            <w:bookmarkEnd w:id="979"/>
          </w:p>
        </w:tc>
        <w:tc>
          <w:tcPr>
            <w:tcW w:w="1014" w:type="dxa"/>
            <w:vAlign w:val="center"/>
          </w:tcPr>
          <w:p>
            <w:pPr>
              <w:pStyle w:val="45"/>
              <w:rPr>
                <w:b/>
                <w:bCs/>
                <w:color w:val="auto"/>
                <w:highlight w:val="none"/>
              </w:rPr>
            </w:pPr>
            <w:r>
              <w:rPr>
                <w:rFonts w:hint="eastAsia"/>
                <w:b/>
                <w:bCs/>
                <w:color w:val="auto"/>
                <w:highlight w:val="none"/>
              </w:rPr>
              <w:t>品牌</w:t>
            </w:r>
          </w:p>
        </w:tc>
        <w:tc>
          <w:tcPr>
            <w:tcW w:w="1014" w:type="dxa"/>
            <w:vAlign w:val="center"/>
          </w:tcPr>
          <w:p>
            <w:pPr>
              <w:pStyle w:val="45"/>
              <w:rPr>
                <w:b/>
                <w:bCs/>
                <w:color w:val="auto"/>
                <w:highlight w:val="none"/>
              </w:rPr>
            </w:pPr>
            <w:bookmarkStart w:id="980" w:name="_Toc3010"/>
            <w:r>
              <w:rPr>
                <w:rFonts w:hint="eastAsia"/>
                <w:b/>
                <w:bCs/>
                <w:color w:val="auto"/>
                <w:highlight w:val="none"/>
              </w:rPr>
              <w:t>规格</w:t>
            </w:r>
            <w:bookmarkEnd w:id="980"/>
          </w:p>
        </w:tc>
        <w:tc>
          <w:tcPr>
            <w:tcW w:w="1014" w:type="dxa"/>
            <w:vAlign w:val="center"/>
          </w:tcPr>
          <w:p>
            <w:pPr>
              <w:pStyle w:val="45"/>
              <w:rPr>
                <w:rFonts w:hint="eastAsia"/>
                <w:b/>
                <w:bCs/>
                <w:color w:val="auto"/>
                <w:highlight w:val="none"/>
              </w:rPr>
            </w:pPr>
            <w:r>
              <w:rPr>
                <w:rFonts w:hint="eastAsia"/>
                <w:b/>
                <w:bCs/>
                <w:color w:val="auto"/>
                <w:highlight w:val="none"/>
              </w:rPr>
              <w:t>型号</w:t>
            </w:r>
          </w:p>
        </w:tc>
        <w:tc>
          <w:tcPr>
            <w:tcW w:w="1014" w:type="dxa"/>
            <w:vAlign w:val="center"/>
          </w:tcPr>
          <w:p>
            <w:pPr>
              <w:pStyle w:val="45"/>
              <w:rPr>
                <w:b/>
                <w:bCs/>
                <w:color w:val="auto"/>
                <w:highlight w:val="none"/>
              </w:rPr>
            </w:pPr>
            <w:r>
              <w:rPr>
                <w:rFonts w:hint="eastAsia"/>
                <w:b/>
                <w:bCs/>
                <w:color w:val="auto"/>
                <w:highlight w:val="none"/>
              </w:rPr>
              <w:t>产地</w:t>
            </w:r>
          </w:p>
        </w:tc>
        <w:tc>
          <w:tcPr>
            <w:tcW w:w="1014" w:type="dxa"/>
            <w:vAlign w:val="center"/>
          </w:tcPr>
          <w:p>
            <w:pPr>
              <w:pStyle w:val="45"/>
              <w:rPr>
                <w:b/>
                <w:bCs/>
                <w:color w:val="auto"/>
                <w:highlight w:val="none"/>
              </w:rPr>
            </w:pPr>
            <w:bookmarkStart w:id="981" w:name="_Toc2282"/>
            <w:r>
              <w:rPr>
                <w:rFonts w:hint="eastAsia"/>
                <w:b/>
                <w:bCs/>
                <w:color w:val="auto"/>
                <w:highlight w:val="none"/>
              </w:rPr>
              <w:t>单价</w:t>
            </w:r>
            <w:bookmarkEnd w:id="981"/>
            <w:r>
              <w:rPr>
                <w:rFonts w:hint="eastAsia"/>
                <w:b/>
                <w:bCs/>
                <w:color w:val="auto"/>
                <w:highlight w:val="none"/>
              </w:rPr>
              <w:t>(元)</w:t>
            </w:r>
          </w:p>
        </w:tc>
        <w:tc>
          <w:tcPr>
            <w:tcW w:w="1014" w:type="dxa"/>
            <w:vAlign w:val="center"/>
          </w:tcPr>
          <w:p>
            <w:pPr>
              <w:pStyle w:val="45"/>
              <w:rPr>
                <w:b/>
                <w:bCs/>
                <w:color w:val="auto"/>
                <w:highlight w:val="none"/>
              </w:rPr>
            </w:pPr>
            <w:bookmarkStart w:id="982" w:name="_Toc7156"/>
            <w:r>
              <w:rPr>
                <w:rFonts w:hint="eastAsia"/>
                <w:b/>
                <w:bCs/>
                <w:color w:val="auto"/>
                <w:highlight w:val="none"/>
              </w:rPr>
              <w:t>数量</w:t>
            </w:r>
            <w:bookmarkEnd w:id="982"/>
          </w:p>
        </w:tc>
        <w:tc>
          <w:tcPr>
            <w:tcW w:w="1014" w:type="dxa"/>
            <w:vAlign w:val="center"/>
          </w:tcPr>
          <w:p>
            <w:pPr>
              <w:pStyle w:val="45"/>
              <w:rPr>
                <w:b/>
                <w:bCs/>
                <w:color w:val="auto"/>
                <w:highlight w:val="none"/>
              </w:rPr>
            </w:pPr>
            <w:r>
              <w:rPr>
                <w:rFonts w:hint="eastAsia"/>
                <w:b/>
                <w:bCs/>
                <w:color w:val="auto"/>
                <w:highlight w:val="none"/>
              </w:rPr>
              <w:t>单位</w:t>
            </w:r>
          </w:p>
        </w:tc>
        <w:tc>
          <w:tcPr>
            <w:tcW w:w="1018" w:type="dxa"/>
            <w:vAlign w:val="center"/>
          </w:tcPr>
          <w:p>
            <w:pPr>
              <w:pStyle w:val="45"/>
              <w:rPr>
                <w:b/>
                <w:bCs/>
                <w:color w:val="auto"/>
                <w:highlight w:val="none"/>
              </w:rPr>
            </w:pPr>
            <w:r>
              <w:rPr>
                <w:rFonts w:hint="eastAsia"/>
                <w:b/>
                <w:bCs/>
                <w:color w:val="auto"/>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pStyle w:val="45"/>
              <w:rPr>
                <w:b/>
                <w:bCs/>
                <w:color w:val="auto"/>
                <w:highlight w:val="none"/>
              </w:rPr>
            </w:pPr>
          </w:p>
        </w:tc>
        <w:tc>
          <w:tcPr>
            <w:tcW w:w="1159" w:type="dxa"/>
            <w:vAlign w:val="center"/>
          </w:tcPr>
          <w:p>
            <w:pPr>
              <w:pStyle w:val="45"/>
              <w:rPr>
                <w:b/>
                <w:bCs/>
                <w:color w:val="auto"/>
                <w:highlight w:val="none"/>
              </w:rPr>
            </w:pPr>
          </w:p>
        </w:tc>
        <w:tc>
          <w:tcPr>
            <w:tcW w:w="1014" w:type="dxa"/>
            <w:vAlign w:val="center"/>
          </w:tcPr>
          <w:p>
            <w:pPr>
              <w:pStyle w:val="45"/>
              <w:rPr>
                <w:b/>
                <w:bCs/>
                <w:color w:val="auto"/>
                <w:highlight w:val="none"/>
              </w:rPr>
            </w:pPr>
          </w:p>
        </w:tc>
        <w:tc>
          <w:tcPr>
            <w:tcW w:w="1014" w:type="dxa"/>
            <w:vAlign w:val="center"/>
          </w:tcPr>
          <w:p>
            <w:pPr>
              <w:pStyle w:val="45"/>
              <w:rPr>
                <w:b/>
                <w:bCs/>
                <w:color w:val="auto"/>
                <w:highlight w:val="none"/>
              </w:rPr>
            </w:pPr>
          </w:p>
        </w:tc>
        <w:tc>
          <w:tcPr>
            <w:tcW w:w="1014" w:type="dxa"/>
            <w:vAlign w:val="center"/>
          </w:tcPr>
          <w:p>
            <w:pPr>
              <w:pStyle w:val="45"/>
              <w:rPr>
                <w:b/>
                <w:bCs/>
                <w:color w:val="auto"/>
                <w:highlight w:val="none"/>
              </w:rPr>
            </w:pPr>
          </w:p>
        </w:tc>
        <w:tc>
          <w:tcPr>
            <w:tcW w:w="1014" w:type="dxa"/>
            <w:vAlign w:val="center"/>
          </w:tcPr>
          <w:p>
            <w:pPr>
              <w:pStyle w:val="45"/>
              <w:rPr>
                <w:b/>
                <w:bCs/>
                <w:color w:val="auto"/>
                <w:highlight w:val="none"/>
              </w:rPr>
            </w:pPr>
          </w:p>
        </w:tc>
        <w:tc>
          <w:tcPr>
            <w:tcW w:w="1014" w:type="dxa"/>
            <w:vAlign w:val="center"/>
          </w:tcPr>
          <w:p>
            <w:pPr>
              <w:pStyle w:val="45"/>
              <w:rPr>
                <w:b/>
                <w:bCs/>
                <w:color w:val="auto"/>
                <w:highlight w:val="none"/>
              </w:rPr>
            </w:pPr>
          </w:p>
        </w:tc>
        <w:tc>
          <w:tcPr>
            <w:tcW w:w="1014" w:type="dxa"/>
            <w:vAlign w:val="center"/>
          </w:tcPr>
          <w:p>
            <w:pPr>
              <w:pStyle w:val="45"/>
              <w:rPr>
                <w:b/>
                <w:bCs/>
                <w:color w:val="auto"/>
                <w:highlight w:val="none"/>
              </w:rPr>
            </w:pPr>
          </w:p>
        </w:tc>
        <w:tc>
          <w:tcPr>
            <w:tcW w:w="1014" w:type="dxa"/>
            <w:vAlign w:val="center"/>
          </w:tcPr>
          <w:p>
            <w:pPr>
              <w:pStyle w:val="45"/>
              <w:rPr>
                <w:b/>
                <w:bCs/>
                <w:color w:val="auto"/>
                <w:highlight w:val="none"/>
              </w:rPr>
            </w:pPr>
          </w:p>
        </w:tc>
        <w:tc>
          <w:tcPr>
            <w:tcW w:w="1018" w:type="dxa"/>
            <w:vAlign w:val="center"/>
          </w:tcPr>
          <w:p>
            <w:pPr>
              <w:pStyle w:val="45"/>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pStyle w:val="42"/>
              <w:rPr>
                <w:color w:val="auto"/>
                <w:highlight w:val="none"/>
              </w:rPr>
            </w:pPr>
          </w:p>
        </w:tc>
        <w:tc>
          <w:tcPr>
            <w:tcW w:w="1159" w:type="dxa"/>
            <w:vAlign w:val="center"/>
          </w:tcPr>
          <w:p>
            <w:pPr>
              <w:pStyle w:val="42"/>
              <w:rPr>
                <w:color w:val="auto"/>
                <w:highlight w:val="none"/>
              </w:rPr>
            </w:pPr>
          </w:p>
        </w:tc>
        <w:tc>
          <w:tcPr>
            <w:tcW w:w="1014" w:type="dxa"/>
            <w:vAlign w:val="center"/>
          </w:tcPr>
          <w:p>
            <w:pPr>
              <w:pStyle w:val="42"/>
              <w:rPr>
                <w:color w:val="auto"/>
                <w:highlight w:val="none"/>
              </w:rPr>
            </w:pPr>
          </w:p>
        </w:tc>
        <w:tc>
          <w:tcPr>
            <w:tcW w:w="1014" w:type="dxa"/>
            <w:vAlign w:val="center"/>
          </w:tcPr>
          <w:p>
            <w:pPr>
              <w:pStyle w:val="42"/>
              <w:rPr>
                <w:color w:val="auto"/>
                <w:highlight w:val="none"/>
              </w:rPr>
            </w:pPr>
          </w:p>
        </w:tc>
        <w:tc>
          <w:tcPr>
            <w:tcW w:w="1014" w:type="dxa"/>
            <w:vAlign w:val="center"/>
          </w:tcPr>
          <w:p>
            <w:pPr>
              <w:pStyle w:val="42"/>
              <w:rPr>
                <w:color w:val="auto"/>
                <w:highlight w:val="none"/>
              </w:rPr>
            </w:pPr>
          </w:p>
        </w:tc>
        <w:tc>
          <w:tcPr>
            <w:tcW w:w="1014" w:type="dxa"/>
            <w:vAlign w:val="center"/>
          </w:tcPr>
          <w:p>
            <w:pPr>
              <w:pStyle w:val="42"/>
              <w:rPr>
                <w:color w:val="auto"/>
                <w:highlight w:val="none"/>
              </w:rPr>
            </w:pPr>
          </w:p>
        </w:tc>
        <w:tc>
          <w:tcPr>
            <w:tcW w:w="1014" w:type="dxa"/>
            <w:vAlign w:val="center"/>
          </w:tcPr>
          <w:p>
            <w:pPr>
              <w:pStyle w:val="42"/>
              <w:rPr>
                <w:color w:val="auto"/>
                <w:highlight w:val="none"/>
              </w:rPr>
            </w:pPr>
          </w:p>
        </w:tc>
        <w:tc>
          <w:tcPr>
            <w:tcW w:w="1014" w:type="dxa"/>
            <w:vAlign w:val="center"/>
          </w:tcPr>
          <w:p>
            <w:pPr>
              <w:pStyle w:val="42"/>
              <w:rPr>
                <w:color w:val="auto"/>
                <w:highlight w:val="none"/>
              </w:rPr>
            </w:pPr>
          </w:p>
        </w:tc>
        <w:tc>
          <w:tcPr>
            <w:tcW w:w="1014" w:type="dxa"/>
            <w:vAlign w:val="center"/>
          </w:tcPr>
          <w:p>
            <w:pPr>
              <w:pStyle w:val="42"/>
              <w:rPr>
                <w:color w:val="auto"/>
                <w:highlight w:val="none"/>
              </w:rPr>
            </w:pPr>
          </w:p>
        </w:tc>
        <w:tc>
          <w:tcPr>
            <w:tcW w:w="1018" w:type="dxa"/>
            <w:vAlign w:val="center"/>
          </w:tcPr>
          <w:p>
            <w:pPr>
              <w:pStyle w:val="4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pStyle w:val="42"/>
              <w:rPr>
                <w:color w:val="auto"/>
                <w:highlight w:val="none"/>
              </w:rPr>
            </w:pPr>
          </w:p>
        </w:tc>
        <w:tc>
          <w:tcPr>
            <w:tcW w:w="1159" w:type="dxa"/>
            <w:vAlign w:val="center"/>
          </w:tcPr>
          <w:p>
            <w:pPr>
              <w:pStyle w:val="42"/>
              <w:rPr>
                <w:color w:val="auto"/>
                <w:highlight w:val="none"/>
              </w:rPr>
            </w:pPr>
          </w:p>
        </w:tc>
        <w:tc>
          <w:tcPr>
            <w:tcW w:w="1014" w:type="dxa"/>
            <w:vAlign w:val="center"/>
          </w:tcPr>
          <w:p>
            <w:pPr>
              <w:pStyle w:val="42"/>
              <w:rPr>
                <w:color w:val="auto"/>
                <w:highlight w:val="none"/>
              </w:rPr>
            </w:pPr>
          </w:p>
        </w:tc>
        <w:tc>
          <w:tcPr>
            <w:tcW w:w="1014" w:type="dxa"/>
            <w:vAlign w:val="center"/>
          </w:tcPr>
          <w:p>
            <w:pPr>
              <w:pStyle w:val="42"/>
              <w:rPr>
                <w:color w:val="auto"/>
                <w:highlight w:val="none"/>
              </w:rPr>
            </w:pPr>
          </w:p>
        </w:tc>
        <w:tc>
          <w:tcPr>
            <w:tcW w:w="1014" w:type="dxa"/>
            <w:vAlign w:val="center"/>
          </w:tcPr>
          <w:p>
            <w:pPr>
              <w:pStyle w:val="42"/>
              <w:rPr>
                <w:color w:val="auto"/>
                <w:highlight w:val="none"/>
              </w:rPr>
            </w:pPr>
          </w:p>
        </w:tc>
        <w:tc>
          <w:tcPr>
            <w:tcW w:w="1014" w:type="dxa"/>
            <w:vAlign w:val="center"/>
          </w:tcPr>
          <w:p>
            <w:pPr>
              <w:pStyle w:val="42"/>
              <w:rPr>
                <w:color w:val="auto"/>
                <w:highlight w:val="none"/>
              </w:rPr>
            </w:pPr>
          </w:p>
        </w:tc>
        <w:tc>
          <w:tcPr>
            <w:tcW w:w="1014" w:type="dxa"/>
            <w:vAlign w:val="center"/>
          </w:tcPr>
          <w:p>
            <w:pPr>
              <w:pStyle w:val="42"/>
              <w:rPr>
                <w:color w:val="auto"/>
                <w:highlight w:val="none"/>
              </w:rPr>
            </w:pPr>
          </w:p>
        </w:tc>
        <w:tc>
          <w:tcPr>
            <w:tcW w:w="1014" w:type="dxa"/>
            <w:vAlign w:val="center"/>
          </w:tcPr>
          <w:p>
            <w:pPr>
              <w:pStyle w:val="42"/>
              <w:rPr>
                <w:color w:val="auto"/>
                <w:highlight w:val="none"/>
              </w:rPr>
            </w:pPr>
          </w:p>
        </w:tc>
        <w:tc>
          <w:tcPr>
            <w:tcW w:w="1014" w:type="dxa"/>
            <w:vAlign w:val="center"/>
          </w:tcPr>
          <w:p>
            <w:pPr>
              <w:pStyle w:val="42"/>
              <w:rPr>
                <w:color w:val="auto"/>
                <w:highlight w:val="none"/>
              </w:rPr>
            </w:pPr>
          </w:p>
        </w:tc>
        <w:tc>
          <w:tcPr>
            <w:tcW w:w="1018" w:type="dxa"/>
            <w:vAlign w:val="center"/>
          </w:tcPr>
          <w:p>
            <w:pPr>
              <w:pStyle w:val="4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tcBorders>
              <w:left w:val="single" w:color="auto" w:sz="4" w:space="0"/>
            </w:tcBorders>
            <w:vAlign w:val="center"/>
          </w:tcPr>
          <w:p>
            <w:pPr>
              <w:pStyle w:val="42"/>
              <w:rPr>
                <w:color w:val="auto"/>
                <w:highlight w:val="none"/>
              </w:rPr>
            </w:pPr>
          </w:p>
        </w:tc>
        <w:tc>
          <w:tcPr>
            <w:tcW w:w="1159" w:type="dxa"/>
            <w:vAlign w:val="center"/>
          </w:tcPr>
          <w:p>
            <w:pPr>
              <w:pStyle w:val="42"/>
              <w:rPr>
                <w:color w:val="auto"/>
                <w:highlight w:val="none"/>
              </w:rPr>
            </w:pPr>
          </w:p>
        </w:tc>
        <w:tc>
          <w:tcPr>
            <w:tcW w:w="1014" w:type="dxa"/>
            <w:vAlign w:val="center"/>
          </w:tcPr>
          <w:p>
            <w:pPr>
              <w:pStyle w:val="42"/>
              <w:rPr>
                <w:color w:val="auto"/>
                <w:highlight w:val="none"/>
              </w:rPr>
            </w:pPr>
          </w:p>
        </w:tc>
        <w:tc>
          <w:tcPr>
            <w:tcW w:w="1014" w:type="dxa"/>
            <w:vAlign w:val="center"/>
          </w:tcPr>
          <w:p>
            <w:pPr>
              <w:pStyle w:val="42"/>
              <w:rPr>
                <w:color w:val="auto"/>
                <w:highlight w:val="none"/>
              </w:rPr>
            </w:pPr>
          </w:p>
        </w:tc>
        <w:tc>
          <w:tcPr>
            <w:tcW w:w="1014" w:type="dxa"/>
            <w:vAlign w:val="center"/>
          </w:tcPr>
          <w:p>
            <w:pPr>
              <w:pStyle w:val="42"/>
              <w:rPr>
                <w:color w:val="auto"/>
                <w:highlight w:val="none"/>
              </w:rPr>
            </w:pPr>
          </w:p>
        </w:tc>
        <w:tc>
          <w:tcPr>
            <w:tcW w:w="1014" w:type="dxa"/>
            <w:vAlign w:val="center"/>
          </w:tcPr>
          <w:p>
            <w:pPr>
              <w:pStyle w:val="42"/>
              <w:rPr>
                <w:color w:val="auto"/>
                <w:highlight w:val="none"/>
              </w:rPr>
            </w:pPr>
          </w:p>
        </w:tc>
        <w:tc>
          <w:tcPr>
            <w:tcW w:w="1014" w:type="dxa"/>
            <w:vAlign w:val="center"/>
          </w:tcPr>
          <w:p>
            <w:pPr>
              <w:pStyle w:val="42"/>
              <w:rPr>
                <w:color w:val="auto"/>
                <w:highlight w:val="none"/>
              </w:rPr>
            </w:pPr>
          </w:p>
        </w:tc>
        <w:tc>
          <w:tcPr>
            <w:tcW w:w="1014" w:type="dxa"/>
            <w:vAlign w:val="center"/>
          </w:tcPr>
          <w:p>
            <w:pPr>
              <w:pStyle w:val="42"/>
              <w:rPr>
                <w:color w:val="auto"/>
                <w:highlight w:val="none"/>
              </w:rPr>
            </w:pPr>
          </w:p>
        </w:tc>
        <w:tc>
          <w:tcPr>
            <w:tcW w:w="1014" w:type="dxa"/>
            <w:vAlign w:val="center"/>
          </w:tcPr>
          <w:p>
            <w:pPr>
              <w:pStyle w:val="42"/>
              <w:rPr>
                <w:color w:val="auto"/>
                <w:highlight w:val="none"/>
              </w:rPr>
            </w:pPr>
          </w:p>
        </w:tc>
        <w:tc>
          <w:tcPr>
            <w:tcW w:w="1018" w:type="dxa"/>
            <w:vAlign w:val="center"/>
          </w:tcPr>
          <w:p>
            <w:pPr>
              <w:pStyle w:val="4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pStyle w:val="42"/>
              <w:rPr>
                <w:color w:val="auto"/>
                <w:highlight w:val="none"/>
              </w:rPr>
            </w:pPr>
          </w:p>
        </w:tc>
        <w:tc>
          <w:tcPr>
            <w:tcW w:w="1159" w:type="dxa"/>
            <w:vAlign w:val="center"/>
          </w:tcPr>
          <w:p>
            <w:pPr>
              <w:pStyle w:val="42"/>
              <w:rPr>
                <w:color w:val="auto"/>
                <w:highlight w:val="none"/>
              </w:rPr>
            </w:pPr>
          </w:p>
        </w:tc>
        <w:tc>
          <w:tcPr>
            <w:tcW w:w="1014" w:type="dxa"/>
            <w:vAlign w:val="center"/>
          </w:tcPr>
          <w:p>
            <w:pPr>
              <w:pStyle w:val="42"/>
              <w:rPr>
                <w:color w:val="auto"/>
                <w:highlight w:val="none"/>
              </w:rPr>
            </w:pPr>
          </w:p>
        </w:tc>
        <w:tc>
          <w:tcPr>
            <w:tcW w:w="1014" w:type="dxa"/>
            <w:vAlign w:val="center"/>
          </w:tcPr>
          <w:p>
            <w:pPr>
              <w:pStyle w:val="42"/>
              <w:rPr>
                <w:color w:val="auto"/>
                <w:highlight w:val="none"/>
              </w:rPr>
            </w:pPr>
          </w:p>
        </w:tc>
        <w:tc>
          <w:tcPr>
            <w:tcW w:w="1014" w:type="dxa"/>
            <w:vAlign w:val="center"/>
          </w:tcPr>
          <w:p>
            <w:pPr>
              <w:pStyle w:val="42"/>
              <w:rPr>
                <w:color w:val="auto"/>
                <w:highlight w:val="none"/>
              </w:rPr>
            </w:pPr>
          </w:p>
        </w:tc>
        <w:tc>
          <w:tcPr>
            <w:tcW w:w="1014" w:type="dxa"/>
            <w:vAlign w:val="center"/>
          </w:tcPr>
          <w:p>
            <w:pPr>
              <w:pStyle w:val="42"/>
              <w:rPr>
                <w:color w:val="auto"/>
                <w:highlight w:val="none"/>
              </w:rPr>
            </w:pPr>
          </w:p>
        </w:tc>
        <w:tc>
          <w:tcPr>
            <w:tcW w:w="1014" w:type="dxa"/>
            <w:vAlign w:val="center"/>
          </w:tcPr>
          <w:p>
            <w:pPr>
              <w:pStyle w:val="42"/>
              <w:rPr>
                <w:color w:val="auto"/>
                <w:highlight w:val="none"/>
              </w:rPr>
            </w:pPr>
          </w:p>
        </w:tc>
        <w:tc>
          <w:tcPr>
            <w:tcW w:w="1014" w:type="dxa"/>
            <w:vAlign w:val="center"/>
          </w:tcPr>
          <w:p>
            <w:pPr>
              <w:pStyle w:val="42"/>
              <w:rPr>
                <w:color w:val="auto"/>
                <w:highlight w:val="none"/>
              </w:rPr>
            </w:pPr>
          </w:p>
        </w:tc>
        <w:tc>
          <w:tcPr>
            <w:tcW w:w="1014" w:type="dxa"/>
            <w:vAlign w:val="center"/>
          </w:tcPr>
          <w:p>
            <w:pPr>
              <w:pStyle w:val="42"/>
              <w:rPr>
                <w:color w:val="auto"/>
                <w:highlight w:val="none"/>
              </w:rPr>
            </w:pPr>
          </w:p>
        </w:tc>
        <w:tc>
          <w:tcPr>
            <w:tcW w:w="1018" w:type="dxa"/>
            <w:vAlign w:val="center"/>
          </w:tcPr>
          <w:p>
            <w:pPr>
              <w:pStyle w:val="4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pStyle w:val="42"/>
              <w:rPr>
                <w:color w:val="auto"/>
                <w:highlight w:val="none"/>
              </w:rPr>
            </w:pPr>
          </w:p>
        </w:tc>
        <w:tc>
          <w:tcPr>
            <w:tcW w:w="1159" w:type="dxa"/>
            <w:vAlign w:val="center"/>
          </w:tcPr>
          <w:p>
            <w:pPr>
              <w:pStyle w:val="42"/>
              <w:rPr>
                <w:color w:val="auto"/>
                <w:highlight w:val="none"/>
              </w:rPr>
            </w:pPr>
          </w:p>
        </w:tc>
        <w:tc>
          <w:tcPr>
            <w:tcW w:w="1014" w:type="dxa"/>
            <w:vAlign w:val="center"/>
          </w:tcPr>
          <w:p>
            <w:pPr>
              <w:pStyle w:val="42"/>
              <w:rPr>
                <w:color w:val="auto"/>
                <w:highlight w:val="none"/>
              </w:rPr>
            </w:pPr>
          </w:p>
        </w:tc>
        <w:tc>
          <w:tcPr>
            <w:tcW w:w="1014" w:type="dxa"/>
            <w:vAlign w:val="center"/>
          </w:tcPr>
          <w:p>
            <w:pPr>
              <w:pStyle w:val="42"/>
              <w:rPr>
                <w:color w:val="auto"/>
                <w:highlight w:val="none"/>
              </w:rPr>
            </w:pPr>
          </w:p>
        </w:tc>
        <w:tc>
          <w:tcPr>
            <w:tcW w:w="1014" w:type="dxa"/>
            <w:vAlign w:val="center"/>
          </w:tcPr>
          <w:p>
            <w:pPr>
              <w:pStyle w:val="42"/>
              <w:rPr>
                <w:color w:val="auto"/>
                <w:highlight w:val="none"/>
              </w:rPr>
            </w:pPr>
          </w:p>
        </w:tc>
        <w:tc>
          <w:tcPr>
            <w:tcW w:w="1014" w:type="dxa"/>
            <w:vAlign w:val="center"/>
          </w:tcPr>
          <w:p>
            <w:pPr>
              <w:pStyle w:val="42"/>
              <w:rPr>
                <w:color w:val="auto"/>
                <w:highlight w:val="none"/>
              </w:rPr>
            </w:pPr>
          </w:p>
        </w:tc>
        <w:tc>
          <w:tcPr>
            <w:tcW w:w="1014" w:type="dxa"/>
            <w:vAlign w:val="center"/>
          </w:tcPr>
          <w:p>
            <w:pPr>
              <w:pStyle w:val="42"/>
              <w:rPr>
                <w:color w:val="auto"/>
                <w:highlight w:val="none"/>
              </w:rPr>
            </w:pPr>
          </w:p>
        </w:tc>
        <w:tc>
          <w:tcPr>
            <w:tcW w:w="1014" w:type="dxa"/>
            <w:vAlign w:val="center"/>
          </w:tcPr>
          <w:p>
            <w:pPr>
              <w:pStyle w:val="42"/>
              <w:rPr>
                <w:color w:val="auto"/>
                <w:highlight w:val="none"/>
              </w:rPr>
            </w:pPr>
          </w:p>
        </w:tc>
        <w:tc>
          <w:tcPr>
            <w:tcW w:w="1014" w:type="dxa"/>
            <w:vAlign w:val="center"/>
          </w:tcPr>
          <w:p>
            <w:pPr>
              <w:pStyle w:val="42"/>
              <w:rPr>
                <w:color w:val="auto"/>
                <w:highlight w:val="none"/>
              </w:rPr>
            </w:pPr>
          </w:p>
        </w:tc>
        <w:tc>
          <w:tcPr>
            <w:tcW w:w="1018" w:type="dxa"/>
            <w:vAlign w:val="center"/>
          </w:tcPr>
          <w:p>
            <w:pPr>
              <w:pStyle w:val="4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956" w:type="dxa"/>
            <w:gridSpan w:val="10"/>
            <w:vAlign w:val="center"/>
          </w:tcPr>
          <w:p>
            <w:pPr>
              <w:pStyle w:val="41"/>
              <w:rPr>
                <w:color w:val="auto"/>
                <w:highlight w:val="none"/>
              </w:rPr>
            </w:pPr>
            <w:r>
              <w:rPr>
                <w:rFonts w:hint="eastAsia"/>
                <w:color w:val="auto"/>
                <w:highlight w:val="none"/>
              </w:rPr>
              <w:t>分项报价合计金额：</w:t>
            </w:r>
            <w:r>
              <w:rPr>
                <w:rFonts w:hint="eastAsia"/>
                <w:color w:val="auto"/>
                <w:highlight w:val="none"/>
                <w:u w:val="single"/>
              </w:rPr>
              <w:t xml:space="preserve">                   </w:t>
            </w:r>
            <w:r>
              <w:rPr>
                <w:rFonts w:hint="eastAsia"/>
                <w:color w:val="auto"/>
                <w:highlight w:val="none"/>
              </w:rPr>
              <w:t>(大写：</w:t>
            </w:r>
            <w:r>
              <w:rPr>
                <w:rFonts w:hint="eastAsia"/>
                <w:color w:val="auto"/>
                <w:highlight w:val="none"/>
                <w:u w:val="single"/>
              </w:rPr>
              <w:t xml:space="preserve">                   </w:t>
            </w:r>
            <w:r>
              <w:rPr>
                <w:rFonts w:hint="eastAsia"/>
                <w:color w:val="auto"/>
                <w:highlight w:val="none"/>
              </w:rPr>
              <w:t>)</w:t>
            </w:r>
          </w:p>
        </w:tc>
      </w:tr>
    </w:tbl>
    <w:p>
      <w:pPr>
        <w:pStyle w:val="47"/>
        <w:bidi w:val="0"/>
        <w:rPr>
          <w:rFonts w:hint="eastAsia"/>
          <w:color w:val="auto"/>
          <w:highlight w:val="none"/>
        </w:rPr>
      </w:pPr>
      <w:r>
        <w:rPr>
          <w:rFonts w:hint="eastAsia"/>
          <w:color w:val="auto"/>
          <w:highlight w:val="none"/>
        </w:rPr>
        <w:t>注：</w:t>
      </w:r>
      <w:r>
        <w:rPr>
          <w:rFonts w:hint="eastAsia"/>
          <w:color w:val="auto"/>
          <w:highlight w:val="none"/>
          <w:lang w:val="en-US" w:eastAsia="zh-CN"/>
        </w:rPr>
        <w:t>①</w:t>
      </w:r>
      <w:r>
        <w:rPr>
          <w:rFonts w:hint="eastAsia"/>
          <w:color w:val="auto"/>
          <w:highlight w:val="none"/>
        </w:rPr>
        <w:t>投标人必须按“分项报价明细表”的格式详细报出投标总价的各个组成部分的报价，否则作无效投标处理。</w:t>
      </w:r>
    </w:p>
    <w:p>
      <w:pPr>
        <w:pStyle w:val="47"/>
        <w:bidi w:val="0"/>
        <w:rPr>
          <w:rFonts w:hint="eastAsia"/>
          <w:color w:val="auto"/>
          <w:highlight w:val="none"/>
        </w:rPr>
      </w:pPr>
      <w:r>
        <w:rPr>
          <w:rFonts w:hint="eastAsia"/>
          <w:color w:val="auto"/>
          <w:highlight w:val="none"/>
          <w:lang w:val="en-US" w:eastAsia="zh-CN"/>
        </w:rPr>
        <w:t>②</w:t>
      </w:r>
      <w:r>
        <w:rPr>
          <w:rFonts w:hint="eastAsia"/>
          <w:color w:val="auto"/>
          <w:highlight w:val="none"/>
        </w:rPr>
        <w:t>“分项报价明细表”各分项报价合计应当与“开标一览表”报价合计相等。</w:t>
      </w:r>
    </w:p>
    <w:p>
      <w:pPr>
        <w:pStyle w:val="47"/>
        <w:bidi w:val="0"/>
        <w:rPr>
          <w:rFonts w:hint="eastAsia"/>
          <w:color w:val="auto"/>
          <w:highlight w:val="none"/>
        </w:rPr>
      </w:pPr>
      <w:r>
        <w:rPr>
          <w:rFonts w:hint="eastAsia"/>
          <w:color w:val="auto"/>
          <w:highlight w:val="none"/>
          <w:lang w:val="en-US" w:eastAsia="zh-CN"/>
        </w:rPr>
        <w:t>③若国外品牌产品在国内(包含海关特殊监管区域)企业生产或加工，不属于进口产品，投标时供应商应注明实际生产或加工地点。</w:t>
      </w:r>
    </w:p>
    <w:p>
      <w:pPr>
        <w:pStyle w:val="42"/>
        <w:bidi w:val="0"/>
        <w:rPr>
          <w:rFonts w:hint="eastAsia"/>
          <w:color w:val="auto"/>
          <w:highlight w:val="none"/>
          <w:lang w:eastAsia="zh-CN"/>
        </w:rPr>
      </w:pPr>
    </w:p>
    <w:p>
      <w:pPr>
        <w:pStyle w:val="42"/>
        <w:bidi w:val="0"/>
        <w:rPr>
          <w:rFonts w:hint="eastAsia"/>
          <w:color w:val="auto"/>
          <w:highlight w:val="none"/>
          <w:lang w:eastAsia="zh-CN"/>
        </w:rPr>
      </w:pPr>
    </w:p>
    <w:p>
      <w:pPr>
        <w:pStyle w:val="42"/>
        <w:bidi w:val="0"/>
        <w:rPr>
          <w:rFonts w:hint="eastAsia"/>
          <w:color w:val="auto"/>
          <w:highlight w:val="none"/>
          <w:lang w:eastAsia="zh-CN"/>
        </w:rPr>
      </w:pPr>
    </w:p>
    <w:p>
      <w:pPr>
        <w:pStyle w:val="42"/>
        <w:bidi w:val="0"/>
        <w:rPr>
          <w:rFonts w:hint="eastAsia"/>
          <w:color w:val="auto"/>
          <w:highlight w:val="none"/>
        </w:rPr>
      </w:pPr>
    </w:p>
    <w:p>
      <w:pPr>
        <w:pStyle w:val="46"/>
        <w:bidi w:val="0"/>
        <w:rPr>
          <w:rFonts w:hint="eastAsia"/>
          <w:color w:val="auto"/>
          <w:highlight w:val="none"/>
        </w:rPr>
      </w:pPr>
      <w:r>
        <w:rPr>
          <w:rFonts w:hint="eastAsia"/>
          <w:color w:val="auto"/>
          <w:highlight w:val="none"/>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(盖章)</w:t>
      </w:r>
    </w:p>
    <w:p>
      <w:pPr>
        <w:pStyle w:val="46"/>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46"/>
        <w:bidi w:val="0"/>
        <w:rPr>
          <w:rFonts w:hint="eastAsia"/>
          <w:color w:val="auto"/>
          <w:highlight w:val="none"/>
        </w:rPr>
      </w:pPr>
      <w:r>
        <w:rPr>
          <w:rFonts w:hint="eastAsia"/>
          <w:color w:val="auto"/>
          <w:highlight w:val="none"/>
        </w:rPr>
        <w:t>投标日期：</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p>
    <w:p>
      <w:pPr>
        <w:pStyle w:val="42"/>
        <w:bidi w:val="0"/>
        <w:rPr>
          <w:rFonts w:hint="eastAsia"/>
          <w:color w:val="auto"/>
          <w:highlight w:val="none"/>
        </w:rPr>
      </w:pPr>
    </w:p>
    <w:p>
      <w:pPr>
        <w:pStyle w:val="44"/>
        <w:numPr>
          <w:ilvl w:val="0"/>
          <w:numId w:val="23"/>
        </w:numPr>
        <w:bidi w:val="0"/>
        <w:ind w:left="0" w:leftChars="0" w:firstLine="0" w:firstLineChars="0"/>
        <w:rPr>
          <w:rFonts w:hint="eastAsia"/>
          <w:color w:val="auto"/>
          <w:highlight w:val="none"/>
          <w:lang w:val="en-US" w:eastAsia="zh-CN"/>
        </w:rPr>
      </w:pPr>
      <w:bookmarkStart w:id="983" w:name="_Toc327196310"/>
      <w:bookmarkStart w:id="984" w:name="_Toc25577"/>
      <w:bookmarkStart w:id="985" w:name="_Toc217446087"/>
      <w:bookmarkStart w:id="986" w:name="_Toc307501130"/>
      <w:bookmarkStart w:id="987" w:name="_Toc319440166"/>
      <w:bookmarkStart w:id="988" w:name="_Toc32696"/>
      <w:bookmarkStart w:id="989" w:name="_Toc7835"/>
      <w:bookmarkStart w:id="990" w:name="_Toc307564875"/>
      <w:bookmarkStart w:id="991" w:name="_Toc8824"/>
      <w:bookmarkStart w:id="992" w:name="_Toc11461"/>
      <w:bookmarkStart w:id="993" w:name="_Toc21006"/>
      <w:bookmarkStart w:id="994" w:name="_Toc327196312"/>
      <w:bookmarkStart w:id="995" w:name="_Toc26124"/>
      <w:bookmarkStart w:id="996" w:name="_Toc319440168"/>
      <w:bookmarkStart w:id="997" w:name="_Toc24507"/>
      <w:r>
        <w:rPr>
          <w:rFonts w:hint="eastAsia"/>
          <w:color w:val="auto"/>
          <w:highlight w:val="none"/>
          <w:lang w:val="en-US" w:eastAsia="zh-CN"/>
        </w:rPr>
        <w:t>商务应答表</w:t>
      </w:r>
      <w:bookmarkEnd w:id="983"/>
      <w:bookmarkEnd w:id="984"/>
      <w:bookmarkEnd w:id="985"/>
      <w:bookmarkEnd w:id="986"/>
      <w:bookmarkEnd w:id="987"/>
      <w:bookmarkEnd w:id="988"/>
      <w:bookmarkEnd w:id="989"/>
      <w:bookmarkEnd w:id="990"/>
      <w:bookmarkEnd w:id="991"/>
      <w:bookmarkEnd w:id="992"/>
      <w:bookmarkEnd w:id="993"/>
    </w:p>
    <w:p>
      <w:pPr>
        <w:pStyle w:val="42"/>
        <w:rPr>
          <w:color w:val="auto"/>
          <w:highlight w:val="none"/>
          <w:u w:val="single"/>
        </w:rPr>
      </w:pPr>
      <w:r>
        <w:rPr>
          <w:rFonts w:hint="eastAsia"/>
          <w:color w:val="auto"/>
          <w:highlight w:val="none"/>
        </w:rPr>
        <w:t>项目名称：</w:t>
      </w:r>
      <w:r>
        <w:rPr>
          <w:rFonts w:hint="eastAsia"/>
          <w:color w:val="auto"/>
          <w:highlight w:val="none"/>
          <w:u w:val="single"/>
        </w:rPr>
        <w:t xml:space="preserve">                             </w:t>
      </w:r>
      <w:r>
        <w:rPr>
          <w:rFonts w:hint="eastAsia"/>
          <w:color w:val="auto"/>
          <w:highlight w:val="none"/>
        </w:rPr>
        <w:t xml:space="preserve"> </w:t>
      </w:r>
    </w:p>
    <w:p>
      <w:pPr>
        <w:pStyle w:val="42"/>
        <w:rPr>
          <w:color w:val="auto"/>
          <w:highlight w:val="none"/>
        </w:rPr>
      </w:pPr>
      <w:r>
        <w:rPr>
          <w:rFonts w:hint="eastAsia"/>
          <w:color w:val="auto"/>
          <w:highlight w:val="none"/>
        </w:rPr>
        <w:t>项目编号：</w:t>
      </w:r>
      <w:r>
        <w:rPr>
          <w:rFonts w:hint="eastAsia"/>
          <w:color w:val="auto"/>
          <w:highlight w:val="none"/>
          <w:u w:val="single"/>
        </w:rPr>
        <w:t xml:space="preserve">                             </w:t>
      </w:r>
    </w:p>
    <w:tbl>
      <w:tblPr>
        <w:tblStyle w:val="21"/>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061"/>
        <w:gridCol w:w="3900"/>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wordWrap w:val="0"/>
              <w:topLinePunct/>
              <w:spacing w:line="360" w:lineRule="exact"/>
              <w:jc w:val="center"/>
              <w:rPr>
                <w:rFonts w:cs="宋体"/>
                <w:b/>
                <w:bCs/>
                <w:color w:val="auto"/>
                <w:sz w:val="21"/>
                <w:highlight w:val="none"/>
              </w:rPr>
            </w:pPr>
            <w:r>
              <w:rPr>
                <w:rFonts w:hint="eastAsia" w:cs="宋体"/>
                <w:b/>
                <w:bCs/>
                <w:color w:val="auto"/>
                <w:sz w:val="21"/>
                <w:highlight w:val="none"/>
              </w:rPr>
              <w:t>序号</w:t>
            </w:r>
          </w:p>
        </w:tc>
        <w:tc>
          <w:tcPr>
            <w:tcW w:w="4061" w:type="dxa"/>
            <w:vAlign w:val="center"/>
          </w:tcPr>
          <w:p>
            <w:pPr>
              <w:wordWrap w:val="0"/>
              <w:topLinePunct/>
              <w:spacing w:line="360" w:lineRule="exact"/>
              <w:jc w:val="center"/>
              <w:rPr>
                <w:rFonts w:cs="宋体"/>
                <w:b/>
                <w:bCs/>
                <w:color w:val="auto"/>
                <w:sz w:val="21"/>
                <w:highlight w:val="none"/>
              </w:rPr>
            </w:pPr>
            <w:r>
              <w:rPr>
                <w:rFonts w:hint="eastAsia" w:cs="宋体"/>
                <w:b/>
                <w:bCs/>
                <w:color w:val="auto"/>
                <w:sz w:val="21"/>
                <w:highlight w:val="none"/>
                <w:lang w:val="en-US" w:eastAsia="zh-CN"/>
              </w:rPr>
              <w:t>招标</w:t>
            </w:r>
            <w:r>
              <w:rPr>
                <w:rFonts w:hint="eastAsia" w:cs="宋体"/>
                <w:b/>
                <w:bCs/>
                <w:color w:val="auto"/>
                <w:sz w:val="21"/>
                <w:highlight w:val="none"/>
              </w:rPr>
              <w:t>文件第六章的商务要求</w:t>
            </w:r>
            <w:r>
              <w:rPr>
                <w:rFonts w:hint="eastAsia" w:cs="宋体"/>
                <w:b/>
                <w:bCs/>
                <w:color w:val="auto"/>
                <w:sz w:val="21"/>
                <w:highlight w:val="none"/>
                <w:lang w:eastAsia="zh-CN"/>
              </w:rPr>
              <w:t>、</w:t>
            </w:r>
            <w:r>
              <w:rPr>
                <w:rFonts w:hint="eastAsia" w:cs="宋体"/>
                <w:b/>
                <w:bCs/>
                <w:color w:val="auto"/>
                <w:sz w:val="21"/>
                <w:highlight w:val="none"/>
              </w:rPr>
              <w:t>履约保证金，第八章</w:t>
            </w:r>
            <w:r>
              <w:rPr>
                <w:rFonts w:hint="eastAsia" w:cs="宋体"/>
                <w:b/>
                <w:bCs/>
                <w:color w:val="auto"/>
                <w:sz w:val="21"/>
                <w:highlight w:val="none"/>
                <w:lang w:eastAsia="zh-CN"/>
              </w:rPr>
              <w:t>采购合同</w:t>
            </w:r>
            <w:r>
              <w:rPr>
                <w:rFonts w:hint="eastAsia" w:cs="宋体"/>
                <w:b/>
                <w:bCs/>
                <w:color w:val="auto"/>
                <w:sz w:val="21"/>
                <w:highlight w:val="none"/>
              </w:rPr>
              <w:t>主要条款</w:t>
            </w:r>
          </w:p>
        </w:tc>
        <w:tc>
          <w:tcPr>
            <w:tcW w:w="3900" w:type="dxa"/>
            <w:vAlign w:val="center"/>
          </w:tcPr>
          <w:p>
            <w:pPr>
              <w:wordWrap w:val="0"/>
              <w:topLinePunct/>
              <w:spacing w:line="360" w:lineRule="exact"/>
              <w:jc w:val="center"/>
              <w:rPr>
                <w:rFonts w:cs="宋体"/>
                <w:b/>
                <w:bCs/>
                <w:color w:val="auto"/>
                <w:sz w:val="21"/>
                <w:highlight w:val="none"/>
              </w:rPr>
            </w:pPr>
            <w:r>
              <w:rPr>
                <w:rFonts w:hint="eastAsia" w:cs="宋体"/>
                <w:b/>
                <w:bCs/>
                <w:color w:val="auto"/>
                <w:sz w:val="21"/>
                <w:highlight w:val="none"/>
              </w:rPr>
              <w:t>投标应答</w:t>
            </w:r>
          </w:p>
        </w:tc>
        <w:tc>
          <w:tcPr>
            <w:tcW w:w="1223" w:type="dxa"/>
            <w:vAlign w:val="center"/>
          </w:tcPr>
          <w:p>
            <w:pPr>
              <w:wordWrap w:val="0"/>
              <w:topLinePunct/>
              <w:spacing w:line="360" w:lineRule="exact"/>
              <w:jc w:val="center"/>
              <w:rPr>
                <w:rFonts w:cs="宋体"/>
                <w:b/>
                <w:bCs/>
                <w:color w:val="auto"/>
                <w:sz w:val="21"/>
                <w:highlight w:val="none"/>
              </w:rPr>
            </w:pPr>
            <w:r>
              <w:rPr>
                <w:rFonts w:hint="eastAsia" w:cs="宋体"/>
                <w:b/>
                <w:bCs/>
                <w:color w:val="auto"/>
                <w:sz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05" w:type="dxa"/>
            <w:gridSpan w:val="4"/>
          </w:tcPr>
          <w:p>
            <w:pPr>
              <w:wordWrap w:val="0"/>
              <w:topLinePunct/>
              <w:spacing w:line="360" w:lineRule="exact"/>
              <w:rPr>
                <w:rFonts w:cs="宋体"/>
                <w:b/>
                <w:bCs/>
                <w:color w:val="auto"/>
                <w:sz w:val="21"/>
                <w:highlight w:val="none"/>
              </w:rPr>
            </w:pPr>
            <w:r>
              <w:rPr>
                <w:rFonts w:hint="eastAsia" w:cs="宋体"/>
                <w:color w:val="auto"/>
                <w:sz w:val="21"/>
                <w:highlight w:val="none"/>
              </w:rPr>
              <w:t>我公司承诺</w:t>
            </w:r>
            <w:r>
              <w:rPr>
                <w:rFonts w:hint="eastAsia" w:cs="宋体"/>
                <w:color w:val="auto"/>
                <w:sz w:val="21"/>
                <w:highlight w:val="none"/>
                <w:u w:val="single"/>
              </w:rPr>
              <w:t xml:space="preserve">       </w:t>
            </w:r>
            <w:r>
              <w:rPr>
                <w:rFonts w:hint="eastAsia" w:cs="宋体"/>
                <w:color w:val="auto"/>
                <w:sz w:val="21"/>
                <w:highlight w:val="none"/>
              </w:rPr>
              <w:t>(响应/不响应)</w:t>
            </w:r>
            <w:r>
              <w:rPr>
                <w:rFonts w:hint="eastAsia" w:cs="宋体"/>
                <w:color w:val="auto"/>
                <w:sz w:val="21"/>
                <w:highlight w:val="none"/>
                <w:lang w:val="en-US" w:eastAsia="zh-CN"/>
              </w:rPr>
              <w:t>招标</w:t>
            </w:r>
            <w:r>
              <w:rPr>
                <w:rFonts w:hint="eastAsia" w:cs="宋体"/>
                <w:color w:val="auto"/>
                <w:sz w:val="21"/>
                <w:szCs w:val="21"/>
                <w:highlight w:val="none"/>
              </w:rPr>
              <w:t>文件第</w:t>
            </w:r>
            <w:r>
              <w:rPr>
                <w:rFonts w:hint="eastAsia" w:cs="宋体"/>
                <w:color w:val="auto"/>
                <w:sz w:val="21"/>
                <w:szCs w:val="21"/>
                <w:highlight w:val="none"/>
                <w:lang w:val="en-US" w:eastAsia="zh-CN"/>
              </w:rPr>
              <w:t>六</w:t>
            </w:r>
            <w:r>
              <w:rPr>
                <w:rFonts w:hint="eastAsia" w:cs="宋体"/>
                <w:color w:val="auto"/>
                <w:sz w:val="21"/>
                <w:szCs w:val="21"/>
                <w:highlight w:val="none"/>
              </w:rPr>
              <w:t>章</w:t>
            </w:r>
            <w:r>
              <w:rPr>
                <w:rFonts w:hint="eastAsia" w:cs="宋体"/>
                <w:b/>
                <w:bCs/>
                <w:color w:val="auto"/>
                <w:sz w:val="21"/>
                <w:highlight w:val="none"/>
              </w:rPr>
              <w:t>商务要求</w:t>
            </w:r>
            <w:r>
              <w:rPr>
                <w:rFonts w:hint="eastAsia" w:cs="宋体"/>
                <w:b/>
                <w:bCs/>
                <w:color w:val="auto"/>
                <w:sz w:val="21"/>
                <w:highlight w:val="none"/>
                <w:lang w:eastAsia="zh-CN"/>
              </w:rPr>
              <w:t>、</w:t>
            </w:r>
            <w:r>
              <w:rPr>
                <w:rFonts w:hint="eastAsia" w:cs="宋体"/>
                <w:b/>
                <w:bCs/>
                <w:color w:val="auto"/>
                <w:sz w:val="21"/>
                <w:highlight w:val="none"/>
              </w:rPr>
              <w:t>履约保证金，第八章</w:t>
            </w:r>
            <w:r>
              <w:rPr>
                <w:rFonts w:hint="eastAsia" w:cs="宋体"/>
                <w:b/>
                <w:bCs/>
                <w:color w:val="auto"/>
                <w:sz w:val="21"/>
                <w:highlight w:val="none"/>
                <w:lang w:eastAsia="zh-CN"/>
              </w:rPr>
              <w:t>采购合同</w:t>
            </w:r>
            <w:r>
              <w:rPr>
                <w:rFonts w:hint="eastAsia" w:cs="宋体"/>
                <w:b/>
                <w:bCs/>
                <w:color w:val="auto"/>
                <w:sz w:val="21"/>
                <w:highlight w:val="none"/>
              </w:rPr>
              <w:t>主要条款</w:t>
            </w:r>
            <w:r>
              <w:rPr>
                <w:rFonts w:hint="eastAsia" w:cs="宋体"/>
                <w:color w:val="auto"/>
                <w:sz w:val="21"/>
                <w:szCs w:val="21"/>
                <w:highlight w:val="none"/>
              </w:rPr>
              <w:t>的所有条款，如有偏离的条款，均已在下方列出。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wordWrap w:val="0"/>
              <w:topLinePunct/>
              <w:spacing w:line="360" w:lineRule="exact"/>
              <w:jc w:val="center"/>
              <w:rPr>
                <w:rFonts w:cs="宋体"/>
                <w:b/>
                <w:bCs/>
                <w:color w:val="auto"/>
                <w:sz w:val="21"/>
                <w:highlight w:val="none"/>
              </w:rPr>
            </w:pPr>
          </w:p>
        </w:tc>
        <w:tc>
          <w:tcPr>
            <w:tcW w:w="4061" w:type="dxa"/>
          </w:tcPr>
          <w:p>
            <w:pPr>
              <w:wordWrap w:val="0"/>
              <w:topLinePunct/>
              <w:spacing w:line="360" w:lineRule="exact"/>
              <w:jc w:val="center"/>
              <w:rPr>
                <w:rFonts w:cs="宋体"/>
                <w:b/>
                <w:bCs/>
                <w:color w:val="auto"/>
                <w:sz w:val="21"/>
                <w:highlight w:val="none"/>
              </w:rPr>
            </w:pPr>
          </w:p>
        </w:tc>
        <w:tc>
          <w:tcPr>
            <w:tcW w:w="3900" w:type="dxa"/>
          </w:tcPr>
          <w:p>
            <w:pPr>
              <w:wordWrap w:val="0"/>
              <w:topLinePunct/>
              <w:spacing w:line="360" w:lineRule="exact"/>
              <w:jc w:val="center"/>
              <w:rPr>
                <w:rFonts w:cs="宋体"/>
                <w:b/>
                <w:bCs/>
                <w:color w:val="auto"/>
                <w:sz w:val="21"/>
                <w:highlight w:val="none"/>
              </w:rPr>
            </w:pPr>
          </w:p>
        </w:tc>
        <w:tc>
          <w:tcPr>
            <w:tcW w:w="1223" w:type="dxa"/>
          </w:tcPr>
          <w:p>
            <w:pPr>
              <w:wordWrap w:val="0"/>
              <w:topLinePunct/>
              <w:spacing w:line="360" w:lineRule="exact"/>
              <w:jc w:val="center"/>
              <w:rPr>
                <w:rFonts w:cs="宋体"/>
                <w:b/>
                <w:bCs/>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wordWrap w:val="0"/>
              <w:topLinePunct/>
              <w:spacing w:line="360" w:lineRule="exact"/>
              <w:jc w:val="center"/>
              <w:rPr>
                <w:rFonts w:cs="宋体"/>
                <w:b/>
                <w:bCs/>
                <w:color w:val="auto"/>
                <w:sz w:val="21"/>
                <w:highlight w:val="none"/>
              </w:rPr>
            </w:pPr>
          </w:p>
        </w:tc>
        <w:tc>
          <w:tcPr>
            <w:tcW w:w="4061" w:type="dxa"/>
          </w:tcPr>
          <w:p>
            <w:pPr>
              <w:wordWrap w:val="0"/>
              <w:topLinePunct/>
              <w:spacing w:line="360" w:lineRule="exact"/>
              <w:jc w:val="center"/>
              <w:rPr>
                <w:rFonts w:cs="宋体"/>
                <w:b/>
                <w:bCs/>
                <w:color w:val="auto"/>
                <w:sz w:val="21"/>
                <w:highlight w:val="none"/>
              </w:rPr>
            </w:pPr>
          </w:p>
        </w:tc>
        <w:tc>
          <w:tcPr>
            <w:tcW w:w="3900" w:type="dxa"/>
          </w:tcPr>
          <w:p>
            <w:pPr>
              <w:wordWrap w:val="0"/>
              <w:topLinePunct/>
              <w:spacing w:line="360" w:lineRule="exact"/>
              <w:jc w:val="center"/>
              <w:rPr>
                <w:rFonts w:cs="宋体"/>
                <w:b/>
                <w:bCs/>
                <w:color w:val="auto"/>
                <w:sz w:val="21"/>
                <w:highlight w:val="none"/>
              </w:rPr>
            </w:pPr>
          </w:p>
        </w:tc>
        <w:tc>
          <w:tcPr>
            <w:tcW w:w="1223" w:type="dxa"/>
          </w:tcPr>
          <w:p>
            <w:pPr>
              <w:wordWrap w:val="0"/>
              <w:topLinePunct/>
              <w:spacing w:line="360" w:lineRule="exact"/>
              <w:jc w:val="center"/>
              <w:rPr>
                <w:rFonts w:cs="宋体"/>
                <w:b/>
                <w:bCs/>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wordWrap w:val="0"/>
              <w:topLinePunct/>
              <w:spacing w:line="360" w:lineRule="exact"/>
              <w:jc w:val="center"/>
              <w:rPr>
                <w:rFonts w:cs="宋体"/>
                <w:b/>
                <w:bCs/>
                <w:color w:val="auto"/>
                <w:sz w:val="21"/>
                <w:highlight w:val="none"/>
              </w:rPr>
            </w:pPr>
          </w:p>
        </w:tc>
        <w:tc>
          <w:tcPr>
            <w:tcW w:w="4061" w:type="dxa"/>
          </w:tcPr>
          <w:p>
            <w:pPr>
              <w:wordWrap w:val="0"/>
              <w:topLinePunct/>
              <w:spacing w:line="360" w:lineRule="exact"/>
              <w:jc w:val="center"/>
              <w:rPr>
                <w:rFonts w:cs="宋体"/>
                <w:b/>
                <w:bCs/>
                <w:color w:val="auto"/>
                <w:sz w:val="21"/>
                <w:highlight w:val="none"/>
              </w:rPr>
            </w:pPr>
          </w:p>
        </w:tc>
        <w:tc>
          <w:tcPr>
            <w:tcW w:w="3900" w:type="dxa"/>
          </w:tcPr>
          <w:p>
            <w:pPr>
              <w:wordWrap w:val="0"/>
              <w:topLinePunct/>
              <w:spacing w:line="360" w:lineRule="exact"/>
              <w:jc w:val="center"/>
              <w:rPr>
                <w:rFonts w:cs="宋体"/>
                <w:b/>
                <w:bCs/>
                <w:color w:val="auto"/>
                <w:sz w:val="21"/>
                <w:highlight w:val="none"/>
              </w:rPr>
            </w:pPr>
          </w:p>
        </w:tc>
        <w:tc>
          <w:tcPr>
            <w:tcW w:w="1223" w:type="dxa"/>
          </w:tcPr>
          <w:p>
            <w:pPr>
              <w:wordWrap w:val="0"/>
              <w:topLinePunct/>
              <w:spacing w:line="360" w:lineRule="exact"/>
              <w:jc w:val="center"/>
              <w:rPr>
                <w:rFonts w:cs="宋体"/>
                <w:b/>
                <w:bCs/>
                <w:color w:val="auto"/>
                <w:sz w:val="21"/>
                <w:highlight w:val="none"/>
              </w:rPr>
            </w:pPr>
          </w:p>
        </w:tc>
      </w:tr>
    </w:tbl>
    <w:p>
      <w:pPr>
        <w:pStyle w:val="47"/>
        <w:keepNext w:val="0"/>
        <w:keepLines w:val="0"/>
        <w:pageBreakBefore w:val="0"/>
        <w:widowControl w:val="0"/>
        <w:kinsoku/>
        <w:wordWrap w:val="0"/>
        <w:overflowPunct/>
        <w:topLinePunct/>
        <w:autoSpaceDE/>
        <w:autoSpaceDN/>
        <w:bidi w:val="0"/>
        <w:adjustRightInd w:val="0"/>
        <w:snapToGrid w:val="0"/>
        <w:spacing w:line="520" w:lineRule="exact"/>
        <w:ind w:firstLine="482"/>
        <w:textAlignment w:val="auto"/>
        <w:rPr>
          <w:rFonts w:cs="宋体"/>
          <w:b w:val="0"/>
          <w:bCs/>
          <w:color w:val="auto"/>
          <w:spacing w:val="0"/>
          <w:w w:val="100"/>
          <w:highlight w:val="none"/>
        </w:rPr>
      </w:pPr>
      <w:r>
        <w:rPr>
          <w:rFonts w:hint="eastAsia" w:cs="宋体"/>
          <w:color w:val="auto"/>
          <w:spacing w:val="0"/>
          <w:w w:val="100"/>
          <w:highlight w:val="none"/>
        </w:rPr>
        <w:t>注：</w:t>
      </w:r>
      <w:r>
        <w:rPr>
          <w:rFonts w:hint="eastAsia" w:cs="宋体"/>
          <w:b w:val="0"/>
          <w:bCs/>
          <w:color w:val="auto"/>
          <w:spacing w:val="0"/>
          <w:w w:val="100"/>
          <w:highlight w:val="none"/>
        </w:rPr>
        <w:t>①如与</w:t>
      </w:r>
      <w:r>
        <w:rPr>
          <w:rFonts w:hint="eastAsia" w:cs="宋体"/>
          <w:b w:val="0"/>
          <w:bCs/>
          <w:color w:val="auto"/>
          <w:spacing w:val="0"/>
          <w:w w:val="100"/>
          <w:highlight w:val="none"/>
          <w:lang w:val="en-US" w:eastAsia="zh-CN"/>
        </w:rPr>
        <w:t>招标</w:t>
      </w:r>
      <w:r>
        <w:rPr>
          <w:rFonts w:hint="eastAsia" w:cs="宋体"/>
          <w:b w:val="0"/>
          <w:bCs/>
          <w:color w:val="auto"/>
          <w:spacing w:val="0"/>
          <w:w w:val="100"/>
          <w:highlight w:val="none"/>
        </w:rPr>
        <w:t>文件第六章的商务要求</w:t>
      </w:r>
      <w:r>
        <w:rPr>
          <w:rFonts w:hint="eastAsia" w:cs="宋体"/>
          <w:b w:val="0"/>
          <w:bCs/>
          <w:color w:val="auto"/>
          <w:spacing w:val="0"/>
          <w:w w:val="100"/>
          <w:highlight w:val="none"/>
          <w:lang w:eastAsia="zh-CN"/>
        </w:rPr>
        <w:t>、</w:t>
      </w:r>
      <w:r>
        <w:rPr>
          <w:rFonts w:hint="eastAsia" w:cs="宋体"/>
          <w:b w:val="0"/>
          <w:bCs/>
          <w:color w:val="auto"/>
          <w:spacing w:val="0"/>
          <w:w w:val="100"/>
          <w:highlight w:val="none"/>
        </w:rPr>
        <w:t>履约保证金，第八章</w:t>
      </w:r>
      <w:r>
        <w:rPr>
          <w:rFonts w:hint="eastAsia" w:cs="宋体"/>
          <w:b w:val="0"/>
          <w:bCs/>
          <w:color w:val="auto"/>
          <w:spacing w:val="0"/>
          <w:w w:val="100"/>
          <w:highlight w:val="none"/>
          <w:lang w:eastAsia="zh-CN"/>
        </w:rPr>
        <w:t>采购合同</w:t>
      </w:r>
      <w:r>
        <w:rPr>
          <w:rFonts w:hint="eastAsia" w:cs="宋体"/>
          <w:b w:val="0"/>
          <w:bCs/>
          <w:color w:val="auto"/>
          <w:spacing w:val="0"/>
          <w:w w:val="100"/>
          <w:highlight w:val="none"/>
        </w:rPr>
        <w:t>主要条款有偏离(包括正偏离和负偏离)，</w:t>
      </w:r>
      <w:r>
        <w:rPr>
          <w:rFonts w:hint="eastAsia" w:cs="宋体"/>
          <w:color w:val="auto"/>
          <w:spacing w:val="0"/>
          <w:w w:val="100"/>
          <w:highlight w:val="none"/>
        </w:rPr>
        <w:t>请将偏离条款逐条应答</w:t>
      </w:r>
      <w:r>
        <w:rPr>
          <w:rFonts w:hint="eastAsia" w:cs="宋体"/>
          <w:b w:val="0"/>
          <w:bCs/>
          <w:color w:val="auto"/>
          <w:spacing w:val="0"/>
          <w:w w:val="100"/>
          <w:highlight w:val="none"/>
        </w:rPr>
        <w:t>，未在此表中进行应答或未明确偏离的条款视为默认完全响应和接受，供应商不得以未作应答而拒不接受</w:t>
      </w:r>
      <w:r>
        <w:rPr>
          <w:rFonts w:hint="eastAsia"/>
          <w:color w:val="auto"/>
          <w:spacing w:val="0"/>
          <w:w w:val="100"/>
          <w:highlight w:val="none"/>
        </w:rPr>
        <w:t>(要求提供承诺函或证明材料的条款，以供应商提供的承诺函内容或证明材料为准)</w:t>
      </w:r>
      <w:r>
        <w:rPr>
          <w:rFonts w:hint="eastAsia" w:cs="宋体"/>
          <w:b w:val="0"/>
          <w:bCs/>
          <w:color w:val="auto"/>
          <w:spacing w:val="0"/>
          <w:w w:val="100"/>
          <w:highlight w:val="none"/>
        </w:rPr>
        <w:t>。</w:t>
      </w:r>
    </w:p>
    <w:p>
      <w:pPr>
        <w:pStyle w:val="47"/>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cs="宋体"/>
          <w:b w:val="0"/>
          <w:bCs/>
          <w:color w:val="auto"/>
          <w:spacing w:val="0"/>
          <w:w w:val="100"/>
          <w:highlight w:val="none"/>
        </w:rPr>
      </w:pPr>
      <w:r>
        <w:rPr>
          <w:rFonts w:hint="eastAsia" w:cs="宋体"/>
          <w:b w:val="0"/>
          <w:bCs/>
          <w:color w:val="auto"/>
          <w:spacing w:val="0"/>
          <w:w w:val="100"/>
          <w:highlight w:val="none"/>
        </w:rPr>
        <w:t>②供应商必须据实填写有偏离的条款，不得虚假应答，否则将取消其</w:t>
      </w:r>
      <w:r>
        <w:rPr>
          <w:rFonts w:hint="eastAsia" w:cs="宋体"/>
          <w:b w:val="0"/>
          <w:bCs/>
          <w:color w:val="auto"/>
          <w:spacing w:val="0"/>
          <w:w w:val="100"/>
          <w:highlight w:val="none"/>
          <w:lang w:val="en-US" w:eastAsia="zh-CN"/>
        </w:rPr>
        <w:t>中标</w:t>
      </w:r>
      <w:r>
        <w:rPr>
          <w:rFonts w:hint="eastAsia" w:cs="宋体"/>
          <w:b w:val="0"/>
          <w:bCs/>
          <w:color w:val="auto"/>
          <w:spacing w:val="0"/>
          <w:w w:val="100"/>
          <w:highlight w:val="none"/>
        </w:rPr>
        <w:t>资格。</w:t>
      </w:r>
    </w:p>
    <w:p>
      <w:pPr>
        <w:pStyle w:val="47"/>
        <w:keepNext w:val="0"/>
        <w:keepLines w:val="0"/>
        <w:pageBreakBefore w:val="0"/>
        <w:widowControl w:val="0"/>
        <w:kinsoku/>
        <w:wordWrap w:val="0"/>
        <w:overflowPunct/>
        <w:topLinePunct/>
        <w:autoSpaceDE/>
        <w:autoSpaceDN/>
        <w:bidi w:val="0"/>
        <w:adjustRightInd w:val="0"/>
        <w:snapToGrid w:val="0"/>
        <w:spacing w:line="520" w:lineRule="exact"/>
        <w:textAlignment w:val="auto"/>
        <w:rPr>
          <w:color w:val="auto"/>
          <w:highlight w:val="none"/>
        </w:rPr>
      </w:pPr>
      <w:r>
        <w:rPr>
          <w:rFonts w:hint="eastAsia" w:cs="宋体"/>
          <w:b w:val="0"/>
          <w:bCs/>
          <w:color w:val="auto"/>
          <w:spacing w:val="0"/>
          <w:w w:val="100"/>
          <w:highlight w:val="none"/>
        </w:rPr>
        <w:t>③评审时如对供应商</w:t>
      </w:r>
      <w:r>
        <w:rPr>
          <w:rFonts w:hint="eastAsia" w:cs="宋体"/>
          <w:b w:val="0"/>
          <w:bCs/>
          <w:color w:val="auto"/>
          <w:spacing w:val="0"/>
          <w:w w:val="100"/>
          <w:highlight w:val="none"/>
          <w:lang w:val="en-US" w:eastAsia="zh-CN"/>
        </w:rPr>
        <w:t>投标</w:t>
      </w:r>
      <w:r>
        <w:rPr>
          <w:rFonts w:hint="eastAsia" w:cs="宋体"/>
          <w:b w:val="0"/>
          <w:bCs/>
          <w:color w:val="auto"/>
          <w:spacing w:val="0"/>
          <w:w w:val="100"/>
          <w:highlight w:val="none"/>
        </w:rPr>
        <w:t>文件中商务应答的内容存在歧义的，可要求供应商进行澄清。</w:t>
      </w:r>
    </w:p>
    <w:p>
      <w:pPr>
        <w:pStyle w:val="42"/>
        <w:rPr>
          <w:color w:val="auto"/>
          <w:highlight w:val="none"/>
        </w:rPr>
      </w:pPr>
    </w:p>
    <w:p>
      <w:pPr>
        <w:pStyle w:val="42"/>
        <w:rPr>
          <w:color w:val="auto"/>
          <w:highlight w:val="none"/>
        </w:rPr>
      </w:pPr>
    </w:p>
    <w:p>
      <w:pPr>
        <w:pStyle w:val="46"/>
        <w:rPr>
          <w:color w:val="auto"/>
          <w:highlight w:val="none"/>
        </w:rPr>
      </w:pPr>
      <w:r>
        <w:rPr>
          <w:rFonts w:hint="eastAsia"/>
          <w:color w:val="auto"/>
          <w:highlight w:val="none"/>
        </w:rPr>
        <w:t>投标人名称：</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(盖章)</w:t>
      </w:r>
    </w:p>
    <w:p>
      <w:pPr>
        <w:pStyle w:val="46"/>
        <w:rPr>
          <w:color w:val="auto"/>
          <w:highlight w:val="none"/>
        </w:rPr>
      </w:pPr>
      <w:r>
        <w:rPr>
          <w:rFonts w:hint="eastAsia"/>
          <w:color w:val="auto"/>
          <w:highlight w:val="none"/>
        </w:rPr>
        <w:t>法定代表人/单位负责人或授权代表：</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(签字或盖章)</w:t>
      </w:r>
    </w:p>
    <w:p>
      <w:pPr>
        <w:pStyle w:val="46"/>
        <w:bidi w:val="0"/>
        <w:rPr>
          <w:rFonts w:hint="eastAsia"/>
          <w:color w:val="auto"/>
          <w:highlight w:val="none"/>
        </w:rPr>
      </w:pPr>
      <w:r>
        <w:rPr>
          <w:rFonts w:hint="eastAsia"/>
          <w:color w:val="auto"/>
          <w:highlight w:val="none"/>
        </w:rPr>
        <w:t>投标日期：</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lang w:val="en-US" w:eastAsia="zh-CN"/>
        </w:rPr>
        <w:t xml:space="preserve">          </w:t>
      </w:r>
      <w:r>
        <w:rPr>
          <w:rFonts w:hint="eastAsia"/>
          <w:color w:val="auto"/>
          <w:highlight w:val="none"/>
        </w:rPr>
        <w:t xml:space="preserve">   </w:t>
      </w:r>
    </w:p>
    <w:p>
      <w:pPr>
        <w:pStyle w:val="42"/>
        <w:bidi w:val="0"/>
        <w:rPr>
          <w:rFonts w:hint="eastAsia"/>
          <w:color w:val="auto"/>
          <w:highlight w:val="none"/>
          <w:lang w:val="en-US" w:eastAsia="zh-CN"/>
        </w:rPr>
      </w:pPr>
      <w:r>
        <w:rPr>
          <w:rFonts w:hint="eastAsia"/>
          <w:color w:val="auto"/>
          <w:highlight w:val="none"/>
          <w:lang w:val="en-US" w:eastAsia="zh-CN"/>
        </w:rPr>
        <w:br w:type="page"/>
      </w:r>
    </w:p>
    <w:bookmarkEnd w:id="994"/>
    <w:bookmarkEnd w:id="995"/>
    <w:bookmarkEnd w:id="996"/>
    <w:p>
      <w:pPr>
        <w:pStyle w:val="44"/>
        <w:numPr>
          <w:ilvl w:val="0"/>
          <w:numId w:val="23"/>
        </w:numPr>
        <w:bidi w:val="0"/>
        <w:ind w:left="0" w:leftChars="0" w:firstLine="0" w:firstLineChars="0"/>
        <w:rPr>
          <w:rFonts w:hint="eastAsia"/>
          <w:color w:val="auto"/>
          <w:highlight w:val="none"/>
          <w:lang w:val="en-US" w:eastAsia="zh-CN"/>
        </w:rPr>
      </w:pPr>
      <w:bookmarkStart w:id="998" w:name="_Toc25032"/>
      <w:bookmarkStart w:id="999" w:name="_Toc23376"/>
      <w:bookmarkStart w:id="1000" w:name="_Toc25122"/>
      <w:bookmarkStart w:id="1001" w:name="_Toc3995"/>
      <w:bookmarkStart w:id="1002" w:name="_Toc19294"/>
      <w:bookmarkStart w:id="1003" w:name="_Toc26522"/>
      <w:bookmarkStart w:id="1004" w:name="_Toc23430"/>
      <w:r>
        <w:rPr>
          <w:rFonts w:hint="eastAsia"/>
          <w:color w:val="auto"/>
          <w:highlight w:val="none"/>
          <w:lang w:val="en-US" w:eastAsia="zh-CN"/>
        </w:rPr>
        <w:t>投标产品技术参数响应表</w:t>
      </w:r>
      <w:bookmarkEnd w:id="998"/>
      <w:bookmarkEnd w:id="999"/>
      <w:bookmarkEnd w:id="1000"/>
      <w:bookmarkEnd w:id="1001"/>
      <w:bookmarkEnd w:id="1002"/>
    </w:p>
    <w:p>
      <w:pPr>
        <w:pStyle w:val="42"/>
        <w:rPr>
          <w:color w:val="auto"/>
          <w:highlight w:val="none"/>
        </w:rPr>
      </w:pPr>
      <w:r>
        <w:rPr>
          <w:rFonts w:hint="eastAsia"/>
          <w:color w:val="auto"/>
          <w:highlight w:val="none"/>
        </w:rPr>
        <w:t>项目名称：</w:t>
      </w:r>
      <w:r>
        <w:rPr>
          <w:rFonts w:hint="eastAsia"/>
          <w:color w:val="auto"/>
          <w:highlight w:val="none"/>
          <w:u w:val="single"/>
        </w:rPr>
        <w:t xml:space="preserve">                        </w:t>
      </w:r>
      <w:r>
        <w:rPr>
          <w:rFonts w:hint="eastAsia"/>
          <w:color w:val="auto"/>
          <w:highlight w:val="none"/>
        </w:rPr>
        <w:t xml:space="preserve">      </w:t>
      </w:r>
    </w:p>
    <w:p>
      <w:pPr>
        <w:pStyle w:val="42"/>
        <w:rPr>
          <w:color w:val="auto"/>
          <w:highlight w:val="none"/>
          <w:u w:val="single"/>
        </w:rPr>
      </w:pPr>
      <w:r>
        <w:rPr>
          <w:rFonts w:hint="eastAsia"/>
          <w:color w:val="auto"/>
          <w:highlight w:val="none"/>
        </w:rPr>
        <w:t>项目编号：</w:t>
      </w:r>
      <w:r>
        <w:rPr>
          <w:rFonts w:hint="eastAsia"/>
          <w:color w:val="auto"/>
          <w:highlight w:val="none"/>
          <w:u w:val="single"/>
        </w:rPr>
        <w:t xml:space="preserve">                        </w:t>
      </w:r>
    </w:p>
    <w:tbl>
      <w:tblPr>
        <w:tblStyle w:val="21"/>
        <w:tblW w:w="9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4239"/>
        <w:gridCol w:w="3588"/>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68" w:type="dxa"/>
            <w:vAlign w:val="center"/>
          </w:tcPr>
          <w:p>
            <w:pPr>
              <w:wordWrap w:val="0"/>
              <w:topLinePunct/>
              <w:spacing w:line="360" w:lineRule="exact"/>
              <w:jc w:val="center"/>
              <w:rPr>
                <w:rFonts w:cs="宋体"/>
                <w:b/>
                <w:bCs/>
                <w:color w:val="auto"/>
                <w:sz w:val="21"/>
                <w:highlight w:val="none"/>
              </w:rPr>
            </w:pPr>
            <w:r>
              <w:rPr>
                <w:rFonts w:hint="eastAsia" w:cs="宋体"/>
                <w:b/>
                <w:bCs/>
                <w:color w:val="auto"/>
                <w:sz w:val="21"/>
                <w:highlight w:val="none"/>
              </w:rPr>
              <w:t>序号</w:t>
            </w:r>
          </w:p>
        </w:tc>
        <w:tc>
          <w:tcPr>
            <w:tcW w:w="4239" w:type="dxa"/>
            <w:vAlign w:val="center"/>
          </w:tcPr>
          <w:p>
            <w:pPr>
              <w:wordWrap w:val="0"/>
              <w:topLinePunct/>
              <w:spacing w:line="360" w:lineRule="exact"/>
              <w:jc w:val="center"/>
              <w:rPr>
                <w:rFonts w:cs="宋体"/>
                <w:b/>
                <w:bCs/>
                <w:color w:val="auto"/>
                <w:sz w:val="21"/>
                <w:highlight w:val="none"/>
              </w:rPr>
            </w:pPr>
            <w:r>
              <w:rPr>
                <w:rFonts w:hint="eastAsia" w:cs="宋体"/>
                <w:b/>
                <w:bCs/>
                <w:color w:val="auto"/>
                <w:sz w:val="21"/>
                <w:highlight w:val="none"/>
                <w:lang w:val="en-US" w:eastAsia="zh-CN"/>
              </w:rPr>
              <w:t>招标</w:t>
            </w:r>
            <w:r>
              <w:rPr>
                <w:rFonts w:hint="eastAsia" w:cs="宋体"/>
                <w:b/>
                <w:bCs/>
                <w:color w:val="auto"/>
                <w:sz w:val="21"/>
                <w:highlight w:val="none"/>
              </w:rPr>
              <w:t>文件第</w:t>
            </w:r>
            <w:r>
              <w:rPr>
                <w:rFonts w:hint="eastAsia" w:cs="宋体"/>
                <w:b/>
                <w:bCs/>
                <w:color w:val="auto"/>
                <w:sz w:val="21"/>
                <w:highlight w:val="none"/>
                <w:lang w:val="en-US" w:eastAsia="zh-CN"/>
              </w:rPr>
              <w:t>六</w:t>
            </w:r>
            <w:r>
              <w:rPr>
                <w:rFonts w:hint="eastAsia" w:cs="宋体"/>
                <w:b/>
                <w:bCs/>
                <w:color w:val="auto"/>
                <w:sz w:val="21"/>
                <w:highlight w:val="none"/>
              </w:rPr>
              <w:t>章</w:t>
            </w:r>
            <w:r>
              <w:rPr>
                <w:rFonts w:hint="eastAsia" w:cs="宋体"/>
                <w:b/>
                <w:bCs/>
                <w:color w:val="auto"/>
                <w:sz w:val="21"/>
                <w:highlight w:val="none"/>
                <w:lang w:val="en-US" w:eastAsia="zh-CN"/>
              </w:rPr>
              <w:t>技术</w:t>
            </w:r>
            <w:r>
              <w:rPr>
                <w:rFonts w:hint="eastAsia" w:cs="宋体"/>
                <w:b/>
                <w:bCs/>
                <w:color w:val="auto"/>
                <w:sz w:val="21"/>
                <w:highlight w:val="none"/>
              </w:rPr>
              <w:t>要求</w:t>
            </w:r>
          </w:p>
        </w:tc>
        <w:tc>
          <w:tcPr>
            <w:tcW w:w="3588" w:type="dxa"/>
            <w:vAlign w:val="center"/>
          </w:tcPr>
          <w:p>
            <w:pPr>
              <w:wordWrap w:val="0"/>
              <w:topLinePunct/>
              <w:spacing w:line="360" w:lineRule="exact"/>
              <w:jc w:val="center"/>
              <w:rPr>
                <w:rFonts w:cs="宋体"/>
                <w:b/>
                <w:bCs/>
                <w:color w:val="auto"/>
                <w:sz w:val="21"/>
                <w:highlight w:val="none"/>
              </w:rPr>
            </w:pPr>
            <w:r>
              <w:rPr>
                <w:rFonts w:hint="eastAsia" w:cs="宋体"/>
                <w:b/>
                <w:bCs/>
                <w:color w:val="auto"/>
                <w:sz w:val="21"/>
                <w:highlight w:val="none"/>
              </w:rPr>
              <w:t>投标应答</w:t>
            </w:r>
          </w:p>
        </w:tc>
        <w:tc>
          <w:tcPr>
            <w:tcW w:w="1174" w:type="dxa"/>
            <w:vAlign w:val="center"/>
          </w:tcPr>
          <w:p>
            <w:pPr>
              <w:wordWrap w:val="0"/>
              <w:topLinePunct/>
              <w:spacing w:line="360" w:lineRule="exact"/>
              <w:jc w:val="center"/>
              <w:rPr>
                <w:rFonts w:cs="宋体"/>
                <w:b/>
                <w:bCs/>
                <w:color w:val="auto"/>
                <w:sz w:val="21"/>
                <w:highlight w:val="none"/>
              </w:rPr>
            </w:pPr>
            <w:r>
              <w:rPr>
                <w:rFonts w:hint="eastAsia" w:cs="宋体"/>
                <w:b/>
                <w:bCs/>
                <w:color w:val="auto"/>
                <w:sz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69" w:type="dxa"/>
            <w:gridSpan w:val="4"/>
          </w:tcPr>
          <w:p>
            <w:pPr>
              <w:wordWrap w:val="0"/>
              <w:topLinePunct/>
              <w:spacing w:line="360" w:lineRule="exact"/>
              <w:jc w:val="both"/>
              <w:rPr>
                <w:rFonts w:cs="宋体"/>
                <w:b/>
                <w:bCs/>
                <w:color w:val="auto"/>
                <w:sz w:val="21"/>
                <w:highlight w:val="none"/>
              </w:rPr>
            </w:pPr>
            <w:r>
              <w:rPr>
                <w:rFonts w:hint="eastAsia" w:cs="宋体"/>
                <w:color w:val="auto"/>
                <w:sz w:val="21"/>
                <w:highlight w:val="none"/>
              </w:rPr>
              <w:t>我公司承诺</w:t>
            </w:r>
            <w:r>
              <w:rPr>
                <w:rFonts w:hint="eastAsia" w:cs="宋体"/>
                <w:color w:val="auto"/>
                <w:sz w:val="21"/>
                <w:highlight w:val="none"/>
                <w:u w:val="single"/>
              </w:rPr>
              <w:t xml:space="preserve">       </w:t>
            </w:r>
            <w:r>
              <w:rPr>
                <w:rFonts w:hint="eastAsia" w:cs="宋体"/>
                <w:color w:val="auto"/>
                <w:sz w:val="21"/>
                <w:highlight w:val="none"/>
              </w:rPr>
              <w:t>(响应/不响应)</w:t>
            </w:r>
            <w:r>
              <w:rPr>
                <w:rFonts w:hint="eastAsia" w:cs="宋体"/>
                <w:b/>
                <w:bCs/>
                <w:color w:val="auto"/>
                <w:sz w:val="21"/>
                <w:highlight w:val="none"/>
                <w:lang w:val="en-US" w:eastAsia="zh-CN"/>
              </w:rPr>
              <w:t>招标</w:t>
            </w:r>
            <w:r>
              <w:rPr>
                <w:rFonts w:hint="eastAsia" w:cs="宋体"/>
                <w:b/>
                <w:bCs/>
                <w:color w:val="auto"/>
                <w:sz w:val="21"/>
                <w:highlight w:val="none"/>
              </w:rPr>
              <w:t>文件第</w:t>
            </w:r>
            <w:r>
              <w:rPr>
                <w:rFonts w:hint="eastAsia" w:cs="宋体"/>
                <w:b/>
                <w:bCs/>
                <w:color w:val="auto"/>
                <w:sz w:val="21"/>
                <w:highlight w:val="none"/>
                <w:lang w:val="en-US" w:eastAsia="zh-CN"/>
              </w:rPr>
              <w:t>六</w:t>
            </w:r>
            <w:r>
              <w:rPr>
                <w:rFonts w:hint="eastAsia" w:cs="宋体"/>
                <w:b/>
                <w:bCs/>
                <w:color w:val="auto"/>
                <w:sz w:val="21"/>
                <w:highlight w:val="none"/>
              </w:rPr>
              <w:t>章</w:t>
            </w:r>
            <w:r>
              <w:rPr>
                <w:rFonts w:hint="eastAsia" w:cs="宋体"/>
                <w:b/>
                <w:bCs/>
                <w:color w:val="auto"/>
                <w:sz w:val="21"/>
                <w:highlight w:val="none"/>
                <w:lang w:val="en-US" w:eastAsia="zh-CN"/>
              </w:rPr>
              <w:t>技术</w:t>
            </w:r>
            <w:r>
              <w:rPr>
                <w:rFonts w:hint="eastAsia" w:cs="宋体"/>
                <w:b/>
                <w:bCs/>
                <w:color w:val="auto"/>
                <w:sz w:val="21"/>
                <w:highlight w:val="none"/>
              </w:rPr>
              <w:t>要求</w:t>
            </w:r>
            <w:r>
              <w:rPr>
                <w:rFonts w:hint="eastAsia" w:cs="宋体"/>
                <w:color w:val="auto"/>
                <w:sz w:val="21"/>
                <w:szCs w:val="21"/>
                <w:highlight w:val="none"/>
              </w:rPr>
              <w:t>的所有条款，如有偏离的条款，均已在下方列出。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68" w:type="dxa"/>
          </w:tcPr>
          <w:p>
            <w:pPr>
              <w:wordWrap w:val="0"/>
              <w:topLinePunct/>
              <w:spacing w:line="360" w:lineRule="exact"/>
              <w:jc w:val="center"/>
              <w:rPr>
                <w:rFonts w:cs="宋体"/>
                <w:b/>
                <w:bCs/>
                <w:color w:val="auto"/>
                <w:sz w:val="21"/>
                <w:highlight w:val="none"/>
              </w:rPr>
            </w:pPr>
          </w:p>
        </w:tc>
        <w:tc>
          <w:tcPr>
            <w:tcW w:w="4239" w:type="dxa"/>
          </w:tcPr>
          <w:p>
            <w:pPr>
              <w:wordWrap w:val="0"/>
              <w:topLinePunct/>
              <w:spacing w:line="360" w:lineRule="exact"/>
              <w:jc w:val="center"/>
              <w:rPr>
                <w:rFonts w:cs="宋体"/>
                <w:b/>
                <w:bCs/>
                <w:color w:val="auto"/>
                <w:sz w:val="21"/>
                <w:highlight w:val="none"/>
              </w:rPr>
            </w:pPr>
          </w:p>
        </w:tc>
        <w:tc>
          <w:tcPr>
            <w:tcW w:w="3588" w:type="dxa"/>
          </w:tcPr>
          <w:p>
            <w:pPr>
              <w:wordWrap w:val="0"/>
              <w:topLinePunct/>
              <w:spacing w:line="360" w:lineRule="exact"/>
              <w:jc w:val="center"/>
              <w:rPr>
                <w:rFonts w:cs="宋体"/>
                <w:b/>
                <w:bCs/>
                <w:color w:val="auto"/>
                <w:sz w:val="21"/>
                <w:highlight w:val="none"/>
              </w:rPr>
            </w:pPr>
          </w:p>
        </w:tc>
        <w:tc>
          <w:tcPr>
            <w:tcW w:w="1174" w:type="dxa"/>
          </w:tcPr>
          <w:p>
            <w:pPr>
              <w:wordWrap w:val="0"/>
              <w:topLinePunct/>
              <w:spacing w:line="360" w:lineRule="exact"/>
              <w:jc w:val="center"/>
              <w:rPr>
                <w:rFonts w:cs="宋体"/>
                <w:b/>
                <w:bCs/>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68" w:type="dxa"/>
          </w:tcPr>
          <w:p>
            <w:pPr>
              <w:wordWrap w:val="0"/>
              <w:topLinePunct/>
              <w:spacing w:line="360" w:lineRule="exact"/>
              <w:jc w:val="center"/>
              <w:rPr>
                <w:rFonts w:cs="宋体"/>
                <w:b/>
                <w:bCs/>
                <w:color w:val="auto"/>
                <w:sz w:val="21"/>
                <w:highlight w:val="none"/>
              </w:rPr>
            </w:pPr>
          </w:p>
        </w:tc>
        <w:tc>
          <w:tcPr>
            <w:tcW w:w="4239" w:type="dxa"/>
          </w:tcPr>
          <w:p>
            <w:pPr>
              <w:wordWrap w:val="0"/>
              <w:topLinePunct/>
              <w:spacing w:line="360" w:lineRule="exact"/>
              <w:jc w:val="center"/>
              <w:rPr>
                <w:rFonts w:cs="宋体"/>
                <w:b/>
                <w:bCs/>
                <w:color w:val="auto"/>
                <w:sz w:val="21"/>
                <w:highlight w:val="none"/>
              </w:rPr>
            </w:pPr>
          </w:p>
        </w:tc>
        <w:tc>
          <w:tcPr>
            <w:tcW w:w="3588" w:type="dxa"/>
          </w:tcPr>
          <w:p>
            <w:pPr>
              <w:wordWrap w:val="0"/>
              <w:topLinePunct/>
              <w:spacing w:line="360" w:lineRule="exact"/>
              <w:jc w:val="center"/>
              <w:rPr>
                <w:rFonts w:cs="宋体"/>
                <w:b/>
                <w:bCs/>
                <w:color w:val="auto"/>
                <w:sz w:val="21"/>
                <w:highlight w:val="none"/>
              </w:rPr>
            </w:pPr>
          </w:p>
        </w:tc>
        <w:tc>
          <w:tcPr>
            <w:tcW w:w="1174" w:type="dxa"/>
          </w:tcPr>
          <w:p>
            <w:pPr>
              <w:wordWrap w:val="0"/>
              <w:topLinePunct/>
              <w:spacing w:line="360" w:lineRule="exact"/>
              <w:jc w:val="center"/>
              <w:rPr>
                <w:rFonts w:cs="宋体"/>
                <w:b/>
                <w:bCs/>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68" w:type="dxa"/>
          </w:tcPr>
          <w:p>
            <w:pPr>
              <w:wordWrap w:val="0"/>
              <w:topLinePunct/>
              <w:spacing w:line="360" w:lineRule="exact"/>
              <w:jc w:val="center"/>
              <w:rPr>
                <w:rFonts w:cs="宋体"/>
                <w:b/>
                <w:bCs/>
                <w:color w:val="auto"/>
                <w:sz w:val="21"/>
                <w:highlight w:val="none"/>
              </w:rPr>
            </w:pPr>
          </w:p>
        </w:tc>
        <w:tc>
          <w:tcPr>
            <w:tcW w:w="4239" w:type="dxa"/>
          </w:tcPr>
          <w:p>
            <w:pPr>
              <w:wordWrap w:val="0"/>
              <w:topLinePunct/>
              <w:spacing w:line="360" w:lineRule="exact"/>
              <w:jc w:val="center"/>
              <w:rPr>
                <w:rFonts w:cs="宋体"/>
                <w:b/>
                <w:bCs/>
                <w:color w:val="auto"/>
                <w:sz w:val="21"/>
                <w:highlight w:val="none"/>
              </w:rPr>
            </w:pPr>
          </w:p>
        </w:tc>
        <w:tc>
          <w:tcPr>
            <w:tcW w:w="3588" w:type="dxa"/>
          </w:tcPr>
          <w:p>
            <w:pPr>
              <w:wordWrap w:val="0"/>
              <w:topLinePunct/>
              <w:spacing w:line="360" w:lineRule="exact"/>
              <w:jc w:val="center"/>
              <w:rPr>
                <w:rFonts w:cs="宋体"/>
                <w:b/>
                <w:bCs/>
                <w:color w:val="auto"/>
                <w:sz w:val="21"/>
                <w:highlight w:val="none"/>
              </w:rPr>
            </w:pPr>
          </w:p>
        </w:tc>
        <w:tc>
          <w:tcPr>
            <w:tcW w:w="1174" w:type="dxa"/>
          </w:tcPr>
          <w:p>
            <w:pPr>
              <w:wordWrap w:val="0"/>
              <w:topLinePunct/>
              <w:spacing w:line="360" w:lineRule="exact"/>
              <w:jc w:val="center"/>
              <w:rPr>
                <w:rFonts w:cs="宋体"/>
                <w:b/>
                <w:bCs/>
                <w:color w:val="auto"/>
                <w:sz w:val="21"/>
                <w:highlight w:val="none"/>
              </w:rPr>
            </w:pPr>
          </w:p>
        </w:tc>
      </w:tr>
    </w:tbl>
    <w:p>
      <w:pPr>
        <w:pStyle w:val="47"/>
        <w:ind w:firstLine="482"/>
        <w:rPr>
          <w:color w:val="auto"/>
          <w:highlight w:val="none"/>
        </w:rPr>
      </w:pPr>
      <w:r>
        <w:rPr>
          <w:rFonts w:hint="eastAsia"/>
          <w:color w:val="auto"/>
          <w:highlight w:val="none"/>
        </w:rPr>
        <w:t>注：如与招标文件第六章</w:t>
      </w:r>
      <w:r>
        <w:rPr>
          <w:rFonts w:hint="eastAsia"/>
          <w:color w:val="auto"/>
          <w:highlight w:val="none"/>
          <w:lang w:val="en-US" w:eastAsia="zh-CN"/>
        </w:rPr>
        <w:t>技术</w:t>
      </w:r>
      <w:r>
        <w:rPr>
          <w:rFonts w:hint="eastAsia"/>
          <w:color w:val="auto"/>
          <w:highlight w:val="none"/>
        </w:rPr>
        <w:t>要求的内容有偏离(包括正偏离和负偏离)，请将偏离条款逐条应答。如与招标文件第六章技术要求的所有条款无偏离，则无须在此表中应答，视为默认完全响应和接受招标文件第六章技术要求所有的内容，供应商不得以未作应答而拒不接受。供应商必须据实填写，不得虚假应答，否则将取消其中标资格。商务要求中要求提供承诺函进行响应的应按照要求提供承诺函。</w:t>
      </w:r>
    </w:p>
    <w:p>
      <w:pPr>
        <w:pStyle w:val="42"/>
        <w:rPr>
          <w:color w:val="auto"/>
          <w:highlight w:val="none"/>
        </w:rPr>
      </w:pPr>
    </w:p>
    <w:p>
      <w:pPr>
        <w:pStyle w:val="42"/>
        <w:rPr>
          <w:color w:val="auto"/>
          <w:highlight w:val="none"/>
        </w:rPr>
      </w:pPr>
    </w:p>
    <w:p>
      <w:pPr>
        <w:pStyle w:val="42"/>
        <w:rPr>
          <w:color w:val="auto"/>
          <w:highlight w:val="none"/>
        </w:rPr>
      </w:pPr>
    </w:p>
    <w:p>
      <w:pPr>
        <w:pStyle w:val="46"/>
        <w:rPr>
          <w:color w:val="auto"/>
          <w:highlight w:val="none"/>
        </w:rPr>
      </w:pPr>
      <w:r>
        <w:rPr>
          <w:rFonts w:hint="eastAsia"/>
          <w:color w:val="auto"/>
          <w:highlight w:val="none"/>
        </w:rPr>
        <w:t>投标人名称：</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(盖章)</w:t>
      </w:r>
    </w:p>
    <w:p>
      <w:pPr>
        <w:pStyle w:val="46"/>
        <w:rPr>
          <w:color w:val="auto"/>
          <w:highlight w:val="none"/>
        </w:rPr>
      </w:pPr>
      <w:r>
        <w:rPr>
          <w:rFonts w:hint="eastAsia"/>
          <w:color w:val="auto"/>
          <w:highlight w:val="none"/>
        </w:rPr>
        <w:t>法定代表人/单位负责人或授权代表：</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(签字或盖章)</w:t>
      </w:r>
    </w:p>
    <w:p>
      <w:pPr>
        <w:pStyle w:val="46"/>
        <w:bidi w:val="0"/>
        <w:rPr>
          <w:rFonts w:hint="eastAsia"/>
          <w:color w:val="auto"/>
          <w:highlight w:val="none"/>
        </w:rPr>
      </w:pPr>
      <w:r>
        <w:rPr>
          <w:rFonts w:hint="eastAsia"/>
          <w:color w:val="auto"/>
          <w:highlight w:val="none"/>
        </w:rPr>
        <w:t>投标日期：</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sz w:val="24"/>
          <w:szCs w:val="24"/>
          <w:highlight w:val="none"/>
          <w:u w:val="single"/>
        </w:rPr>
        <w:t xml:space="preserve"> </w:t>
      </w:r>
    </w:p>
    <w:p>
      <w:pPr>
        <w:pStyle w:val="42"/>
        <w:bidi w:val="0"/>
        <w:rPr>
          <w:rFonts w:hint="eastAsia"/>
          <w:color w:val="auto"/>
          <w:highlight w:val="none"/>
          <w:lang w:val="en-US" w:eastAsia="zh-CN"/>
        </w:rPr>
      </w:pPr>
      <w:r>
        <w:rPr>
          <w:rFonts w:hint="eastAsia"/>
          <w:color w:val="auto"/>
          <w:highlight w:val="none"/>
          <w:lang w:val="en-US" w:eastAsia="zh-CN"/>
        </w:rPr>
        <w:br w:type="page"/>
      </w:r>
    </w:p>
    <w:bookmarkEnd w:id="1003"/>
    <w:bookmarkEnd w:id="1004"/>
    <w:p>
      <w:pPr>
        <w:pStyle w:val="44"/>
        <w:numPr>
          <w:ilvl w:val="0"/>
          <w:numId w:val="23"/>
        </w:numPr>
        <w:bidi w:val="0"/>
        <w:ind w:left="0" w:leftChars="0" w:firstLine="0" w:firstLineChars="0"/>
        <w:rPr>
          <w:rFonts w:hint="eastAsia"/>
          <w:color w:val="auto"/>
          <w:highlight w:val="none"/>
          <w:lang w:val="en-US" w:eastAsia="zh-CN"/>
        </w:rPr>
      </w:pPr>
      <w:bookmarkStart w:id="1005" w:name="_Toc32017"/>
      <w:bookmarkStart w:id="1006" w:name="_Toc1168"/>
      <w:bookmarkStart w:id="1007" w:name="_Toc28539"/>
      <w:r>
        <w:rPr>
          <w:rFonts w:hint="eastAsia"/>
          <w:color w:val="auto"/>
          <w:highlight w:val="none"/>
          <w:lang w:val="en-US" w:eastAsia="zh-CN"/>
        </w:rPr>
        <w:t>履约能力及相关证明</w:t>
      </w:r>
      <w:bookmarkEnd w:id="1005"/>
      <w:bookmarkEnd w:id="1006"/>
      <w:bookmarkEnd w:id="1007"/>
    </w:p>
    <w:p>
      <w:pPr>
        <w:pStyle w:val="47"/>
        <w:bidi w:val="0"/>
        <w:rPr>
          <w:rFonts w:hint="eastAsia"/>
          <w:color w:val="auto"/>
          <w:highlight w:val="none"/>
        </w:rPr>
      </w:pPr>
      <w:r>
        <w:rPr>
          <w:rFonts w:hint="eastAsia"/>
          <w:color w:val="auto"/>
          <w:highlight w:val="none"/>
        </w:rPr>
        <w:t>注：</w:t>
      </w:r>
      <w:r>
        <w:rPr>
          <w:rFonts w:hint="eastAsia"/>
          <w:color w:val="auto"/>
          <w:highlight w:val="none"/>
          <w:lang w:val="en-US" w:eastAsia="zh-CN"/>
        </w:rPr>
        <w:t>格式自拟。</w:t>
      </w:r>
    </w:p>
    <w:p>
      <w:pPr>
        <w:pStyle w:val="42"/>
        <w:bidi w:val="0"/>
        <w:rPr>
          <w:rFonts w:hint="eastAsia"/>
          <w:color w:val="auto"/>
          <w:highlight w:val="none"/>
        </w:rPr>
      </w:pPr>
    </w:p>
    <w:p>
      <w:pPr>
        <w:pStyle w:val="42"/>
        <w:bidi w:val="0"/>
        <w:rPr>
          <w:rFonts w:hint="eastAsia"/>
          <w:color w:val="auto"/>
          <w:highlight w:val="none"/>
        </w:rPr>
      </w:pPr>
    </w:p>
    <w:p>
      <w:pPr>
        <w:pStyle w:val="42"/>
        <w:bidi w:val="0"/>
        <w:rPr>
          <w:rFonts w:hint="eastAsia"/>
          <w:color w:val="auto"/>
          <w:highlight w:val="none"/>
        </w:rPr>
      </w:pPr>
    </w:p>
    <w:p>
      <w:pPr>
        <w:pStyle w:val="42"/>
        <w:bidi w:val="0"/>
        <w:rPr>
          <w:rFonts w:hint="eastAsia"/>
          <w:color w:val="auto"/>
          <w:highlight w:val="none"/>
        </w:rPr>
      </w:pPr>
    </w:p>
    <w:p>
      <w:pPr>
        <w:pStyle w:val="42"/>
        <w:bidi w:val="0"/>
        <w:rPr>
          <w:rFonts w:hint="eastAsia"/>
          <w:color w:val="auto"/>
          <w:highlight w:val="none"/>
        </w:rPr>
      </w:pPr>
    </w:p>
    <w:p>
      <w:pPr>
        <w:pStyle w:val="42"/>
        <w:bidi w:val="0"/>
        <w:rPr>
          <w:rFonts w:hint="eastAsia"/>
          <w:color w:val="auto"/>
          <w:highlight w:val="none"/>
          <w:lang w:val="en-US" w:eastAsia="zh-CN"/>
        </w:rPr>
      </w:pPr>
      <w:r>
        <w:rPr>
          <w:rFonts w:hint="eastAsia"/>
          <w:color w:val="auto"/>
          <w:highlight w:val="none"/>
          <w:lang w:val="en-US" w:eastAsia="zh-CN"/>
        </w:rPr>
        <w:br w:type="page"/>
      </w:r>
    </w:p>
    <w:bookmarkEnd w:id="997"/>
    <w:p>
      <w:pPr>
        <w:pStyle w:val="44"/>
        <w:numPr>
          <w:ilvl w:val="0"/>
          <w:numId w:val="23"/>
        </w:numPr>
        <w:bidi w:val="0"/>
        <w:ind w:left="0" w:leftChars="0" w:firstLine="0" w:firstLineChars="0"/>
        <w:rPr>
          <w:rFonts w:hint="eastAsia"/>
          <w:color w:val="auto"/>
          <w:highlight w:val="none"/>
          <w:lang w:val="en-US" w:eastAsia="zh-CN"/>
        </w:rPr>
      </w:pPr>
      <w:bookmarkStart w:id="1008" w:name="_Toc4604"/>
      <w:bookmarkStart w:id="1009" w:name="_Toc19963"/>
      <w:bookmarkStart w:id="1010" w:name="_Toc13361"/>
      <w:bookmarkStart w:id="1011" w:name="_Toc19240"/>
      <w:r>
        <w:rPr>
          <w:rFonts w:hint="eastAsia"/>
          <w:color w:val="auto"/>
          <w:highlight w:val="none"/>
          <w:lang w:val="en-US" w:eastAsia="zh-CN"/>
        </w:rPr>
        <w:t>投标人针对本项目人员配置情况表</w:t>
      </w:r>
      <w:bookmarkEnd w:id="1008"/>
      <w:bookmarkEnd w:id="1009"/>
      <w:bookmarkEnd w:id="1010"/>
    </w:p>
    <w:p>
      <w:pPr>
        <w:pStyle w:val="42"/>
        <w:bidi w:val="0"/>
        <w:rPr>
          <w:rFonts w:hint="eastAsia"/>
          <w:color w:val="auto"/>
          <w:highlight w:val="none"/>
        </w:rPr>
      </w:pPr>
      <w:r>
        <w:rPr>
          <w:rFonts w:hint="eastAsia"/>
          <w:color w:val="auto"/>
          <w:highlight w:val="none"/>
        </w:rPr>
        <w:t>项目名称：</w:t>
      </w:r>
      <w:r>
        <w:rPr>
          <w:rFonts w:hint="eastAsia"/>
          <w:color w:val="auto"/>
          <w:highlight w:val="none"/>
          <w:u w:val="single"/>
        </w:rPr>
        <w:t xml:space="preserve">                              </w:t>
      </w:r>
    </w:p>
    <w:p>
      <w:pPr>
        <w:pStyle w:val="42"/>
        <w:bidi w:val="0"/>
        <w:rPr>
          <w:rFonts w:hint="eastAsia"/>
          <w:color w:val="auto"/>
          <w:highlight w:val="none"/>
          <w:u w:val="single"/>
        </w:rPr>
      </w:pPr>
      <w:r>
        <w:rPr>
          <w:rFonts w:hint="eastAsia"/>
          <w:color w:val="auto"/>
          <w:highlight w:val="none"/>
        </w:rPr>
        <w:t>项目编号：</w:t>
      </w:r>
      <w:r>
        <w:rPr>
          <w:rFonts w:hint="eastAsia"/>
          <w:color w:val="auto"/>
          <w:highlight w:val="none"/>
          <w:u w:val="single"/>
        </w:rPr>
        <w:t xml:space="preserve">                               </w:t>
      </w:r>
    </w:p>
    <w:tbl>
      <w:tblPr>
        <w:tblStyle w:val="21"/>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923"/>
        <w:gridCol w:w="921"/>
        <w:gridCol w:w="923"/>
        <w:gridCol w:w="922"/>
        <w:gridCol w:w="1436"/>
        <w:gridCol w:w="1022"/>
        <w:gridCol w:w="123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restart"/>
            <w:vAlign w:val="center"/>
          </w:tcPr>
          <w:p>
            <w:pPr>
              <w:pStyle w:val="45"/>
              <w:bidi w:val="0"/>
              <w:rPr>
                <w:rFonts w:hint="eastAsia"/>
                <w:b/>
                <w:bCs/>
                <w:color w:val="auto"/>
                <w:highlight w:val="none"/>
              </w:rPr>
            </w:pPr>
            <w:r>
              <w:rPr>
                <w:rFonts w:hint="eastAsia"/>
                <w:b/>
                <w:bCs/>
                <w:color w:val="auto"/>
                <w:highlight w:val="none"/>
              </w:rPr>
              <w:t>类别</w:t>
            </w:r>
          </w:p>
        </w:tc>
        <w:tc>
          <w:tcPr>
            <w:tcW w:w="923" w:type="dxa"/>
            <w:vMerge w:val="restart"/>
            <w:vAlign w:val="center"/>
          </w:tcPr>
          <w:p>
            <w:pPr>
              <w:pStyle w:val="45"/>
              <w:bidi w:val="0"/>
              <w:rPr>
                <w:rFonts w:hint="default" w:eastAsia="宋体"/>
                <w:b/>
                <w:bCs/>
                <w:color w:val="auto"/>
                <w:highlight w:val="none"/>
                <w:lang w:val="en-US" w:eastAsia="zh-CN"/>
              </w:rPr>
            </w:pPr>
            <w:r>
              <w:rPr>
                <w:rFonts w:hint="eastAsia"/>
                <w:b/>
                <w:bCs/>
                <w:color w:val="auto"/>
                <w:highlight w:val="none"/>
              </w:rPr>
              <w:t>职务</w:t>
            </w:r>
            <w:r>
              <w:rPr>
                <w:rFonts w:hint="eastAsia"/>
                <w:b/>
                <w:bCs/>
                <w:color w:val="auto"/>
                <w:highlight w:val="none"/>
                <w:lang w:val="en-US" w:eastAsia="zh-CN"/>
              </w:rPr>
              <w:t>(岗位)</w:t>
            </w:r>
          </w:p>
        </w:tc>
        <w:tc>
          <w:tcPr>
            <w:tcW w:w="921" w:type="dxa"/>
            <w:vMerge w:val="restart"/>
            <w:vAlign w:val="center"/>
          </w:tcPr>
          <w:p>
            <w:pPr>
              <w:pStyle w:val="45"/>
              <w:bidi w:val="0"/>
              <w:rPr>
                <w:rFonts w:hint="eastAsia"/>
                <w:b/>
                <w:bCs/>
                <w:color w:val="auto"/>
                <w:highlight w:val="none"/>
              </w:rPr>
            </w:pPr>
            <w:r>
              <w:rPr>
                <w:rFonts w:hint="eastAsia"/>
                <w:b/>
                <w:bCs/>
                <w:color w:val="auto"/>
                <w:highlight w:val="none"/>
              </w:rPr>
              <w:t>姓名</w:t>
            </w:r>
          </w:p>
        </w:tc>
        <w:tc>
          <w:tcPr>
            <w:tcW w:w="923" w:type="dxa"/>
            <w:vMerge w:val="restart"/>
            <w:vAlign w:val="center"/>
          </w:tcPr>
          <w:p>
            <w:pPr>
              <w:pStyle w:val="45"/>
              <w:bidi w:val="0"/>
              <w:rPr>
                <w:rFonts w:hint="eastAsia"/>
                <w:b/>
                <w:bCs/>
                <w:color w:val="auto"/>
                <w:highlight w:val="none"/>
              </w:rPr>
            </w:pPr>
            <w:r>
              <w:rPr>
                <w:rFonts w:hint="eastAsia"/>
                <w:b/>
                <w:bCs/>
                <w:color w:val="auto"/>
                <w:highlight w:val="none"/>
              </w:rPr>
              <w:t>职称</w:t>
            </w:r>
          </w:p>
        </w:tc>
        <w:tc>
          <w:tcPr>
            <w:tcW w:w="922" w:type="dxa"/>
            <w:vMerge w:val="restart"/>
            <w:vAlign w:val="center"/>
          </w:tcPr>
          <w:p>
            <w:pPr>
              <w:pStyle w:val="45"/>
              <w:bidi w:val="0"/>
              <w:rPr>
                <w:rFonts w:hint="eastAsia"/>
                <w:b/>
                <w:bCs/>
                <w:color w:val="auto"/>
                <w:highlight w:val="none"/>
              </w:rPr>
            </w:pPr>
            <w:r>
              <w:rPr>
                <w:rFonts w:hint="eastAsia"/>
                <w:b/>
                <w:bCs/>
                <w:color w:val="auto"/>
                <w:highlight w:val="none"/>
              </w:rPr>
              <w:t>常住地</w:t>
            </w:r>
          </w:p>
        </w:tc>
        <w:tc>
          <w:tcPr>
            <w:tcW w:w="4919" w:type="dxa"/>
            <w:gridSpan w:val="4"/>
            <w:vAlign w:val="center"/>
          </w:tcPr>
          <w:p>
            <w:pPr>
              <w:pStyle w:val="45"/>
              <w:bidi w:val="0"/>
              <w:rPr>
                <w:rFonts w:hint="eastAsia"/>
                <w:b/>
                <w:bCs/>
                <w:color w:val="auto"/>
                <w:highlight w:val="none"/>
              </w:rPr>
            </w:pPr>
            <w:r>
              <w:rPr>
                <w:rFonts w:hint="eastAsia"/>
                <w:b/>
                <w:bCs/>
                <w:color w:val="auto"/>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continue"/>
            <w:vAlign w:val="center"/>
          </w:tcPr>
          <w:p>
            <w:pPr>
              <w:pStyle w:val="45"/>
              <w:bidi w:val="0"/>
              <w:rPr>
                <w:rFonts w:hint="eastAsia"/>
                <w:b/>
                <w:bCs/>
                <w:color w:val="auto"/>
                <w:highlight w:val="none"/>
              </w:rPr>
            </w:pPr>
          </w:p>
        </w:tc>
        <w:tc>
          <w:tcPr>
            <w:tcW w:w="923" w:type="dxa"/>
            <w:vMerge w:val="continue"/>
            <w:vAlign w:val="center"/>
          </w:tcPr>
          <w:p>
            <w:pPr>
              <w:pStyle w:val="45"/>
              <w:bidi w:val="0"/>
              <w:rPr>
                <w:rFonts w:hint="eastAsia"/>
                <w:b/>
                <w:bCs/>
                <w:color w:val="auto"/>
                <w:highlight w:val="none"/>
              </w:rPr>
            </w:pPr>
          </w:p>
        </w:tc>
        <w:tc>
          <w:tcPr>
            <w:tcW w:w="921" w:type="dxa"/>
            <w:vMerge w:val="continue"/>
            <w:vAlign w:val="center"/>
          </w:tcPr>
          <w:p>
            <w:pPr>
              <w:pStyle w:val="45"/>
              <w:bidi w:val="0"/>
              <w:rPr>
                <w:rFonts w:hint="eastAsia"/>
                <w:b/>
                <w:bCs/>
                <w:color w:val="auto"/>
                <w:highlight w:val="none"/>
              </w:rPr>
            </w:pPr>
          </w:p>
        </w:tc>
        <w:tc>
          <w:tcPr>
            <w:tcW w:w="923" w:type="dxa"/>
            <w:vMerge w:val="continue"/>
            <w:vAlign w:val="center"/>
          </w:tcPr>
          <w:p>
            <w:pPr>
              <w:pStyle w:val="45"/>
              <w:bidi w:val="0"/>
              <w:rPr>
                <w:rFonts w:hint="eastAsia"/>
                <w:b/>
                <w:bCs/>
                <w:color w:val="auto"/>
                <w:highlight w:val="none"/>
              </w:rPr>
            </w:pPr>
          </w:p>
        </w:tc>
        <w:tc>
          <w:tcPr>
            <w:tcW w:w="922" w:type="dxa"/>
            <w:vMerge w:val="continue"/>
            <w:vAlign w:val="center"/>
          </w:tcPr>
          <w:p>
            <w:pPr>
              <w:pStyle w:val="45"/>
              <w:bidi w:val="0"/>
              <w:rPr>
                <w:rFonts w:hint="eastAsia"/>
                <w:b/>
                <w:bCs/>
                <w:color w:val="auto"/>
                <w:highlight w:val="none"/>
              </w:rPr>
            </w:pPr>
          </w:p>
        </w:tc>
        <w:tc>
          <w:tcPr>
            <w:tcW w:w="1436" w:type="dxa"/>
            <w:vAlign w:val="center"/>
          </w:tcPr>
          <w:p>
            <w:pPr>
              <w:pStyle w:val="45"/>
              <w:bidi w:val="0"/>
              <w:rPr>
                <w:rFonts w:hint="eastAsia"/>
                <w:b/>
                <w:bCs/>
                <w:color w:val="auto"/>
                <w:highlight w:val="none"/>
              </w:rPr>
            </w:pPr>
            <w:r>
              <w:rPr>
                <w:rFonts w:hint="eastAsia"/>
                <w:b/>
                <w:bCs/>
                <w:color w:val="auto"/>
                <w:highlight w:val="none"/>
              </w:rPr>
              <w:t>证书名称</w:t>
            </w:r>
          </w:p>
        </w:tc>
        <w:tc>
          <w:tcPr>
            <w:tcW w:w="1022" w:type="dxa"/>
            <w:vAlign w:val="center"/>
          </w:tcPr>
          <w:p>
            <w:pPr>
              <w:pStyle w:val="45"/>
              <w:bidi w:val="0"/>
              <w:rPr>
                <w:rFonts w:hint="eastAsia"/>
                <w:b/>
                <w:bCs/>
                <w:color w:val="auto"/>
                <w:highlight w:val="none"/>
              </w:rPr>
            </w:pPr>
            <w:r>
              <w:rPr>
                <w:rFonts w:hint="eastAsia"/>
                <w:b/>
                <w:bCs/>
                <w:color w:val="auto"/>
                <w:highlight w:val="none"/>
              </w:rPr>
              <w:t>级别</w:t>
            </w:r>
          </w:p>
        </w:tc>
        <w:tc>
          <w:tcPr>
            <w:tcW w:w="1232" w:type="dxa"/>
            <w:vAlign w:val="center"/>
          </w:tcPr>
          <w:p>
            <w:pPr>
              <w:pStyle w:val="45"/>
              <w:bidi w:val="0"/>
              <w:rPr>
                <w:rFonts w:hint="eastAsia"/>
                <w:b/>
                <w:bCs/>
                <w:color w:val="auto"/>
                <w:highlight w:val="none"/>
              </w:rPr>
            </w:pPr>
            <w:r>
              <w:rPr>
                <w:rFonts w:hint="eastAsia"/>
                <w:b/>
                <w:bCs/>
                <w:color w:val="auto"/>
                <w:highlight w:val="none"/>
              </w:rPr>
              <w:t>证号</w:t>
            </w:r>
          </w:p>
        </w:tc>
        <w:tc>
          <w:tcPr>
            <w:tcW w:w="1229" w:type="dxa"/>
            <w:vAlign w:val="center"/>
          </w:tcPr>
          <w:p>
            <w:pPr>
              <w:pStyle w:val="45"/>
              <w:bidi w:val="0"/>
              <w:rPr>
                <w:rFonts w:hint="eastAsia"/>
                <w:b/>
                <w:bCs/>
                <w:color w:val="auto"/>
                <w:highlight w:val="none"/>
              </w:rPr>
            </w:pPr>
            <w:r>
              <w:rPr>
                <w:rFonts w:hint="eastAsia"/>
                <w:b/>
                <w:bCs/>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5"/>
              <w:bidi w:val="0"/>
              <w:rPr>
                <w:rFonts w:hint="eastAsia"/>
                <w:color w:val="auto"/>
                <w:highlight w:val="none"/>
              </w:rPr>
            </w:pPr>
          </w:p>
        </w:tc>
        <w:tc>
          <w:tcPr>
            <w:tcW w:w="923" w:type="dxa"/>
            <w:vAlign w:val="top"/>
          </w:tcPr>
          <w:p>
            <w:pPr>
              <w:pStyle w:val="45"/>
              <w:bidi w:val="0"/>
              <w:rPr>
                <w:rFonts w:hint="eastAsia"/>
                <w:color w:val="auto"/>
                <w:highlight w:val="none"/>
              </w:rPr>
            </w:pPr>
          </w:p>
        </w:tc>
        <w:tc>
          <w:tcPr>
            <w:tcW w:w="921" w:type="dxa"/>
            <w:vAlign w:val="top"/>
          </w:tcPr>
          <w:p>
            <w:pPr>
              <w:pStyle w:val="45"/>
              <w:bidi w:val="0"/>
              <w:rPr>
                <w:rFonts w:hint="eastAsia"/>
                <w:color w:val="auto"/>
                <w:highlight w:val="none"/>
              </w:rPr>
            </w:pPr>
          </w:p>
        </w:tc>
        <w:tc>
          <w:tcPr>
            <w:tcW w:w="923" w:type="dxa"/>
            <w:vAlign w:val="top"/>
          </w:tcPr>
          <w:p>
            <w:pPr>
              <w:pStyle w:val="45"/>
              <w:bidi w:val="0"/>
              <w:rPr>
                <w:rFonts w:hint="eastAsia"/>
                <w:color w:val="auto"/>
                <w:highlight w:val="none"/>
              </w:rPr>
            </w:pPr>
          </w:p>
        </w:tc>
        <w:tc>
          <w:tcPr>
            <w:tcW w:w="922" w:type="dxa"/>
            <w:vAlign w:val="top"/>
          </w:tcPr>
          <w:p>
            <w:pPr>
              <w:pStyle w:val="45"/>
              <w:bidi w:val="0"/>
              <w:rPr>
                <w:rFonts w:hint="eastAsia"/>
                <w:color w:val="auto"/>
                <w:highlight w:val="none"/>
              </w:rPr>
            </w:pPr>
          </w:p>
        </w:tc>
        <w:tc>
          <w:tcPr>
            <w:tcW w:w="1436" w:type="dxa"/>
            <w:vAlign w:val="top"/>
          </w:tcPr>
          <w:p>
            <w:pPr>
              <w:pStyle w:val="45"/>
              <w:bidi w:val="0"/>
              <w:rPr>
                <w:rFonts w:hint="eastAsia"/>
                <w:color w:val="auto"/>
                <w:highlight w:val="none"/>
              </w:rPr>
            </w:pPr>
          </w:p>
        </w:tc>
        <w:tc>
          <w:tcPr>
            <w:tcW w:w="1022" w:type="dxa"/>
            <w:vAlign w:val="top"/>
          </w:tcPr>
          <w:p>
            <w:pPr>
              <w:pStyle w:val="45"/>
              <w:bidi w:val="0"/>
              <w:rPr>
                <w:rFonts w:hint="eastAsia"/>
                <w:color w:val="auto"/>
                <w:highlight w:val="none"/>
              </w:rPr>
            </w:pPr>
          </w:p>
        </w:tc>
        <w:tc>
          <w:tcPr>
            <w:tcW w:w="1232" w:type="dxa"/>
            <w:vAlign w:val="top"/>
          </w:tcPr>
          <w:p>
            <w:pPr>
              <w:pStyle w:val="45"/>
              <w:bidi w:val="0"/>
              <w:rPr>
                <w:rFonts w:hint="eastAsia"/>
                <w:color w:val="auto"/>
                <w:highlight w:val="none"/>
              </w:rPr>
            </w:pPr>
          </w:p>
        </w:tc>
        <w:tc>
          <w:tcPr>
            <w:tcW w:w="1229" w:type="dxa"/>
            <w:vAlign w:val="top"/>
          </w:tcPr>
          <w:p>
            <w:pPr>
              <w:pStyle w:val="45"/>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5"/>
              <w:bidi w:val="0"/>
              <w:rPr>
                <w:rFonts w:hint="eastAsia"/>
                <w:color w:val="auto"/>
                <w:highlight w:val="none"/>
              </w:rPr>
            </w:pPr>
          </w:p>
        </w:tc>
        <w:tc>
          <w:tcPr>
            <w:tcW w:w="923" w:type="dxa"/>
            <w:vAlign w:val="top"/>
          </w:tcPr>
          <w:p>
            <w:pPr>
              <w:pStyle w:val="45"/>
              <w:bidi w:val="0"/>
              <w:rPr>
                <w:rFonts w:hint="eastAsia"/>
                <w:color w:val="auto"/>
                <w:highlight w:val="none"/>
              </w:rPr>
            </w:pPr>
          </w:p>
        </w:tc>
        <w:tc>
          <w:tcPr>
            <w:tcW w:w="921" w:type="dxa"/>
            <w:vAlign w:val="top"/>
          </w:tcPr>
          <w:p>
            <w:pPr>
              <w:pStyle w:val="45"/>
              <w:bidi w:val="0"/>
              <w:rPr>
                <w:rFonts w:hint="eastAsia"/>
                <w:color w:val="auto"/>
                <w:highlight w:val="none"/>
              </w:rPr>
            </w:pPr>
          </w:p>
        </w:tc>
        <w:tc>
          <w:tcPr>
            <w:tcW w:w="923" w:type="dxa"/>
            <w:vAlign w:val="top"/>
          </w:tcPr>
          <w:p>
            <w:pPr>
              <w:pStyle w:val="45"/>
              <w:bidi w:val="0"/>
              <w:rPr>
                <w:rFonts w:hint="eastAsia"/>
                <w:color w:val="auto"/>
                <w:highlight w:val="none"/>
              </w:rPr>
            </w:pPr>
          </w:p>
        </w:tc>
        <w:tc>
          <w:tcPr>
            <w:tcW w:w="922" w:type="dxa"/>
            <w:vAlign w:val="top"/>
          </w:tcPr>
          <w:p>
            <w:pPr>
              <w:pStyle w:val="45"/>
              <w:bidi w:val="0"/>
              <w:rPr>
                <w:rFonts w:hint="eastAsia"/>
                <w:color w:val="auto"/>
                <w:highlight w:val="none"/>
              </w:rPr>
            </w:pPr>
          </w:p>
        </w:tc>
        <w:tc>
          <w:tcPr>
            <w:tcW w:w="1436" w:type="dxa"/>
            <w:vAlign w:val="top"/>
          </w:tcPr>
          <w:p>
            <w:pPr>
              <w:pStyle w:val="45"/>
              <w:bidi w:val="0"/>
              <w:rPr>
                <w:rFonts w:hint="eastAsia"/>
                <w:color w:val="auto"/>
                <w:highlight w:val="none"/>
              </w:rPr>
            </w:pPr>
          </w:p>
        </w:tc>
        <w:tc>
          <w:tcPr>
            <w:tcW w:w="1022" w:type="dxa"/>
            <w:vAlign w:val="top"/>
          </w:tcPr>
          <w:p>
            <w:pPr>
              <w:pStyle w:val="45"/>
              <w:bidi w:val="0"/>
              <w:rPr>
                <w:rFonts w:hint="eastAsia"/>
                <w:color w:val="auto"/>
                <w:highlight w:val="none"/>
              </w:rPr>
            </w:pPr>
          </w:p>
        </w:tc>
        <w:tc>
          <w:tcPr>
            <w:tcW w:w="1232" w:type="dxa"/>
            <w:vAlign w:val="top"/>
          </w:tcPr>
          <w:p>
            <w:pPr>
              <w:pStyle w:val="45"/>
              <w:bidi w:val="0"/>
              <w:rPr>
                <w:rFonts w:hint="eastAsia"/>
                <w:color w:val="auto"/>
                <w:highlight w:val="none"/>
              </w:rPr>
            </w:pPr>
          </w:p>
        </w:tc>
        <w:tc>
          <w:tcPr>
            <w:tcW w:w="1229" w:type="dxa"/>
            <w:vAlign w:val="top"/>
          </w:tcPr>
          <w:p>
            <w:pPr>
              <w:pStyle w:val="45"/>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0" w:hRule="atLeast"/>
          <w:jc w:val="center"/>
        </w:trPr>
        <w:tc>
          <w:tcPr>
            <w:tcW w:w="1348" w:type="dxa"/>
            <w:vMerge w:val="continue"/>
            <w:vAlign w:val="center"/>
          </w:tcPr>
          <w:p>
            <w:pPr>
              <w:pStyle w:val="45"/>
              <w:bidi w:val="0"/>
              <w:rPr>
                <w:rFonts w:hint="eastAsia"/>
                <w:color w:val="auto"/>
                <w:highlight w:val="none"/>
              </w:rPr>
            </w:pPr>
          </w:p>
        </w:tc>
        <w:tc>
          <w:tcPr>
            <w:tcW w:w="923" w:type="dxa"/>
            <w:vAlign w:val="top"/>
          </w:tcPr>
          <w:p>
            <w:pPr>
              <w:pStyle w:val="45"/>
              <w:bidi w:val="0"/>
              <w:rPr>
                <w:rFonts w:hint="eastAsia"/>
                <w:color w:val="auto"/>
                <w:highlight w:val="none"/>
              </w:rPr>
            </w:pPr>
          </w:p>
        </w:tc>
        <w:tc>
          <w:tcPr>
            <w:tcW w:w="921" w:type="dxa"/>
            <w:vAlign w:val="top"/>
          </w:tcPr>
          <w:p>
            <w:pPr>
              <w:pStyle w:val="45"/>
              <w:bidi w:val="0"/>
              <w:rPr>
                <w:rFonts w:hint="eastAsia"/>
                <w:color w:val="auto"/>
                <w:highlight w:val="none"/>
              </w:rPr>
            </w:pPr>
          </w:p>
        </w:tc>
        <w:tc>
          <w:tcPr>
            <w:tcW w:w="923" w:type="dxa"/>
            <w:vAlign w:val="top"/>
          </w:tcPr>
          <w:p>
            <w:pPr>
              <w:pStyle w:val="45"/>
              <w:bidi w:val="0"/>
              <w:rPr>
                <w:rFonts w:hint="eastAsia"/>
                <w:color w:val="auto"/>
                <w:highlight w:val="none"/>
              </w:rPr>
            </w:pPr>
          </w:p>
        </w:tc>
        <w:tc>
          <w:tcPr>
            <w:tcW w:w="922" w:type="dxa"/>
            <w:vAlign w:val="top"/>
          </w:tcPr>
          <w:p>
            <w:pPr>
              <w:pStyle w:val="45"/>
              <w:bidi w:val="0"/>
              <w:rPr>
                <w:rFonts w:hint="eastAsia"/>
                <w:color w:val="auto"/>
                <w:highlight w:val="none"/>
              </w:rPr>
            </w:pPr>
          </w:p>
        </w:tc>
        <w:tc>
          <w:tcPr>
            <w:tcW w:w="1436" w:type="dxa"/>
            <w:vAlign w:val="top"/>
          </w:tcPr>
          <w:p>
            <w:pPr>
              <w:pStyle w:val="45"/>
              <w:bidi w:val="0"/>
              <w:rPr>
                <w:rFonts w:hint="eastAsia"/>
                <w:color w:val="auto"/>
                <w:highlight w:val="none"/>
              </w:rPr>
            </w:pPr>
          </w:p>
        </w:tc>
        <w:tc>
          <w:tcPr>
            <w:tcW w:w="1022" w:type="dxa"/>
            <w:vAlign w:val="top"/>
          </w:tcPr>
          <w:p>
            <w:pPr>
              <w:pStyle w:val="45"/>
              <w:bidi w:val="0"/>
              <w:rPr>
                <w:rFonts w:hint="eastAsia"/>
                <w:color w:val="auto"/>
                <w:highlight w:val="none"/>
              </w:rPr>
            </w:pPr>
          </w:p>
        </w:tc>
        <w:tc>
          <w:tcPr>
            <w:tcW w:w="1232" w:type="dxa"/>
            <w:vAlign w:val="top"/>
          </w:tcPr>
          <w:p>
            <w:pPr>
              <w:pStyle w:val="45"/>
              <w:bidi w:val="0"/>
              <w:rPr>
                <w:rFonts w:hint="eastAsia"/>
                <w:color w:val="auto"/>
                <w:highlight w:val="none"/>
              </w:rPr>
            </w:pPr>
          </w:p>
        </w:tc>
        <w:tc>
          <w:tcPr>
            <w:tcW w:w="1229" w:type="dxa"/>
            <w:vAlign w:val="top"/>
          </w:tcPr>
          <w:p>
            <w:pPr>
              <w:pStyle w:val="45"/>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5"/>
              <w:bidi w:val="0"/>
              <w:rPr>
                <w:rFonts w:hint="eastAsia"/>
                <w:color w:val="auto"/>
                <w:highlight w:val="none"/>
              </w:rPr>
            </w:pPr>
          </w:p>
        </w:tc>
        <w:tc>
          <w:tcPr>
            <w:tcW w:w="923" w:type="dxa"/>
            <w:vAlign w:val="top"/>
          </w:tcPr>
          <w:p>
            <w:pPr>
              <w:pStyle w:val="45"/>
              <w:bidi w:val="0"/>
              <w:rPr>
                <w:rFonts w:hint="eastAsia"/>
                <w:color w:val="auto"/>
                <w:highlight w:val="none"/>
              </w:rPr>
            </w:pPr>
          </w:p>
        </w:tc>
        <w:tc>
          <w:tcPr>
            <w:tcW w:w="921" w:type="dxa"/>
            <w:vAlign w:val="top"/>
          </w:tcPr>
          <w:p>
            <w:pPr>
              <w:pStyle w:val="45"/>
              <w:bidi w:val="0"/>
              <w:rPr>
                <w:rFonts w:hint="eastAsia"/>
                <w:color w:val="auto"/>
                <w:highlight w:val="none"/>
              </w:rPr>
            </w:pPr>
          </w:p>
        </w:tc>
        <w:tc>
          <w:tcPr>
            <w:tcW w:w="923" w:type="dxa"/>
            <w:vAlign w:val="top"/>
          </w:tcPr>
          <w:p>
            <w:pPr>
              <w:pStyle w:val="45"/>
              <w:bidi w:val="0"/>
              <w:rPr>
                <w:rFonts w:hint="eastAsia"/>
                <w:color w:val="auto"/>
                <w:highlight w:val="none"/>
              </w:rPr>
            </w:pPr>
          </w:p>
        </w:tc>
        <w:tc>
          <w:tcPr>
            <w:tcW w:w="922" w:type="dxa"/>
            <w:vAlign w:val="top"/>
          </w:tcPr>
          <w:p>
            <w:pPr>
              <w:pStyle w:val="45"/>
              <w:bidi w:val="0"/>
              <w:rPr>
                <w:rFonts w:hint="eastAsia"/>
                <w:color w:val="auto"/>
                <w:highlight w:val="none"/>
              </w:rPr>
            </w:pPr>
          </w:p>
        </w:tc>
        <w:tc>
          <w:tcPr>
            <w:tcW w:w="1436" w:type="dxa"/>
            <w:vAlign w:val="top"/>
          </w:tcPr>
          <w:p>
            <w:pPr>
              <w:pStyle w:val="45"/>
              <w:bidi w:val="0"/>
              <w:rPr>
                <w:rFonts w:hint="eastAsia"/>
                <w:color w:val="auto"/>
                <w:highlight w:val="none"/>
              </w:rPr>
            </w:pPr>
          </w:p>
        </w:tc>
        <w:tc>
          <w:tcPr>
            <w:tcW w:w="1022" w:type="dxa"/>
            <w:vAlign w:val="top"/>
          </w:tcPr>
          <w:p>
            <w:pPr>
              <w:pStyle w:val="45"/>
              <w:bidi w:val="0"/>
              <w:rPr>
                <w:rFonts w:hint="eastAsia"/>
                <w:color w:val="auto"/>
                <w:highlight w:val="none"/>
              </w:rPr>
            </w:pPr>
          </w:p>
        </w:tc>
        <w:tc>
          <w:tcPr>
            <w:tcW w:w="1232" w:type="dxa"/>
            <w:vAlign w:val="top"/>
          </w:tcPr>
          <w:p>
            <w:pPr>
              <w:pStyle w:val="45"/>
              <w:bidi w:val="0"/>
              <w:rPr>
                <w:rFonts w:hint="eastAsia"/>
                <w:color w:val="auto"/>
                <w:highlight w:val="none"/>
              </w:rPr>
            </w:pPr>
          </w:p>
        </w:tc>
        <w:tc>
          <w:tcPr>
            <w:tcW w:w="1229" w:type="dxa"/>
            <w:vAlign w:val="top"/>
          </w:tcPr>
          <w:p>
            <w:pPr>
              <w:pStyle w:val="45"/>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5"/>
              <w:bidi w:val="0"/>
              <w:rPr>
                <w:rFonts w:hint="eastAsia"/>
                <w:color w:val="auto"/>
                <w:highlight w:val="none"/>
              </w:rPr>
            </w:pPr>
          </w:p>
        </w:tc>
        <w:tc>
          <w:tcPr>
            <w:tcW w:w="923" w:type="dxa"/>
            <w:vAlign w:val="top"/>
          </w:tcPr>
          <w:p>
            <w:pPr>
              <w:pStyle w:val="45"/>
              <w:bidi w:val="0"/>
              <w:rPr>
                <w:rFonts w:hint="eastAsia"/>
                <w:color w:val="auto"/>
                <w:highlight w:val="none"/>
              </w:rPr>
            </w:pPr>
          </w:p>
        </w:tc>
        <w:tc>
          <w:tcPr>
            <w:tcW w:w="921" w:type="dxa"/>
            <w:vAlign w:val="top"/>
          </w:tcPr>
          <w:p>
            <w:pPr>
              <w:pStyle w:val="45"/>
              <w:bidi w:val="0"/>
              <w:rPr>
                <w:rFonts w:hint="eastAsia"/>
                <w:color w:val="auto"/>
                <w:highlight w:val="none"/>
              </w:rPr>
            </w:pPr>
          </w:p>
        </w:tc>
        <w:tc>
          <w:tcPr>
            <w:tcW w:w="923" w:type="dxa"/>
            <w:vAlign w:val="top"/>
          </w:tcPr>
          <w:p>
            <w:pPr>
              <w:pStyle w:val="45"/>
              <w:bidi w:val="0"/>
              <w:rPr>
                <w:rFonts w:hint="eastAsia"/>
                <w:color w:val="auto"/>
                <w:highlight w:val="none"/>
              </w:rPr>
            </w:pPr>
          </w:p>
        </w:tc>
        <w:tc>
          <w:tcPr>
            <w:tcW w:w="922" w:type="dxa"/>
            <w:vAlign w:val="top"/>
          </w:tcPr>
          <w:p>
            <w:pPr>
              <w:pStyle w:val="45"/>
              <w:bidi w:val="0"/>
              <w:rPr>
                <w:rFonts w:hint="eastAsia"/>
                <w:color w:val="auto"/>
                <w:highlight w:val="none"/>
              </w:rPr>
            </w:pPr>
          </w:p>
        </w:tc>
        <w:tc>
          <w:tcPr>
            <w:tcW w:w="1436" w:type="dxa"/>
            <w:vAlign w:val="top"/>
          </w:tcPr>
          <w:p>
            <w:pPr>
              <w:pStyle w:val="45"/>
              <w:bidi w:val="0"/>
              <w:rPr>
                <w:rFonts w:hint="eastAsia"/>
                <w:color w:val="auto"/>
                <w:highlight w:val="none"/>
              </w:rPr>
            </w:pPr>
          </w:p>
        </w:tc>
        <w:tc>
          <w:tcPr>
            <w:tcW w:w="1022" w:type="dxa"/>
            <w:vAlign w:val="top"/>
          </w:tcPr>
          <w:p>
            <w:pPr>
              <w:pStyle w:val="45"/>
              <w:bidi w:val="0"/>
              <w:rPr>
                <w:rFonts w:hint="eastAsia"/>
                <w:color w:val="auto"/>
                <w:highlight w:val="none"/>
              </w:rPr>
            </w:pPr>
          </w:p>
        </w:tc>
        <w:tc>
          <w:tcPr>
            <w:tcW w:w="1232" w:type="dxa"/>
            <w:vAlign w:val="top"/>
          </w:tcPr>
          <w:p>
            <w:pPr>
              <w:pStyle w:val="45"/>
              <w:bidi w:val="0"/>
              <w:rPr>
                <w:rFonts w:hint="eastAsia"/>
                <w:color w:val="auto"/>
                <w:highlight w:val="none"/>
              </w:rPr>
            </w:pPr>
          </w:p>
        </w:tc>
        <w:tc>
          <w:tcPr>
            <w:tcW w:w="1229" w:type="dxa"/>
            <w:vAlign w:val="top"/>
          </w:tcPr>
          <w:p>
            <w:pPr>
              <w:pStyle w:val="45"/>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5"/>
              <w:bidi w:val="0"/>
              <w:rPr>
                <w:rFonts w:hint="eastAsia"/>
                <w:color w:val="auto"/>
                <w:highlight w:val="none"/>
              </w:rPr>
            </w:pPr>
          </w:p>
        </w:tc>
        <w:tc>
          <w:tcPr>
            <w:tcW w:w="923" w:type="dxa"/>
            <w:vAlign w:val="top"/>
          </w:tcPr>
          <w:p>
            <w:pPr>
              <w:pStyle w:val="45"/>
              <w:bidi w:val="0"/>
              <w:rPr>
                <w:rFonts w:hint="eastAsia"/>
                <w:color w:val="auto"/>
                <w:highlight w:val="none"/>
              </w:rPr>
            </w:pPr>
          </w:p>
        </w:tc>
        <w:tc>
          <w:tcPr>
            <w:tcW w:w="921" w:type="dxa"/>
            <w:vAlign w:val="top"/>
          </w:tcPr>
          <w:p>
            <w:pPr>
              <w:pStyle w:val="45"/>
              <w:bidi w:val="0"/>
              <w:rPr>
                <w:rFonts w:hint="eastAsia"/>
                <w:color w:val="auto"/>
                <w:highlight w:val="none"/>
              </w:rPr>
            </w:pPr>
          </w:p>
        </w:tc>
        <w:tc>
          <w:tcPr>
            <w:tcW w:w="923" w:type="dxa"/>
            <w:vAlign w:val="top"/>
          </w:tcPr>
          <w:p>
            <w:pPr>
              <w:pStyle w:val="45"/>
              <w:bidi w:val="0"/>
              <w:rPr>
                <w:rFonts w:hint="eastAsia"/>
                <w:color w:val="auto"/>
                <w:highlight w:val="none"/>
              </w:rPr>
            </w:pPr>
          </w:p>
        </w:tc>
        <w:tc>
          <w:tcPr>
            <w:tcW w:w="922" w:type="dxa"/>
            <w:vAlign w:val="top"/>
          </w:tcPr>
          <w:p>
            <w:pPr>
              <w:pStyle w:val="45"/>
              <w:bidi w:val="0"/>
              <w:rPr>
                <w:rFonts w:hint="eastAsia"/>
                <w:color w:val="auto"/>
                <w:highlight w:val="none"/>
              </w:rPr>
            </w:pPr>
          </w:p>
        </w:tc>
        <w:tc>
          <w:tcPr>
            <w:tcW w:w="1436" w:type="dxa"/>
            <w:vAlign w:val="top"/>
          </w:tcPr>
          <w:p>
            <w:pPr>
              <w:pStyle w:val="45"/>
              <w:bidi w:val="0"/>
              <w:rPr>
                <w:rFonts w:hint="eastAsia"/>
                <w:color w:val="auto"/>
                <w:highlight w:val="none"/>
              </w:rPr>
            </w:pPr>
          </w:p>
        </w:tc>
        <w:tc>
          <w:tcPr>
            <w:tcW w:w="1022" w:type="dxa"/>
            <w:vAlign w:val="top"/>
          </w:tcPr>
          <w:p>
            <w:pPr>
              <w:pStyle w:val="45"/>
              <w:bidi w:val="0"/>
              <w:rPr>
                <w:rFonts w:hint="eastAsia"/>
                <w:color w:val="auto"/>
                <w:highlight w:val="none"/>
              </w:rPr>
            </w:pPr>
          </w:p>
        </w:tc>
        <w:tc>
          <w:tcPr>
            <w:tcW w:w="1232" w:type="dxa"/>
            <w:vAlign w:val="top"/>
          </w:tcPr>
          <w:p>
            <w:pPr>
              <w:pStyle w:val="45"/>
              <w:bidi w:val="0"/>
              <w:rPr>
                <w:rFonts w:hint="eastAsia"/>
                <w:color w:val="auto"/>
                <w:highlight w:val="none"/>
              </w:rPr>
            </w:pPr>
          </w:p>
        </w:tc>
        <w:tc>
          <w:tcPr>
            <w:tcW w:w="1229" w:type="dxa"/>
            <w:vAlign w:val="top"/>
          </w:tcPr>
          <w:p>
            <w:pPr>
              <w:pStyle w:val="45"/>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5"/>
              <w:bidi w:val="0"/>
              <w:rPr>
                <w:rFonts w:hint="eastAsia"/>
                <w:color w:val="auto"/>
                <w:highlight w:val="none"/>
              </w:rPr>
            </w:pPr>
          </w:p>
        </w:tc>
        <w:tc>
          <w:tcPr>
            <w:tcW w:w="923" w:type="dxa"/>
            <w:vAlign w:val="top"/>
          </w:tcPr>
          <w:p>
            <w:pPr>
              <w:pStyle w:val="45"/>
              <w:bidi w:val="0"/>
              <w:rPr>
                <w:rFonts w:hint="eastAsia"/>
                <w:color w:val="auto"/>
                <w:highlight w:val="none"/>
              </w:rPr>
            </w:pPr>
          </w:p>
        </w:tc>
        <w:tc>
          <w:tcPr>
            <w:tcW w:w="921" w:type="dxa"/>
            <w:vAlign w:val="top"/>
          </w:tcPr>
          <w:p>
            <w:pPr>
              <w:pStyle w:val="45"/>
              <w:bidi w:val="0"/>
              <w:rPr>
                <w:rFonts w:hint="eastAsia"/>
                <w:color w:val="auto"/>
                <w:highlight w:val="none"/>
              </w:rPr>
            </w:pPr>
          </w:p>
        </w:tc>
        <w:tc>
          <w:tcPr>
            <w:tcW w:w="923" w:type="dxa"/>
            <w:vAlign w:val="top"/>
          </w:tcPr>
          <w:p>
            <w:pPr>
              <w:pStyle w:val="45"/>
              <w:bidi w:val="0"/>
              <w:rPr>
                <w:rFonts w:hint="eastAsia"/>
                <w:color w:val="auto"/>
                <w:highlight w:val="none"/>
              </w:rPr>
            </w:pPr>
          </w:p>
        </w:tc>
        <w:tc>
          <w:tcPr>
            <w:tcW w:w="922" w:type="dxa"/>
            <w:vAlign w:val="top"/>
          </w:tcPr>
          <w:p>
            <w:pPr>
              <w:pStyle w:val="45"/>
              <w:bidi w:val="0"/>
              <w:rPr>
                <w:rFonts w:hint="eastAsia"/>
                <w:color w:val="auto"/>
                <w:highlight w:val="none"/>
              </w:rPr>
            </w:pPr>
          </w:p>
        </w:tc>
        <w:tc>
          <w:tcPr>
            <w:tcW w:w="1436" w:type="dxa"/>
            <w:vAlign w:val="top"/>
          </w:tcPr>
          <w:p>
            <w:pPr>
              <w:pStyle w:val="45"/>
              <w:bidi w:val="0"/>
              <w:rPr>
                <w:rFonts w:hint="eastAsia"/>
                <w:color w:val="auto"/>
                <w:highlight w:val="none"/>
              </w:rPr>
            </w:pPr>
          </w:p>
        </w:tc>
        <w:tc>
          <w:tcPr>
            <w:tcW w:w="1022" w:type="dxa"/>
            <w:vAlign w:val="top"/>
          </w:tcPr>
          <w:p>
            <w:pPr>
              <w:pStyle w:val="45"/>
              <w:bidi w:val="0"/>
              <w:rPr>
                <w:rFonts w:hint="eastAsia"/>
                <w:color w:val="auto"/>
                <w:highlight w:val="none"/>
              </w:rPr>
            </w:pPr>
          </w:p>
        </w:tc>
        <w:tc>
          <w:tcPr>
            <w:tcW w:w="1232" w:type="dxa"/>
            <w:vAlign w:val="top"/>
          </w:tcPr>
          <w:p>
            <w:pPr>
              <w:pStyle w:val="45"/>
              <w:bidi w:val="0"/>
              <w:rPr>
                <w:rFonts w:hint="eastAsia"/>
                <w:color w:val="auto"/>
                <w:highlight w:val="none"/>
              </w:rPr>
            </w:pPr>
          </w:p>
        </w:tc>
        <w:tc>
          <w:tcPr>
            <w:tcW w:w="1229" w:type="dxa"/>
            <w:vAlign w:val="top"/>
          </w:tcPr>
          <w:p>
            <w:pPr>
              <w:pStyle w:val="45"/>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top"/>
          </w:tcPr>
          <w:p>
            <w:pPr>
              <w:pStyle w:val="45"/>
              <w:bidi w:val="0"/>
              <w:rPr>
                <w:rFonts w:hint="eastAsia"/>
                <w:color w:val="auto"/>
                <w:highlight w:val="none"/>
              </w:rPr>
            </w:pPr>
          </w:p>
        </w:tc>
        <w:tc>
          <w:tcPr>
            <w:tcW w:w="923" w:type="dxa"/>
            <w:vAlign w:val="top"/>
          </w:tcPr>
          <w:p>
            <w:pPr>
              <w:pStyle w:val="45"/>
              <w:bidi w:val="0"/>
              <w:rPr>
                <w:rFonts w:hint="eastAsia"/>
                <w:color w:val="auto"/>
                <w:highlight w:val="none"/>
              </w:rPr>
            </w:pPr>
          </w:p>
        </w:tc>
        <w:tc>
          <w:tcPr>
            <w:tcW w:w="921" w:type="dxa"/>
            <w:vAlign w:val="top"/>
          </w:tcPr>
          <w:p>
            <w:pPr>
              <w:pStyle w:val="45"/>
              <w:bidi w:val="0"/>
              <w:rPr>
                <w:rFonts w:hint="eastAsia"/>
                <w:color w:val="auto"/>
                <w:highlight w:val="none"/>
              </w:rPr>
            </w:pPr>
          </w:p>
        </w:tc>
        <w:tc>
          <w:tcPr>
            <w:tcW w:w="923" w:type="dxa"/>
            <w:vAlign w:val="top"/>
          </w:tcPr>
          <w:p>
            <w:pPr>
              <w:pStyle w:val="45"/>
              <w:bidi w:val="0"/>
              <w:rPr>
                <w:rFonts w:hint="eastAsia"/>
                <w:color w:val="auto"/>
                <w:highlight w:val="none"/>
              </w:rPr>
            </w:pPr>
          </w:p>
        </w:tc>
        <w:tc>
          <w:tcPr>
            <w:tcW w:w="922" w:type="dxa"/>
            <w:vAlign w:val="top"/>
          </w:tcPr>
          <w:p>
            <w:pPr>
              <w:pStyle w:val="45"/>
              <w:bidi w:val="0"/>
              <w:rPr>
                <w:rFonts w:hint="eastAsia"/>
                <w:color w:val="auto"/>
                <w:highlight w:val="none"/>
              </w:rPr>
            </w:pPr>
          </w:p>
        </w:tc>
        <w:tc>
          <w:tcPr>
            <w:tcW w:w="1436" w:type="dxa"/>
            <w:vAlign w:val="top"/>
          </w:tcPr>
          <w:p>
            <w:pPr>
              <w:pStyle w:val="45"/>
              <w:bidi w:val="0"/>
              <w:rPr>
                <w:rFonts w:hint="eastAsia"/>
                <w:color w:val="auto"/>
                <w:highlight w:val="none"/>
              </w:rPr>
            </w:pPr>
          </w:p>
        </w:tc>
        <w:tc>
          <w:tcPr>
            <w:tcW w:w="1022" w:type="dxa"/>
            <w:vAlign w:val="top"/>
          </w:tcPr>
          <w:p>
            <w:pPr>
              <w:pStyle w:val="45"/>
              <w:bidi w:val="0"/>
              <w:rPr>
                <w:rFonts w:hint="eastAsia"/>
                <w:color w:val="auto"/>
                <w:highlight w:val="none"/>
              </w:rPr>
            </w:pPr>
          </w:p>
        </w:tc>
        <w:tc>
          <w:tcPr>
            <w:tcW w:w="1232" w:type="dxa"/>
            <w:vAlign w:val="top"/>
          </w:tcPr>
          <w:p>
            <w:pPr>
              <w:pStyle w:val="45"/>
              <w:bidi w:val="0"/>
              <w:rPr>
                <w:rFonts w:hint="eastAsia"/>
                <w:color w:val="auto"/>
                <w:highlight w:val="none"/>
              </w:rPr>
            </w:pPr>
          </w:p>
        </w:tc>
        <w:tc>
          <w:tcPr>
            <w:tcW w:w="1229" w:type="dxa"/>
            <w:vAlign w:val="top"/>
          </w:tcPr>
          <w:p>
            <w:pPr>
              <w:pStyle w:val="45"/>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top"/>
          </w:tcPr>
          <w:p>
            <w:pPr>
              <w:pStyle w:val="45"/>
              <w:bidi w:val="0"/>
              <w:rPr>
                <w:rFonts w:hint="eastAsia"/>
                <w:color w:val="auto"/>
                <w:highlight w:val="none"/>
              </w:rPr>
            </w:pPr>
          </w:p>
        </w:tc>
        <w:tc>
          <w:tcPr>
            <w:tcW w:w="923" w:type="dxa"/>
            <w:vAlign w:val="top"/>
          </w:tcPr>
          <w:p>
            <w:pPr>
              <w:pStyle w:val="45"/>
              <w:bidi w:val="0"/>
              <w:rPr>
                <w:rFonts w:hint="eastAsia"/>
                <w:color w:val="auto"/>
                <w:highlight w:val="none"/>
              </w:rPr>
            </w:pPr>
          </w:p>
        </w:tc>
        <w:tc>
          <w:tcPr>
            <w:tcW w:w="921" w:type="dxa"/>
            <w:vAlign w:val="top"/>
          </w:tcPr>
          <w:p>
            <w:pPr>
              <w:pStyle w:val="45"/>
              <w:bidi w:val="0"/>
              <w:rPr>
                <w:rFonts w:hint="eastAsia"/>
                <w:color w:val="auto"/>
                <w:highlight w:val="none"/>
              </w:rPr>
            </w:pPr>
          </w:p>
        </w:tc>
        <w:tc>
          <w:tcPr>
            <w:tcW w:w="923" w:type="dxa"/>
            <w:vAlign w:val="top"/>
          </w:tcPr>
          <w:p>
            <w:pPr>
              <w:pStyle w:val="45"/>
              <w:bidi w:val="0"/>
              <w:rPr>
                <w:rFonts w:hint="eastAsia"/>
                <w:color w:val="auto"/>
                <w:highlight w:val="none"/>
              </w:rPr>
            </w:pPr>
          </w:p>
        </w:tc>
        <w:tc>
          <w:tcPr>
            <w:tcW w:w="922" w:type="dxa"/>
            <w:vAlign w:val="top"/>
          </w:tcPr>
          <w:p>
            <w:pPr>
              <w:pStyle w:val="45"/>
              <w:bidi w:val="0"/>
              <w:rPr>
                <w:rFonts w:hint="eastAsia"/>
                <w:color w:val="auto"/>
                <w:highlight w:val="none"/>
              </w:rPr>
            </w:pPr>
          </w:p>
        </w:tc>
        <w:tc>
          <w:tcPr>
            <w:tcW w:w="1436" w:type="dxa"/>
            <w:vAlign w:val="top"/>
          </w:tcPr>
          <w:p>
            <w:pPr>
              <w:pStyle w:val="45"/>
              <w:bidi w:val="0"/>
              <w:rPr>
                <w:rFonts w:hint="eastAsia"/>
                <w:color w:val="auto"/>
                <w:highlight w:val="none"/>
              </w:rPr>
            </w:pPr>
          </w:p>
        </w:tc>
        <w:tc>
          <w:tcPr>
            <w:tcW w:w="1022" w:type="dxa"/>
            <w:vAlign w:val="top"/>
          </w:tcPr>
          <w:p>
            <w:pPr>
              <w:pStyle w:val="45"/>
              <w:bidi w:val="0"/>
              <w:rPr>
                <w:rFonts w:hint="eastAsia"/>
                <w:color w:val="auto"/>
                <w:highlight w:val="none"/>
              </w:rPr>
            </w:pPr>
          </w:p>
        </w:tc>
        <w:tc>
          <w:tcPr>
            <w:tcW w:w="1232" w:type="dxa"/>
            <w:vAlign w:val="top"/>
          </w:tcPr>
          <w:p>
            <w:pPr>
              <w:pStyle w:val="45"/>
              <w:bidi w:val="0"/>
              <w:rPr>
                <w:rFonts w:hint="eastAsia"/>
                <w:color w:val="auto"/>
                <w:highlight w:val="none"/>
              </w:rPr>
            </w:pPr>
          </w:p>
        </w:tc>
        <w:tc>
          <w:tcPr>
            <w:tcW w:w="1229" w:type="dxa"/>
            <w:vAlign w:val="top"/>
          </w:tcPr>
          <w:p>
            <w:pPr>
              <w:pStyle w:val="45"/>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0" w:hRule="atLeast"/>
          <w:jc w:val="center"/>
        </w:trPr>
        <w:tc>
          <w:tcPr>
            <w:tcW w:w="1348" w:type="dxa"/>
            <w:vAlign w:val="top"/>
          </w:tcPr>
          <w:p>
            <w:pPr>
              <w:pStyle w:val="45"/>
              <w:bidi w:val="0"/>
              <w:rPr>
                <w:rFonts w:hint="default" w:eastAsia="宋体"/>
                <w:color w:val="auto"/>
                <w:highlight w:val="none"/>
                <w:lang w:val="en-US" w:eastAsia="zh-CN"/>
              </w:rPr>
            </w:pPr>
          </w:p>
        </w:tc>
        <w:tc>
          <w:tcPr>
            <w:tcW w:w="923" w:type="dxa"/>
            <w:vAlign w:val="top"/>
          </w:tcPr>
          <w:p>
            <w:pPr>
              <w:pStyle w:val="45"/>
              <w:bidi w:val="0"/>
              <w:rPr>
                <w:rFonts w:hint="eastAsia"/>
                <w:color w:val="auto"/>
                <w:highlight w:val="none"/>
              </w:rPr>
            </w:pPr>
          </w:p>
        </w:tc>
        <w:tc>
          <w:tcPr>
            <w:tcW w:w="921" w:type="dxa"/>
            <w:vAlign w:val="top"/>
          </w:tcPr>
          <w:p>
            <w:pPr>
              <w:pStyle w:val="45"/>
              <w:bidi w:val="0"/>
              <w:rPr>
                <w:rFonts w:hint="eastAsia"/>
                <w:color w:val="auto"/>
                <w:highlight w:val="none"/>
              </w:rPr>
            </w:pPr>
          </w:p>
        </w:tc>
        <w:tc>
          <w:tcPr>
            <w:tcW w:w="923" w:type="dxa"/>
            <w:vAlign w:val="top"/>
          </w:tcPr>
          <w:p>
            <w:pPr>
              <w:pStyle w:val="45"/>
              <w:bidi w:val="0"/>
              <w:rPr>
                <w:rFonts w:hint="eastAsia"/>
                <w:color w:val="auto"/>
                <w:highlight w:val="none"/>
              </w:rPr>
            </w:pPr>
          </w:p>
        </w:tc>
        <w:tc>
          <w:tcPr>
            <w:tcW w:w="922" w:type="dxa"/>
            <w:vAlign w:val="top"/>
          </w:tcPr>
          <w:p>
            <w:pPr>
              <w:pStyle w:val="45"/>
              <w:bidi w:val="0"/>
              <w:rPr>
                <w:rFonts w:hint="eastAsia"/>
                <w:color w:val="auto"/>
                <w:highlight w:val="none"/>
              </w:rPr>
            </w:pPr>
          </w:p>
        </w:tc>
        <w:tc>
          <w:tcPr>
            <w:tcW w:w="1436" w:type="dxa"/>
            <w:vAlign w:val="top"/>
          </w:tcPr>
          <w:p>
            <w:pPr>
              <w:pStyle w:val="45"/>
              <w:bidi w:val="0"/>
              <w:rPr>
                <w:rFonts w:hint="eastAsia"/>
                <w:color w:val="auto"/>
                <w:highlight w:val="none"/>
              </w:rPr>
            </w:pPr>
          </w:p>
        </w:tc>
        <w:tc>
          <w:tcPr>
            <w:tcW w:w="1022" w:type="dxa"/>
            <w:vAlign w:val="top"/>
          </w:tcPr>
          <w:p>
            <w:pPr>
              <w:pStyle w:val="45"/>
              <w:bidi w:val="0"/>
              <w:rPr>
                <w:rFonts w:hint="eastAsia"/>
                <w:color w:val="auto"/>
                <w:highlight w:val="none"/>
              </w:rPr>
            </w:pPr>
          </w:p>
        </w:tc>
        <w:tc>
          <w:tcPr>
            <w:tcW w:w="1232" w:type="dxa"/>
            <w:vAlign w:val="top"/>
          </w:tcPr>
          <w:p>
            <w:pPr>
              <w:pStyle w:val="45"/>
              <w:bidi w:val="0"/>
              <w:rPr>
                <w:rFonts w:hint="eastAsia"/>
                <w:color w:val="auto"/>
                <w:highlight w:val="none"/>
              </w:rPr>
            </w:pPr>
          </w:p>
        </w:tc>
        <w:tc>
          <w:tcPr>
            <w:tcW w:w="1229" w:type="dxa"/>
            <w:vAlign w:val="top"/>
          </w:tcPr>
          <w:p>
            <w:pPr>
              <w:pStyle w:val="45"/>
              <w:bidi w:val="0"/>
              <w:rPr>
                <w:rFonts w:hint="eastAsia"/>
                <w:color w:val="auto"/>
                <w:highlight w:val="none"/>
              </w:rPr>
            </w:pPr>
          </w:p>
        </w:tc>
      </w:tr>
    </w:tbl>
    <w:p>
      <w:pPr>
        <w:pStyle w:val="47"/>
        <w:bidi w:val="0"/>
        <w:rPr>
          <w:rFonts w:hint="eastAsia"/>
          <w:color w:val="auto"/>
          <w:sz w:val="24"/>
          <w:szCs w:val="24"/>
          <w:highlight w:val="none"/>
        </w:rPr>
      </w:pPr>
      <w:r>
        <w:rPr>
          <w:rFonts w:hint="eastAsia"/>
          <w:color w:val="auto"/>
          <w:sz w:val="24"/>
          <w:szCs w:val="24"/>
          <w:highlight w:val="none"/>
        </w:rPr>
        <w:t>注：</w:t>
      </w:r>
      <w:r>
        <w:rPr>
          <w:rFonts w:hint="eastAsia"/>
          <w:color w:val="auto"/>
          <w:sz w:val="24"/>
          <w:szCs w:val="24"/>
          <w:highlight w:val="none"/>
          <w:lang w:val="en-US" w:eastAsia="zh-CN"/>
        </w:rPr>
        <w:t>①投标人</w:t>
      </w:r>
      <w:r>
        <w:rPr>
          <w:rFonts w:hint="eastAsia"/>
          <w:color w:val="auto"/>
          <w:sz w:val="24"/>
          <w:szCs w:val="24"/>
          <w:highlight w:val="none"/>
        </w:rPr>
        <w:t>根据</w:t>
      </w:r>
      <w:r>
        <w:rPr>
          <w:rFonts w:hint="eastAsia"/>
          <w:color w:val="auto"/>
          <w:sz w:val="24"/>
          <w:szCs w:val="24"/>
          <w:highlight w:val="none"/>
          <w:lang w:val="en-US" w:eastAsia="zh-CN"/>
        </w:rPr>
        <w:t>自身</w:t>
      </w:r>
      <w:r>
        <w:rPr>
          <w:rFonts w:hint="eastAsia"/>
          <w:color w:val="auto"/>
          <w:sz w:val="24"/>
          <w:szCs w:val="24"/>
          <w:highlight w:val="none"/>
        </w:rPr>
        <w:t>实际情况</w:t>
      </w:r>
      <w:r>
        <w:rPr>
          <w:rFonts w:hint="eastAsia"/>
          <w:color w:val="auto"/>
          <w:sz w:val="24"/>
          <w:szCs w:val="24"/>
          <w:highlight w:val="none"/>
          <w:lang w:val="en-US" w:eastAsia="zh-CN"/>
        </w:rPr>
        <w:t>调整填写</w:t>
      </w:r>
      <w:r>
        <w:rPr>
          <w:rFonts w:hint="eastAsia"/>
          <w:color w:val="auto"/>
          <w:sz w:val="24"/>
          <w:szCs w:val="24"/>
          <w:highlight w:val="none"/>
        </w:rPr>
        <w:t>，</w:t>
      </w:r>
      <w:r>
        <w:rPr>
          <w:rFonts w:hint="eastAsia"/>
          <w:color w:val="auto"/>
          <w:sz w:val="24"/>
          <w:szCs w:val="24"/>
          <w:highlight w:val="none"/>
          <w:lang w:val="en-US" w:eastAsia="zh-CN"/>
        </w:rPr>
        <w:t>对不涉及的内容可填写“/”</w:t>
      </w:r>
      <w:r>
        <w:rPr>
          <w:rFonts w:hint="eastAsia"/>
          <w:color w:val="auto"/>
          <w:sz w:val="24"/>
          <w:szCs w:val="24"/>
          <w:highlight w:val="none"/>
        </w:rPr>
        <w:t>。</w:t>
      </w:r>
      <w:r>
        <w:rPr>
          <w:rFonts w:hint="eastAsia"/>
          <w:color w:val="auto"/>
          <w:sz w:val="24"/>
          <w:szCs w:val="24"/>
          <w:highlight w:val="none"/>
          <w:lang w:val="en-US" w:eastAsia="zh-CN"/>
        </w:rPr>
        <w:t>②本表所列项目管理成员信息将作为主管部门监督管理是否属于</w:t>
      </w:r>
      <w:r>
        <w:rPr>
          <w:rFonts w:hint="eastAsia"/>
          <w:color w:val="auto"/>
          <w:sz w:val="24"/>
          <w:szCs w:val="24"/>
          <w:highlight w:val="none"/>
        </w:rPr>
        <w:t>串通投标</w:t>
      </w:r>
      <w:r>
        <w:rPr>
          <w:rFonts w:hint="eastAsia"/>
          <w:color w:val="auto"/>
          <w:sz w:val="24"/>
          <w:szCs w:val="24"/>
          <w:highlight w:val="none"/>
          <w:lang w:val="en-US" w:eastAsia="zh-CN"/>
        </w:rPr>
        <w:t>的情形。</w:t>
      </w:r>
    </w:p>
    <w:p>
      <w:pPr>
        <w:pStyle w:val="42"/>
        <w:bidi w:val="0"/>
        <w:rPr>
          <w:rFonts w:hint="eastAsia"/>
          <w:color w:val="auto"/>
          <w:highlight w:val="none"/>
        </w:rPr>
      </w:pPr>
    </w:p>
    <w:p>
      <w:pPr>
        <w:pStyle w:val="46"/>
        <w:bidi w:val="0"/>
        <w:rPr>
          <w:rFonts w:hint="eastAsia"/>
          <w:color w:val="auto"/>
          <w:highlight w:val="none"/>
        </w:rPr>
      </w:pPr>
      <w:r>
        <w:rPr>
          <w:rFonts w:hint="eastAsia"/>
          <w:color w:val="auto"/>
          <w:highlight w:val="none"/>
          <w:lang w:val="en-US" w:eastAsia="zh-CN"/>
        </w:rPr>
        <w:t>投标人</w:t>
      </w:r>
      <w:r>
        <w:rPr>
          <w:rFonts w:hint="eastAsia"/>
          <w:color w:val="auto"/>
          <w:highlight w:val="none"/>
        </w:rPr>
        <w:t>名称：</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color w:val="auto"/>
          <w:highlight w:val="none"/>
        </w:rPr>
        <w:t>(盖章)</w:t>
      </w:r>
    </w:p>
    <w:p>
      <w:pPr>
        <w:pStyle w:val="46"/>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46"/>
        <w:bidi w:val="0"/>
        <w:rPr>
          <w:rFonts w:hint="eastAsia"/>
          <w:color w:val="auto"/>
          <w:highlight w:val="none"/>
        </w:rPr>
      </w:pPr>
      <w:r>
        <w:rPr>
          <w:rFonts w:hint="eastAsia"/>
          <w:color w:val="auto"/>
          <w:highlight w:val="none"/>
          <w:lang w:val="en-US" w:eastAsia="zh-CN"/>
        </w:rPr>
        <w:t>投标</w:t>
      </w:r>
      <w:r>
        <w:rPr>
          <w:rFonts w:hint="eastAsia"/>
          <w:color w:val="auto"/>
          <w:highlight w:val="none"/>
        </w:rPr>
        <w:t>日期</w:t>
      </w:r>
      <w:r>
        <w:rPr>
          <w:rFonts w:hint="eastAsia"/>
          <w:color w:val="auto"/>
          <w:highlight w:val="none"/>
          <w:lang w:eastAsia="zh-CN"/>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w:t>
      </w:r>
    </w:p>
    <w:p>
      <w:pPr>
        <w:pStyle w:val="42"/>
        <w:bidi w:val="0"/>
        <w:rPr>
          <w:rFonts w:hint="eastAsia"/>
          <w:color w:val="auto"/>
          <w:highlight w:val="none"/>
          <w:lang w:val="en-US" w:eastAsia="zh-CN"/>
        </w:rPr>
      </w:pPr>
      <w:r>
        <w:rPr>
          <w:rFonts w:hint="eastAsia"/>
          <w:color w:val="auto"/>
          <w:highlight w:val="none"/>
          <w:lang w:val="en-US" w:eastAsia="zh-CN"/>
        </w:rPr>
        <w:br w:type="page"/>
      </w:r>
      <w:bookmarkEnd w:id="1011"/>
    </w:p>
    <w:p>
      <w:pPr>
        <w:pStyle w:val="44"/>
        <w:numPr>
          <w:ilvl w:val="0"/>
          <w:numId w:val="23"/>
        </w:numPr>
        <w:bidi w:val="0"/>
        <w:ind w:left="0" w:leftChars="0" w:firstLine="0" w:firstLineChars="0"/>
        <w:rPr>
          <w:rFonts w:hint="eastAsia"/>
          <w:color w:val="auto"/>
          <w:highlight w:val="none"/>
          <w:lang w:val="en-US" w:eastAsia="zh-CN"/>
        </w:rPr>
      </w:pPr>
      <w:bookmarkStart w:id="1012" w:name="_Toc22114"/>
      <w:bookmarkStart w:id="1013" w:name="_Toc10141"/>
      <w:bookmarkStart w:id="1014" w:name="_Toc2450"/>
      <w:bookmarkStart w:id="1015" w:name="_Toc122"/>
      <w:bookmarkStart w:id="1016" w:name="_Toc8563"/>
      <w:r>
        <w:rPr>
          <w:rFonts w:hint="eastAsia"/>
          <w:color w:val="auto"/>
          <w:highlight w:val="none"/>
        </w:rPr>
        <w:t>小微企业、监狱企业</w:t>
      </w:r>
      <w:r>
        <w:rPr>
          <w:rFonts w:hint="eastAsia"/>
          <w:color w:val="auto"/>
          <w:highlight w:val="none"/>
          <w:lang w:eastAsia="zh-CN"/>
        </w:rPr>
        <w:t>、</w:t>
      </w:r>
      <w:r>
        <w:rPr>
          <w:rFonts w:hint="eastAsia"/>
          <w:color w:val="auto"/>
          <w:highlight w:val="none"/>
          <w:lang w:val="en-US" w:eastAsia="zh-CN"/>
        </w:rPr>
        <w:t>残疾人福利性单位</w:t>
      </w:r>
      <w:r>
        <w:rPr>
          <w:rFonts w:hint="eastAsia"/>
          <w:color w:val="auto"/>
          <w:highlight w:val="none"/>
        </w:rPr>
        <w:t>价格扣除</w:t>
      </w:r>
      <w:bookmarkEnd w:id="1012"/>
      <w:bookmarkEnd w:id="1013"/>
    </w:p>
    <w:p>
      <w:pPr>
        <w:pStyle w:val="44"/>
        <w:keepNext w:val="0"/>
        <w:keepLines w:val="0"/>
        <w:pageBreakBefore w:val="0"/>
        <w:widowControl w:val="0"/>
        <w:numPr>
          <w:ilvl w:val="0"/>
          <w:numId w:val="0"/>
        </w:numPr>
        <w:kinsoku/>
        <w:wordWrap w:val="0"/>
        <w:overflowPunct/>
        <w:topLinePunct/>
        <w:autoSpaceDE/>
        <w:autoSpaceDN/>
        <w:bidi w:val="0"/>
        <w:adjustRightInd w:val="0"/>
        <w:snapToGrid w:val="0"/>
        <w:ind w:leftChars="0"/>
        <w:textAlignment w:val="auto"/>
        <w:outlineLvl w:val="3"/>
        <w:rPr>
          <w:rFonts w:hint="eastAsia"/>
          <w:color w:val="auto"/>
          <w:highlight w:val="none"/>
          <w:lang w:val="en-US" w:eastAsia="zh-CN"/>
        </w:rPr>
      </w:pPr>
      <w:bookmarkStart w:id="1017" w:name="_Toc15395"/>
      <w:bookmarkStart w:id="1018" w:name="_Toc27528"/>
      <w:r>
        <w:rPr>
          <w:rFonts w:hint="eastAsia"/>
          <w:color w:val="auto"/>
          <w:highlight w:val="none"/>
          <w:lang w:val="en-US" w:eastAsia="zh-CN"/>
        </w:rPr>
        <w:t>(一)中小企业声明函</w:t>
      </w:r>
      <w:bookmarkEnd w:id="1014"/>
      <w:r>
        <w:rPr>
          <w:rFonts w:hint="eastAsia"/>
          <w:color w:val="auto"/>
          <w:highlight w:val="none"/>
          <w:lang w:val="en-US" w:eastAsia="zh-CN"/>
        </w:rPr>
        <w:t>(货物</w:t>
      </w:r>
      <w:bookmarkEnd w:id="1015"/>
      <w:bookmarkEnd w:id="1016"/>
      <w:r>
        <w:rPr>
          <w:rFonts w:hint="eastAsia"/>
          <w:color w:val="auto"/>
          <w:highlight w:val="none"/>
          <w:lang w:val="en-US" w:eastAsia="zh-CN"/>
        </w:rPr>
        <w:t>)</w:t>
      </w:r>
      <w:bookmarkEnd w:id="1017"/>
      <w:bookmarkEnd w:id="1018"/>
    </w:p>
    <w:p>
      <w:pPr>
        <w:pStyle w:val="47"/>
        <w:keepNext w:val="0"/>
        <w:keepLines w:val="0"/>
        <w:pageBreakBefore w:val="0"/>
        <w:kinsoku/>
        <w:overflowPunct/>
        <w:autoSpaceDE/>
        <w:autoSpaceDN/>
        <w:bidi w:val="0"/>
        <w:adjustRightInd w:val="0"/>
        <w:snapToGrid w:val="0"/>
        <w:spacing w:line="440" w:lineRule="exact"/>
        <w:textAlignment w:val="auto"/>
        <w:rPr>
          <w:rFonts w:hint="eastAsia"/>
          <w:b w:val="0"/>
          <w:bCs/>
          <w:color w:val="auto"/>
          <w:highlight w:val="none"/>
        </w:rPr>
      </w:pPr>
      <w:bookmarkStart w:id="1019" w:name="_Toc8055"/>
      <w:bookmarkStart w:id="1020" w:name="_Toc413748654"/>
      <w:bookmarkStart w:id="1021" w:name="_Toc419811733"/>
      <w:bookmarkStart w:id="1022" w:name="_Toc417911732"/>
      <w:bookmarkStart w:id="1023" w:name="_Toc387658050"/>
      <w:bookmarkStart w:id="1024" w:name="_Toc387147344"/>
      <w:r>
        <w:rPr>
          <w:rFonts w:hint="eastAsia"/>
          <w:b w:val="0"/>
          <w:bCs/>
          <w:color w:val="auto"/>
          <w:highlight w:val="none"/>
          <w:lang w:eastAsia="zh-CN"/>
        </w:rPr>
        <w:t>本单位</w:t>
      </w:r>
      <w:r>
        <w:rPr>
          <w:rFonts w:hint="eastAsia"/>
          <w:b w:val="0"/>
          <w:bCs/>
          <w:color w:val="auto"/>
          <w:highlight w:val="none"/>
        </w:rPr>
        <w:t>郑重声明，</w:t>
      </w:r>
      <w:r>
        <w:rPr>
          <w:rFonts w:hint="eastAsia"/>
          <w:b w:val="0"/>
          <w:bCs/>
          <w:color w:val="auto"/>
          <w:highlight w:val="none"/>
          <w:lang w:val="en-US" w:eastAsia="zh-CN"/>
        </w:rPr>
        <w:t>参照</w:t>
      </w:r>
      <w:r>
        <w:rPr>
          <w:rFonts w:hint="eastAsia"/>
          <w:b w:val="0"/>
          <w:bCs/>
          <w:color w:val="auto"/>
          <w:highlight w:val="none"/>
        </w:rPr>
        <w:t>《政府采购促进中小企业发展管理办法》</w:t>
      </w:r>
      <w:r>
        <w:rPr>
          <w:rFonts w:hint="eastAsia"/>
          <w:b w:val="0"/>
          <w:bCs/>
          <w:color w:val="auto"/>
          <w:highlight w:val="none"/>
          <w:lang w:eastAsia="zh-CN"/>
        </w:rPr>
        <w:t>(</w:t>
      </w:r>
      <w:r>
        <w:rPr>
          <w:rFonts w:hint="eastAsia"/>
          <w:b w:val="0"/>
          <w:bCs/>
          <w:color w:val="auto"/>
          <w:highlight w:val="none"/>
        </w:rPr>
        <w:t>财库〔2020〕46号</w:t>
      </w:r>
      <w:r>
        <w:rPr>
          <w:rFonts w:hint="eastAsia"/>
          <w:b w:val="0"/>
          <w:bCs/>
          <w:color w:val="auto"/>
          <w:highlight w:val="none"/>
          <w:lang w:eastAsia="zh-CN"/>
        </w:rPr>
        <w:t>)</w:t>
      </w:r>
      <w:r>
        <w:rPr>
          <w:rFonts w:hint="eastAsia"/>
          <w:b w:val="0"/>
          <w:bCs/>
          <w:color w:val="auto"/>
          <w:highlight w:val="none"/>
        </w:rPr>
        <w:t>的规定，</w:t>
      </w:r>
      <w:r>
        <w:rPr>
          <w:rFonts w:hint="eastAsia"/>
          <w:b w:val="0"/>
          <w:bCs/>
          <w:color w:val="auto"/>
          <w:highlight w:val="none"/>
          <w:lang w:eastAsia="zh-CN"/>
        </w:rPr>
        <w:t>本单位</w:t>
      </w:r>
      <w:r>
        <w:rPr>
          <w:rFonts w:hint="eastAsia"/>
          <w:b w:val="0"/>
          <w:bCs/>
          <w:color w:val="auto"/>
          <w:highlight w:val="none"/>
        </w:rPr>
        <w:t>参加</w:t>
      </w:r>
      <w:r>
        <w:rPr>
          <w:rFonts w:hint="eastAsia"/>
          <w:b w:val="0"/>
          <w:bCs/>
          <w:color w:val="auto"/>
          <w:highlight w:val="none"/>
          <w:u w:val="single"/>
          <w:lang w:eastAsia="zh-CN"/>
        </w:rPr>
        <w:t>(</w:t>
      </w:r>
      <w:r>
        <w:rPr>
          <w:rFonts w:hint="eastAsia"/>
          <w:b w:val="0"/>
          <w:bCs/>
          <w:color w:val="auto"/>
          <w:highlight w:val="none"/>
          <w:u w:val="single"/>
        </w:rPr>
        <w:t>单位名称</w:t>
      </w:r>
      <w:r>
        <w:rPr>
          <w:rFonts w:hint="eastAsia"/>
          <w:b w:val="0"/>
          <w:bCs/>
          <w:color w:val="auto"/>
          <w:highlight w:val="none"/>
          <w:u w:val="single"/>
          <w:lang w:eastAsia="zh-CN"/>
        </w:rPr>
        <w:t>)</w:t>
      </w:r>
      <w:r>
        <w:rPr>
          <w:rFonts w:hint="eastAsia"/>
          <w:b w:val="0"/>
          <w:bCs/>
          <w:color w:val="auto"/>
          <w:highlight w:val="none"/>
        </w:rPr>
        <w:t>的</w:t>
      </w:r>
      <w:r>
        <w:rPr>
          <w:rFonts w:hint="eastAsia"/>
          <w:b w:val="0"/>
          <w:bCs/>
          <w:color w:val="auto"/>
          <w:highlight w:val="none"/>
          <w:u w:val="single"/>
          <w:lang w:eastAsia="zh-CN"/>
        </w:rPr>
        <w:t>(</w:t>
      </w:r>
      <w:r>
        <w:rPr>
          <w:rFonts w:hint="eastAsia"/>
          <w:b w:val="0"/>
          <w:bCs/>
          <w:color w:val="auto"/>
          <w:highlight w:val="none"/>
          <w:u w:val="single"/>
        </w:rPr>
        <w:t>项目名称</w:t>
      </w:r>
      <w:r>
        <w:rPr>
          <w:rFonts w:hint="eastAsia"/>
          <w:b w:val="0"/>
          <w:bCs/>
          <w:color w:val="auto"/>
          <w:highlight w:val="none"/>
          <w:u w:val="single"/>
          <w:lang w:eastAsia="zh-CN"/>
        </w:rPr>
        <w:t>)</w:t>
      </w:r>
      <w:r>
        <w:rPr>
          <w:rFonts w:hint="eastAsia"/>
          <w:b w:val="0"/>
          <w:bCs/>
          <w:color w:val="auto"/>
          <w:highlight w:val="none"/>
        </w:rPr>
        <w:t>采购活动，提供的货物全部由符合政策要求的中小企业制造。相关企业的具体情况如下：</w:t>
      </w:r>
    </w:p>
    <w:p>
      <w:pPr>
        <w:pStyle w:val="47"/>
        <w:keepNext w:val="0"/>
        <w:keepLines w:val="0"/>
        <w:pageBreakBefore w:val="0"/>
        <w:kinsoku/>
        <w:overflowPunct/>
        <w:autoSpaceDE/>
        <w:autoSpaceDN/>
        <w:bidi w:val="0"/>
        <w:adjustRightInd w:val="0"/>
        <w:snapToGrid w:val="0"/>
        <w:spacing w:line="440" w:lineRule="exact"/>
        <w:textAlignment w:val="auto"/>
        <w:rPr>
          <w:rFonts w:hint="eastAsia"/>
          <w:b w:val="0"/>
          <w:bCs/>
          <w:color w:val="auto"/>
          <w:highlight w:val="none"/>
        </w:rPr>
      </w:pPr>
      <w:r>
        <w:rPr>
          <w:rFonts w:hint="eastAsia"/>
          <w:b w:val="0"/>
          <w:bCs/>
          <w:color w:val="auto"/>
          <w:highlight w:val="none"/>
        </w:rPr>
        <w:t xml:space="preserve"> </w:t>
      </w:r>
      <w:r>
        <w:rPr>
          <w:rFonts w:hint="eastAsia"/>
          <w:b w:val="0"/>
          <w:bCs/>
          <w:color w:val="auto"/>
          <w:highlight w:val="none"/>
          <w:u w:val="single"/>
          <w:lang w:eastAsia="zh-CN"/>
        </w:rPr>
        <w:t>(</w:t>
      </w:r>
      <w:r>
        <w:rPr>
          <w:rFonts w:hint="eastAsia"/>
          <w:b w:val="0"/>
          <w:bCs/>
          <w:color w:val="auto"/>
          <w:highlight w:val="none"/>
          <w:u w:val="single"/>
        </w:rPr>
        <w:t>标的名称</w:t>
      </w:r>
      <w:r>
        <w:rPr>
          <w:rFonts w:hint="eastAsia"/>
          <w:b w:val="0"/>
          <w:bCs/>
          <w:color w:val="auto"/>
          <w:highlight w:val="none"/>
          <w:u w:val="single"/>
          <w:lang w:eastAsia="zh-CN"/>
        </w:rPr>
        <w:t>)</w:t>
      </w:r>
      <w:r>
        <w:rPr>
          <w:rFonts w:hint="eastAsia"/>
          <w:b w:val="0"/>
          <w:bCs/>
          <w:color w:val="auto"/>
          <w:highlight w:val="none"/>
        </w:rPr>
        <w:t>，属于</w:t>
      </w:r>
      <w:r>
        <w:rPr>
          <w:rFonts w:hint="eastAsia"/>
          <w:b w:val="0"/>
          <w:bCs/>
          <w:color w:val="auto"/>
          <w:highlight w:val="none"/>
          <w:u w:val="single"/>
          <w:lang w:eastAsia="zh-CN"/>
        </w:rPr>
        <w:t>(</w:t>
      </w:r>
      <w:r>
        <w:rPr>
          <w:rFonts w:hint="eastAsia"/>
          <w:b w:val="0"/>
          <w:bCs/>
          <w:color w:val="auto"/>
          <w:highlight w:val="none"/>
          <w:u w:val="single"/>
        </w:rPr>
        <w:t>采购文件中明确的所属行业</w:t>
      </w:r>
      <w:r>
        <w:rPr>
          <w:rFonts w:hint="eastAsia"/>
          <w:b w:val="0"/>
          <w:bCs/>
          <w:color w:val="auto"/>
          <w:highlight w:val="none"/>
          <w:u w:val="single"/>
          <w:lang w:eastAsia="zh-CN"/>
        </w:rPr>
        <w:t>)</w:t>
      </w:r>
      <w:r>
        <w:rPr>
          <w:rFonts w:hint="eastAsia"/>
          <w:b w:val="0"/>
          <w:bCs/>
          <w:color w:val="auto"/>
          <w:highlight w:val="none"/>
        </w:rPr>
        <w:t>行业；制造商为</w:t>
      </w:r>
      <w:r>
        <w:rPr>
          <w:rFonts w:hint="eastAsia"/>
          <w:b w:val="0"/>
          <w:bCs/>
          <w:color w:val="auto"/>
          <w:highlight w:val="none"/>
          <w:u w:val="single"/>
          <w:lang w:eastAsia="zh-CN"/>
        </w:rPr>
        <w:t>(</w:t>
      </w:r>
      <w:r>
        <w:rPr>
          <w:rFonts w:hint="eastAsia"/>
          <w:b w:val="0"/>
          <w:bCs/>
          <w:color w:val="auto"/>
          <w:highlight w:val="none"/>
          <w:u w:val="single"/>
        </w:rPr>
        <w:t>企业名称</w:t>
      </w:r>
      <w:r>
        <w:rPr>
          <w:rFonts w:hint="eastAsia"/>
          <w:b w:val="0"/>
          <w:bCs/>
          <w:color w:val="auto"/>
          <w:highlight w:val="none"/>
          <w:u w:val="single"/>
          <w:lang w:eastAsia="zh-CN"/>
        </w:rPr>
        <w:t>)</w:t>
      </w:r>
      <w:r>
        <w:rPr>
          <w:rFonts w:hint="eastAsia"/>
          <w:b w:val="0"/>
          <w:bCs/>
          <w:color w:val="auto"/>
          <w:highlight w:val="none"/>
        </w:rPr>
        <w:t>，从业人员</w:t>
      </w:r>
      <w:r>
        <w:rPr>
          <w:rFonts w:hint="eastAsia"/>
          <w:b w:val="0"/>
          <w:bCs/>
          <w:color w:val="auto"/>
          <w:highlight w:val="none"/>
          <w:u w:val="single"/>
          <w:lang w:val="en-US" w:eastAsia="zh-CN"/>
        </w:rPr>
        <w:t xml:space="preserve">   </w:t>
      </w:r>
      <w:r>
        <w:rPr>
          <w:rFonts w:hint="eastAsia"/>
          <w:b w:val="0"/>
          <w:bCs/>
          <w:color w:val="auto"/>
          <w:highlight w:val="none"/>
        </w:rPr>
        <w:t>人，营业收入为</w:t>
      </w:r>
      <w:r>
        <w:rPr>
          <w:rFonts w:hint="eastAsia"/>
          <w:b w:val="0"/>
          <w:bCs/>
          <w:color w:val="auto"/>
          <w:highlight w:val="none"/>
          <w:u w:val="single"/>
          <w:lang w:val="en-US" w:eastAsia="zh-CN"/>
        </w:rPr>
        <w:t xml:space="preserve">   </w:t>
      </w:r>
      <w:r>
        <w:rPr>
          <w:rFonts w:hint="eastAsia"/>
          <w:b w:val="0"/>
          <w:bCs/>
          <w:color w:val="auto"/>
          <w:highlight w:val="none"/>
        </w:rPr>
        <w:tab/>
      </w:r>
      <w:r>
        <w:rPr>
          <w:rFonts w:hint="eastAsia"/>
          <w:b w:val="0"/>
          <w:bCs/>
          <w:color w:val="auto"/>
          <w:highlight w:val="none"/>
        </w:rPr>
        <w:t>万元，资产总额为</w:t>
      </w:r>
      <w:r>
        <w:rPr>
          <w:rFonts w:hint="eastAsia"/>
          <w:b w:val="0"/>
          <w:bCs/>
          <w:color w:val="auto"/>
          <w:highlight w:val="none"/>
          <w:u w:val="single"/>
          <w:lang w:val="en-US" w:eastAsia="zh-CN"/>
        </w:rPr>
        <w:t xml:space="preserve">   </w:t>
      </w:r>
      <w:r>
        <w:rPr>
          <w:rFonts w:hint="eastAsia"/>
          <w:b w:val="0"/>
          <w:bCs/>
          <w:color w:val="auto"/>
          <w:highlight w:val="none"/>
        </w:rPr>
        <w:tab/>
      </w:r>
      <w:r>
        <w:rPr>
          <w:rFonts w:hint="eastAsia"/>
          <w:b w:val="0"/>
          <w:bCs/>
          <w:color w:val="auto"/>
          <w:highlight w:val="none"/>
        </w:rPr>
        <w:t>万元，属于</w:t>
      </w:r>
      <w:r>
        <w:rPr>
          <w:rFonts w:hint="eastAsia"/>
          <w:b w:val="0"/>
          <w:bCs/>
          <w:color w:val="auto"/>
          <w:highlight w:val="none"/>
          <w:u w:val="single"/>
          <w:lang w:eastAsia="zh-CN"/>
        </w:rPr>
        <w:t>(</w:t>
      </w:r>
      <w:r>
        <w:rPr>
          <w:rFonts w:hint="eastAsia"/>
          <w:b w:val="0"/>
          <w:bCs/>
          <w:color w:val="auto"/>
          <w:highlight w:val="none"/>
          <w:u w:val="single"/>
        </w:rPr>
        <w:t>中型企业、小型企业、微型企业</w:t>
      </w:r>
      <w:r>
        <w:rPr>
          <w:rFonts w:hint="eastAsia"/>
          <w:b w:val="0"/>
          <w:bCs/>
          <w:color w:val="auto"/>
          <w:highlight w:val="none"/>
          <w:u w:val="single"/>
          <w:lang w:eastAsia="zh-CN"/>
        </w:rPr>
        <w:t>)</w:t>
      </w:r>
      <w:r>
        <w:rPr>
          <w:rFonts w:hint="eastAsia"/>
          <w:b w:val="0"/>
          <w:bCs/>
          <w:color w:val="auto"/>
          <w:highlight w:val="none"/>
        </w:rPr>
        <w:t>；</w:t>
      </w:r>
    </w:p>
    <w:p>
      <w:pPr>
        <w:pStyle w:val="47"/>
        <w:keepNext w:val="0"/>
        <w:keepLines w:val="0"/>
        <w:pageBreakBefore w:val="0"/>
        <w:kinsoku/>
        <w:overflowPunct/>
        <w:autoSpaceDE/>
        <w:autoSpaceDN/>
        <w:bidi w:val="0"/>
        <w:adjustRightInd w:val="0"/>
        <w:snapToGrid w:val="0"/>
        <w:spacing w:line="440" w:lineRule="exact"/>
        <w:textAlignment w:val="auto"/>
        <w:rPr>
          <w:rFonts w:hint="eastAsia"/>
          <w:b w:val="0"/>
          <w:bCs/>
          <w:color w:val="auto"/>
          <w:highlight w:val="none"/>
        </w:rPr>
      </w:pPr>
      <w:r>
        <w:rPr>
          <w:rFonts w:hint="eastAsia"/>
          <w:b w:val="0"/>
          <w:bCs/>
          <w:color w:val="auto"/>
          <w:highlight w:val="none"/>
        </w:rPr>
        <w:t xml:space="preserve"> </w:t>
      </w:r>
      <w:r>
        <w:rPr>
          <w:rFonts w:hint="eastAsia"/>
          <w:b w:val="0"/>
          <w:bCs/>
          <w:color w:val="auto"/>
          <w:highlight w:val="none"/>
          <w:u w:val="single"/>
          <w:lang w:eastAsia="zh-CN"/>
        </w:rPr>
        <w:t>(</w:t>
      </w:r>
      <w:r>
        <w:rPr>
          <w:rFonts w:hint="eastAsia"/>
          <w:b w:val="0"/>
          <w:bCs/>
          <w:color w:val="auto"/>
          <w:highlight w:val="none"/>
          <w:u w:val="single"/>
        </w:rPr>
        <w:t>标的名称</w:t>
      </w:r>
      <w:r>
        <w:rPr>
          <w:rFonts w:hint="eastAsia"/>
          <w:b w:val="0"/>
          <w:bCs/>
          <w:color w:val="auto"/>
          <w:highlight w:val="none"/>
          <w:u w:val="single"/>
          <w:lang w:eastAsia="zh-CN"/>
        </w:rPr>
        <w:t>)</w:t>
      </w:r>
      <w:r>
        <w:rPr>
          <w:rFonts w:hint="eastAsia"/>
          <w:b w:val="0"/>
          <w:bCs/>
          <w:color w:val="auto"/>
          <w:highlight w:val="none"/>
        </w:rPr>
        <w:t>， 属于</w:t>
      </w:r>
      <w:r>
        <w:rPr>
          <w:rFonts w:hint="eastAsia"/>
          <w:b w:val="0"/>
          <w:bCs/>
          <w:color w:val="auto"/>
          <w:highlight w:val="none"/>
          <w:u w:val="single"/>
          <w:lang w:eastAsia="zh-CN"/>
        </w:rPr>
        <w:t>(</w:t>
      </w:r>
      <w:r>
        <w:rPr>
          <w:rFonts w:hint="eastAsia"/>
          <w:b w:val="0"/>
          <w:bCs/>
          <w:color w:val="auto"/>
          <w:highlight w:val="none"/>
          <w:u w:val="single"/>
        </w:rPr>
        <w:t>采购文件中明确的所属行业</w:t>
      </w:r>
      <w:r>
        <w:rPr>
          <w:rFonts w:hint="eastAsia"/>
          <w:b w:val="0"/>
          <w:bCs/>
          <w:color w:val="auto"/>
          <w:highlight w:val="none"/>
          <w:u w:val="single"/>
          <w:lang w:eastAsia="zh-CN"/>
        </w:rPr>
        <w:t>)</w:t>
      </w:r>
      <w:r>
        <w:rPr>
          <w:rFonts w:hint="eastAsia"/>
          <w:b w:val="0"/>
          <w:bCs/>
          <w:color w:val="auto"/>
          <w:highlight w:val="none"/>
        </w:rPr>
        <w:t>行业；制造商为</w:t>
      </w:r>
      <w:r>
        <w:rPr>
          <w:rFonts w:hint="eastAsia"/>
          <w:b w:val="0"/>
          <w:bCs/>
          <w:color w:val="auto"/>
          <w:highlight w:val="none"/>
          <w:u w:val="single"/>
          <w:lang w:eastAsia="zh-CN"/>
        </w:rPr>
        <w:t>(</w:t>
      </w:r>
      <w:r>
        <w:rPr>
          <w:rFonts w:hint="eastAsia"/>
          <w:b w:val="0"/>
          <w:bCs/>
          <w:color w:val="auto"/>
          <w:highlight w:val="none"/>
          <w:u w:val="single"/>
        </w:rPr>
        <w:t>企业名称</w:t>
      </w:r>
      <w:r>
        <w:rPr>
          <w:rFonts w:hint="eastAsia"/>
          <w:b w:val="0"/>
          <w:bCs/>
          <w:color w:val="auto"/>
          <w:highlight w:val="none"/>
          <w:u w:val="single"/>
          <w:lang w:eastAsia="zh-CN"/>
        </w:rPr>
        <w:t>)</w:t>
      </w:r>
      <w:r>
        <w:rPr>
          <w:rFonts w:hint="eastAsia"/>
          <w:b w:val="0"/>
          <w:bCs/>
          <w:color w:val="auto"/>
          <w:highlight w:val="none"/>
        </w:rPr>
        <w:t>，从业人员</w:t>
      </w:r>
      <w:r>
        <w:rPr>
          <w:rFonts w:hint="eastAsia"/>
          <w:b w:val="0"/>
          <w:bCs/>
          <w:color w:val="auto"/>
          <w:highlight w:val="none"/>
        </w:rPr>
        <w:tab/>
      </w:r>
      <w:r>
        <w:rPr>
          <w:rFonts w:hint="eastAsia"/>
          <w:b w:val="0"/>
          <w:bCs/>
          <w:color w:val="auto"/>
          <w:highlight w:val="none"/>
          <w:u w:val="single"/>
          <w:lang w:val="en-US" w:eastAsia="zh-CN"/>
        </w:rPr>
        <w:t xml:space="preserve">   </w:t>
      </w:r>
      <w:r>
        <w:rPr>
          <w:rFonts w:hint="eastAsia"/>
          <w:b w:val="0"/>
          <w:bCs/>
          <w:color w:val="auto"/>
          <w:highlight w:val="none"/>
        </w:rPr>
        <w:t>人，营业收入为</w:t>
      </w:r>
      <w:r>
        <w:rPr>
          <w:rFonts w:hint="eastAsia"/>
          <w:b w:val="0"/>
          <w:bCs/>
          <w:color w:val="auto"/>
          <w:highlight w:val="none"/>
        </w:rPr>
        <w:tab/>
      </w:r>
      <w:r>
        <w:rPr>
          <w:rFonts w:hint="eastAsia"/>
          <w:b w:val="0"/>
          <w:bCs/>
          <w:color w:val="auto"/>
          <w:highlight w:val="none"/>
          <w:u w:val="single"/>
          <w:lang w:val="en-US" w:eastAsia="zh-CN"/>
        </w:rPr>
        <w:t xml:space="preserve">   </w:t>
      </w:r>
      <w:r>
        <w:rPr>
          <w:rFonts w:hint="eastAsia"/>
          <w:b w:val="0"/>
          <w:bCs/>
          <w:color w:val="auto"/>
          <w:highlight w:val="none"/>
        </w:rPr>
        <w:t>万元，资产总额为</w:t>
      </w:r>
      <w:r>
        <w:rPr>
          <w:rFonts w:hint="eastAsia"/>
          <w:b w:val="0"/>
          <w:bCs/>
          <w:color w:val="auto"/>
          <w:highlight w:val="none"/>
          <w:u w:val="single"/>
          <w:lang w:val="en-US" w:eastAsia="zh-CN"/>
        </w:rPr>
        <w:t xml:space="preserve">   </w:t>
      </w:r>
      <w:r>
        <w:rPr>
          <w:rFonts w:hint="eastAsia"/>
          <w:b w:val="0"/>
          <w:bCs/>
          <w:color w:val="auto"/>
          <w:highlight w:val="none"/>
        </w:rPr>
        <w:tab/>
      </w:r>
      <w:r>
        <w:rPr>
          <w:rFonts w:hint="eastAsia"/>
          <w:b w:val="0"/>
          <w:bCs/>
          <w:color w:val="auto"/>
          <w:highlight w:val="none"/>
        </w:rPr>
        <w:t>万元，属于</w:t>
      </w:r>
      <w:r>
        <w:rPr>
          <w:rFonts w:hint="eastAsia"/>
          <w:b w:val="0"/>
          <w:bCs/>
          <w:color w:val="auto"/>
          <w:highlight w:val="none"/>
          <w:u w:val="single"/>
          <w:lang w:eastAsia="zh-CN"/>
        </w:rPr>
        <w:t>(</w:t>
      </w:r>
      <w:r>
        <w:rPr>
          <w:rFonts w:hint="eastAsia"/>
          <w:b w:val="0"/>
          <w:bCs/>
          <w:color w:val="auto"/>
          <w:highlight w:val="none"/>
          <w:u w:val="single"/>
        </w:rPr>
        <w:t>中型企业、小型企业、微型企业</w:t>
      </w:r>
      <w:r>
        <w:rPr>
          <w:rFonts w:hint="eastAsia"/>
          <w:b w:val="0"/>
          <w:bCs/>
          <w:color w:val="auto"/>
          <w:highlight w:val="none"/>
          <w:u w:val="single"/>
          <w:lang w:eastAsia="zh-CN"/>
        </w:rPr>
        <w:t>)</w:t>
      </w:r>
      <w:r>
        <w:rPr>
          <w:rFonts w:hint="eastAsia"/>
          <w:b w:val="0"/>
          <w:bCs/>
          <w:color w:val="auto"/>
          <w:highlight w:val="none"/>
        </w:rPr>
        <w:t>；</w:t>
      </w:r>
    </w:p>
    <w:p>
      <w:pPr>
        <w:pStyle w:val="47"/>
        <w:keepNext w:val="0"/>
        <w:keepLines w:val="0"/>
        <w:pageBreakBefore w:val="0"/>
        <w:kinsoku/>
        <w:overflowPunct/>
        <w:autoSpaceDE/>
        <w:autoSpaceDN/>
        <w:bidi w:val="0"/>
        <w:adjustRightInd w:val="0"/>
        <w:snapToGrid w:val="0"/>
        <w:spacing w:line="440" w:lineRule="exact"/>
        <w:textAlignment w:val="auto"/>
        <w:rPr>
          <w:rFonts w:hint="eastAsia"/>
          <w:b w:val="0"/>
          <w:bCs/>
          <w:color w:val="auto"/>
          <w:highlight w:val="none"/>
        </w:rPr>
      </w:pPr>
      <w:r>
        <w:rPr>
          <w:rFonts w:hint="eastAsia"/>
          <w:b w:val="0"/>
          <w:bCs/>
          <w:color w:val="auto"/>
          <w:highlight w:val="none"/>
        </w:rPr>
        <w:t>……</w:t>
      </w:r>
    </w:p>
    <w:p>
      <w:pPr>
        <w:pStyle w:val="47"/>
        <w:keepNext w:val="0"/>
        <w:keepLines w:val="0"/>
        <w:pageBreakBefore w:val="0"/>
        <w:kinsoku/>
        <w:overflowPunct/>
        <w:autoSpaceDE/>
        <w:autoSpaceDN/>
        <w:bidi w:val="0"/>
        <w:adjustRightInd w:val="0"/>
        <w:snapToGrid w:val="0"/>
        <w:spacing w:line="440" w:lineRule="exact"/>
        <w:textAlignment w:val="auto"/>
        <w:rPr>
          <w:rFonts w:hint="eastAsia"/>
          <w:b w:val="0"/>
          <w:bCs/>
          <w:color w:val="auto"/>
          <w:highlight w:val="none"/>
        </w:rPr>
      </w:pPr>
      <w:r>
        <w:rPr>
          <w:rFonts w:hint="eastAsia"/>
          <w:b w:val="0"/>
          <w:bCs/>
          <w:color w:val="auto"/>
          <w:highlight w:val="none"/>
        </w:rPr>
        <w:t>以上企业，不属于大企业的分支机构，不存在控股股东为大企业的情形，也不存在与大企业的负责人为同一人的情形。</w:t>
      </w:r>
    </w:p>
    <w:p>
      <w:pPr>
        <w:pStyle w:val="47"/>
        <w:keepNext w:val="0"/>
        <w:keepLines w:val="0"/>
        <w:pageBreakBefore w:val="0"/>
        <w:kinsoku/>
        <w:overflowPunct/>
        <w:autoSpaceDE/>
        <w:autoSpaceDN/>
        <w:bidi w:val="0"/>
        <w:adjustRightInd w:val="0"/>
        <w:snapToGrid w:val="0"/>
        <w:spacing w:line="440" w:lineRule="exact"/>
        <w:textAlignment w:val="auto"/>
        <w:rPr>
          <w:rFonts w:hint="eastAsia"/>
          <w:b w:val="0"/>
          <w:bCs/>
          <w:color w:val="auto"/>
          <w:highlight w:val="none"/>
        </w:rPr>
      </w:pPr>
      <w:r>
        <w:rPr>
          <w:rFonts w:hint="eastAsia"/>
          <w:b w:val="0"/>
          <w:bCs/>
          <w:color w:val="auto"/>
          <w:highlight w:val="none"/>
        </w:rPr>
        <w:t>本企业对上述声明内容的真实性负责。如有虚假，将依法承担相应责任。</w:t>
      </w:r>
    </w:p>
    <w:p>
      <w:pPr>
        <w:pStyle w:val="42"/>
        <w:bidi w:val="0"/>
        <w:rPr>
          <w:rFonts w:hint="eastAsia"/>
          <w:color w:val="auto"/>
          <w:highlight w:val="none"/>
        </w:rPr>
      </w:pPr>
    </w:p>
    <w:p>
      <w:pPr>
        <w:pStyle w:val="42"/>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color w:val="auto"/>
          <w:highlight w:val="none"/>
        </w:rPr>
      </w:pPr>
      <w:r>
        <w:rPr>
          <w:rFonts w:hint="eastAsia"/>
          <w:color w:val="auto"/>
          <w:highlight w:val="none"/>
        </w:rPr>
        <w:t>企业名称(盖章)：</w:t>
      </w:r>
      <w:r>
        <w:rPr>
          <w:rFonts w:hint="eastAsia"/>
          <w:color w:val="auto"/>
          <w:highlight w:val="none"/>
          <w:u w:val="single"/>
          <w:lang w:val="en-US" w:eastAsia="zh-CN"/>
        </w:rPr>
        <w:t xml:space="preserve">        </w:t>
      </w:r>
    </w:p>
    <w:p>
      <w:pPr>
        <w:pStyle w:val="42"/>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color w:val="auto"/>
          <w:highlight w:val="none"/>
          <w:lang w:val="en-US" w:eastAsia="zh-CN"/>
        </w:rPr>
      </w:pPr>
      <w:r>
        <w:rPr>
          <w:rFonts w:hint="eastAsia"/>
          <w:color w:val="auto"/>
          <w:highlight w:val="none"/>
        </w:rPr>
        <w:t>日期：</w:t>
      </w:r>
      <w:r>
        <w:rPr>
          <w:rFonts w:hint="eastAsia"/>
          <w:color w:val="auto"/>
          <w:highlight w:val="none"/>
          <w:u w:val="single"/>
          <w:lang w:val="en-US" w:eastAsia="zh-CN"/>
        </w:rPr>
        <w:t xml:space="preserve">        </w:t>
      </w:r>
      <w:r>
        <w:rPr>
          <w:rFonts w:hint="eastAsia"/>
          <w:color w:val="auto"/>
          <w:highlight w:val="none"/>
          <w:lang w:val="en-US" w:eastAsia="zh-CN"/>
        </w:rPr>
        <w:t xml:space="preserve">           </w:t>
      </w:r>
      <w:r>
        <w:rPr>
          <w:rFonts w:hint="eastAsia"/>
          <w:color w:val="auto"/>
          <w:highlight w:val="none"/>
        </w:rPr>
        <w:t>　</w:t>
      </w:r>
    </w:p>
    <w:p>
      <w:pPr>
        <w:pStyle w:val="47"/>
        <w:keepNext w:val="0"/>
        <w:keepLines w:val="0"/>
        <w:pageBreakBefore w:val="0"/>
        <w:kinsoku/>
        <w:overflowPunct/>
        <w:autoSpaceDE/>
        <w:autoSpaceDN/>
        <w:bidi w:val="0"/>
        <w:adjustRightInd w:val="0"/>
        <w:snapToGrid w:val="0"/>
        <w:spacing w:line="440" w:lineRule="exact"/>
        <w:textAlignment w:val="auto"/>
        <w:rPr>
          <w:rFonts w:hint="eastAsia"/>
          <w:color w:val="auto"/>
          <w:highlight w:val="none"/>
        </w:rPr>
      </w:pPr>
    </w:p>
    <w:p>
      <w:pPr>
        <w:pStyle w:val="47"/>
        <w:keepNext w:val="0"/>
        <w:keepLines w:val="0"/>
        <w:pageBreakBefore w:val="0"/>
        <w:kinsoku/>
        <w:overflowPunct/>
        <w:autoSpaceDE/>
        <w:autoSpaceDN/>
        <w:bidi w:val="0"/>
        <w:adjustRightInd w:val="0"/>
        <w:snapToGrid w:val="0"/>
        <w:spacing w:line="440" w:lineRule="exact"/>
        <w:textAlignment w:val="auto"/>
        <w:rPr>
          <w:rFonts w:hint="eastAsia"/>
          <w:color w:val="auto"/>
          <w:highlight w:val="none"/>
          <w:lang w:val="en-US" w:eastAsia="zh-CN"/>
        </w:rPr>
      </w:pPr>
      <w:r>
        <w:rPr>
          <w:rFonts w:hint="eastAsia"/>
          <w:color w:val="auto"/>
          <w:highlight w:val="none"/>
          <w:lang w:val="en-US" w:eastAsia="zh-CN"/>
        </w:rPr>
        <w:t>注：</w:t>
      </w:r>
      <w:r>
        <w:rPr>
          <w:rFonts w:hint="eastAsia"/>
          <w:color w:val="auto"/>
          <w:highlight w:val="none"/>
        </w:rPr>
        <w:t>从业人员、营业收入、资产总额填报上一年度数据，无上一年度数据的新成立企业可不填报。</w:t>
      </w:r>
      <w:r>
        <w:rPr>
          <w:rFonts w:hint="eastAsia"/>
          <w:color w:val="auto"/>
          <w:highlight w:val="none"/>
          <w:lang w:val="en-US" w:eastAsia="zh-CN"/>
        </w:rPr>
        <w:br w:type="page"/>
      </w:r>
    </w:p>
    <w:p>
      <w:pPr>
        <w:pStyle w:val="44"/>
        <w:keepNext w:val="0"/>
        <w:keepLines w:val="0"/>
        <w:pageBreakBefore/>
        <w:widowControl w:val="0"/>
        <w:numPr>
          <w:ilvl w:val="0"/>
          <w:numId w:val="0"/>
        </w:numPr>
        <w:kinsoku/>
        <w:wordWrap w:val="0"/>
        <w:overflowPunct/>
        <w:topLinePunct/>
        <w:autoSpaceDE/>
        <w:autoSpaceDN/>
        <w:bidi w:val="0"/>
        <w:adjustRightInd w:val="0"/>
        <w:snapToGrid w:val="0"/>
        <w:ind w:leftChars="0"/>
        <w:textAlignment w:val="auto"/>
        <w:outlineLvl w:val="3"/>
        <w:rPr>
          <w:rFonts w:hint="eastAsia"/>
          <w:color w:val="auto"/>
          <w:highlight w:val="none"/>
          <w:lang w:val="en-US" w:eastAsia="zh-CN"/>
        </w:rPr>
      </w:pPr>
      <w:bookmarkStart w:id="1025" w:name="_Toc11278"/>
      <w:bookmarkStart w:id="1026" w:name="_Toc26771"/>
      <w:bookmarkStart w:id="1027" w:name="_Toc30256"/>
      <w:bookmarkStart w:id="1028" w:name="_Toc18229"/>
      <w:bookmarkStart w:id="1029" w:name="_Toc30138"/>
      <w:r>
        <w:rPr>
          <w:rFonts w:hint="eastAsia"/>
          <w:color w:val="auto"/>
          <w:highlight w:val="none"/>
          <w:lang w:val="en-US" w:eastAsia="zh-CN"/>
        </w:rPr>
        <w:t>(二)监狱企业相关证明材料</w:t>
      </w:r>
      <w:bookmarkEnd w:id="1019"/>
      <w:r>
        <w:rPr>
          <w:rFonts w:hint="eastAsia"/>
          <w:color w:val="auto"/>
          <w:highlight w:val="none"/>
          <w:lang w:val="en-US" w:eastAsia="zh-CN"/>
        </w:rPr>
        <w:t>(如涉及</w:t>
      </w:r>
      <w:bookmarkEnd w:id="1025"/>
      <w:r>
        <w:rPr>
          <w:rFonts w:hint="eastAsia"/>
          <w:color w:val="auto"/>
          <w:highlight w:val="none"/>
          <w:lang w:val="en-US" w:eastAsia="zh-CN"/>
        </w:rPr>
        <w:t>)</w:t>
      </w:r>
      <w:bookmarkEnd w:id="1026"/>
      <w:bookmarkEnd w:id="1027"/>
      <w:r>
        <w:rPr>
          <w:rFonts w:hint="eastAsia"/>
          <w:color w:val="auto"/>
          <w:highlight w:val="none"/>
          <w:lang w:val="en-US" w:eastAsia="zh-CN"/>
        </w:rPr>
        <w:t>非专门面向中小企业时适用</w:t>
      </w:r>
      <w:bookmarkEnd w:id="1028"/>
      <w:bookmarkEnd w:id="1029"/>
    </w:p>
    <w:p>
      <w:pPr>
        <w:pStyle w:val="47"/>
        <w:bidi w:val="0"/>
        <w:rPr>
          <w:rFonts w:hint="eastAsia"/>
          <w:color w:val="auto"/>
          <w:highlight w:val="none"/>
        </w:rPr>
      </w:pPr>
      <w:r>
        <w:rPr>
          <w:rFonts w:hint="eastAsia"/>
          <w:color w:val="auto"/>
          <w:highlight w:val="none"/>
        </w:rPr>
        <w:t>说明：</w:t>
      </w:r>
      <w:r>
        <w:rPr>
          <w:rFonts w:hint="eastAsia"/>
          <w:color w:val="auto"/>
          <w:highlight w:val="none"/>
          <w:lang w:val="en-US" w:eastAsia="zh-CN"/>
        </w:rPr>
        <w:t>①投标产品制造厂商为监狱企业的，在参加采购活动时需提供由省级以上监狱管理局、戒毒管理局(含新疆生产建设兵团)出具的属于监狱企业的证明文件。</w:t>
      </w:r>
      <w:r>
        <w:rPr>
          <w:rFonts w:hint="eastAsia"/>
          <w:color w:val="auto"/>
          <w:highlight w:val="none"/>
        </w:rPr>
        <w:t>如未提供监狱企业相关证明材料的，其</w:t>
      </w:r>
      <w:r>
        <w:rPr>
          <w:rFonts w:hint="eastAsia"/>
          <w:color w:val="auto"/>
          <w:highlight w:val="none"/>
          <w:lang w:val="en-US" w:eastAsia="zh-CN"/>
        </w:rPr>
        <w:t>评审</w:t>
      </w:r>
      <w:r>
        <w:rPr>
          <w:rFonts w:hint="eastAsia"/>
          <w:color w:val="auto"/>
          <w:highlight w:val="none"/>
        </w:rPr>
        <w:t>中的监狱企业不能享受</w:t>
      </w:r>
      <w:r>
        <w:rPr>
          <w:rFonts w:hint="eastAsia"/>
          <w:color w:val="auto"/>
          <w:highlight w:val="none"/>
          <w:lang w:val="en-US" w:eastAsia="zh-CN"/>
        </w:rPr>
        <w:t>招标</w:t>
      </w:r>
      <w:r>
        <w:rPr>
          <w:rFonts w:hint="eastAsia"/>
          <w:color w:val="auto"/>
          <w:highlight w:val="none"/>
        </w:rPr>
        <w:t>文件规定的价格扣除。</w:t>
      </w:r>
    </w:p>
    <w:p>
      <w:pPr>
        <w:pStyle w:val="47"/>
        <w:bidi w:val="0"/>
        <w:rPr>
          <w:rFonts w:hint="eastAsia"/>
          <w:color w:val="auto"/>
          <w:highlight w:val="none"/>
        </w:rPr>
      </w:pPr>
      <w:r>
        <w:rPr>
          <w:rFonts w:hint="eastAsia"/>
          <w:color w:val="auto"/>
          <w:highlight w:val="none"/>
          <w:lang w:val="en-US" w:eastAsia="zh-CN"/>
        </w:rPr>
        <w:t>②投标产品制造厂商为</w:t>
      </w:r>
      <w:r>
        <w:rPr>
          <w:rFonts w:hint="eastAsia"/>
          <w:color w:val="auto"/>
          <w:highlight w:val="none"/>
        </w:rPr>
        <w:t>非监狱企业</w:t>
      </w:r>
      <w:r>
        <w:rPr>
          <w:rFonts w:hint="eastAsia"/>
          <w:color w:val="auto"/>
          <w:highlight w:val="none"/>
          <w:lang w:val="en-US" w:eastAsia="zh-CN"/>
        </w:rPr>
        <w:t>无需提供证明材料</w:t>
      </w:r>
      <w:r>
        <w:rPr>
          <w:rFonts w:hint="eastAsia"/>
          <w:color w:val="auto"/>
          <w:highlight w:val="none"/>
        </w:rPr>
        <w:t>，不影响</w:t>
      </w:r>
      <w:r>
        <w:rPr>
          <w:rFonts w:hint="eastAsia"/>
          <w:color w:val="auto"/>
          <w:highlight w:val="none"/>
          <w:lang w:val="en-US" w:eastAsia="zh-CN"/>
        </w:rPr>
        <w:t>投标</w:t>
      </w:r>
      <w:r>
        <w:rPr>
          <w:rFonts w:hint="eastAsia"/>
          <w:color w:val="auto"/>
          <w:highlight w:val="none"/>
        </w:rPr>
        <w:t>文件的有效性。</w:t>
      </w:r>
    </w:p>
    <w:p>
      <w:pPr>
        <w:pStyle w:val="47"/>
        <w:bidi w:val="0"/>
        <w:rPr>
          <w:rFonts w:hint="eastAsia"/>
          <w:color w:val="auto"/>
          <w:highlight w:val="none"/>
          <w:lang w:val="en-US" w:eastAsia="zh-CN"/>
        </w:rPr>
      </w:pPr>
      <w:r>
        <w:rPr>
          <w:rFonts w:hint="eastAsia"/>
          <w:color w:val="auto"/>
          <w:highlight w:val="none"/>
          <w:lang w:val="en-US" w:eastAsia="zh-CN"/>
        </w:rPr>
        <w:t>③投标人参加采购活动时，提供虚假</w:t>
      </w:r>
      <w:r>
        <w:rPr>
          <w:rFonts w:hint="eastAsia"/>
          <w:color w:val="auto"/>
          <w:highlight w:val="none"/>
        </w:rPr>
        <w:t>监狱企业相关证明材料</w:t>
      </w:r>
      <w:r>
        <w:rPr>
          <w:rFonts w:hint="eastAsia"/>
          <w:color w:val="auto"/>
          <w:highlight w:val="none"/>
          <w:lang w:val="en-US" w:eastAsia="zh-CN"/>
        </w:rPr>
        <w:t>的，以提供虚假材料谋取中标处理。</w:t>
      </w:r>
    </w:p>
    <w:p>
      <w:pPr>
        <w:pStyle w:val="47"/>
        <w:bidi w:val="0"/>
        <w:rPr>
          <w:rFonts w:hint="eastAsia"/>
          <w:color w:val="auto"/>
          <w:highlight w:val="none"/>
        </w:rPr>
      </w:pPr>
    </w:p>
    <w:p>
      <w:pPr>
        <w:pStyle w:val="42"/>
        <w:bidi w:val="0"/>
        <w:rPr>
          <w:rFonts w:hint="eastAsia"/>
          <w:color w:val="auto"/>
          <w:highlight w:val="none"/>
          <w:lang w:val="en-US" w:eastAsia="zh-CN"/>
        </w:rPr>
      </w:pPr>
      <w:r>
        <w:rPr>
          <w:rFonts w:hint="eastAsia"/>
          <w:color w:val="auto"/>
          <w:highlight w:val="none"/>
          <w:lang w:val="en-US" w:eastAsia="zh-CN"/>
        </w:rPr>
        <w:br w:type="page"/>
      </w:r>
    </w:p>
    <w:p>
      <w:pPr>
        <w:pStyle w:val="44"/>
        <w:keepNext w:val="0"/>
        <w:keepLines w:val="0"/>
        <w:pageBreakBefore/>
        <w:widowControl w:val="0"/>
        <w:numPr>
          <w:ilvl w:val="0"/>
          <w:numId w:val="0"/>
        </w:numPr>
        <w:kinsoku/>
        <w:wordWrap w:val="0"/>
        <w:overflowPunct/>
        <w:topLinePunct/>
        <w:autoSpaceDE/>
        <w:autoSpaceDN/>
        <w:bidi w:val="0"/>
        <w:adjustRightInd w:val="0"/>
        <w:snapToGrid w:val="0"/>
        <w:ind w:leftChars="0"/>
        <w:textAlignment w:val="auto"/>
        <w:outlineLvl w:val="3"/>
        <w:rPr>
          <w:rFonts w:hint="eastAsia"/>
          <w:color w:val="auto"/>
          <w:highlight w:val="none"/>
          <w:lang w:val="en-US" w:eastAsia="zh-CN"/>
        </w:rPr>
      </w:pPr>
      <w:bookmarkStart w:id="1030" w:name="_Toc7140"/>
      <w:bookmarkStart w:id="1031" w:name="_Toc30301"/>
      <w:bookmarkStart w:id="1032" w:name="_Toc27384"/>
      <w:bookmarkStart w:id="1033" w:name="_Toc12336"/>
      <w:bookmarkStart w:id="1034" w:name="_Toc12654"/>
      <w:r>
        <w:rPr>
          <w:rFonts w:hint="eastAsia"/>
          <w:color w:val="auto"/>
          <w:highlight w:val="none"/>
          <w:lang w:val="en-US" w:eastAsia="zh-CN"/>
        </w:rPr>
        <w:t>(三)残疾人福利性单位声明函(如涉及</w:t>
      </w:r>
      <w:bookmarkEnd w:id="1030"/>
      <w:r>
        <w:rPr>
          <w:rFonts w:hint="eastAsia"/>
          <w:color w:val="auto"/>
          <w:highlight w:val="none"/>
          <w:lang w:val="en-US" w:eastAsia="zh-CN"/>
        </w:rPr>
        <w:t>)</w:t>
      </w:r>
      <w:bookmarkEnd w:id="1031"/>
      <w:bookmarkEnd w:id="1032"/>
      <w:r>
        <w:rPr>
          <w:rFonts w:hint="eastAsia"/>
          <w:color w:val="auto"/>
          <w:highlight w:val="none"/>
          <w:lang w:val="en-US" w:eastAsia="zh-CN"/>
        </w:rPr>
        <w:t>非专门面向中小企业时适用</w:t>
      </w:r>
      <w:bookmarkEnd w:id="1033"/>
      <w:bookmarkEnd w:id="1034"/>
    </w:p>
    <w:p>
      <w:pPr>
        <w:pStyle w:val="46"/>
        <w:bidi w:val="0"/>
        <w:rPr>
          <w:rFonts w:hint="eastAsia"/>
          <w:color w:val="auto"/>
          <w:highlight w:val="none"/>
        </w:rPr>
      </w:pPr>
      <w:r>
        <w:rPr>
          <w:rFonts w:hint="eastAsia"/>
          <w:color w:val="auto"/>
          <w:highlight w:val="none"/>
        </w:rPr>
        <w:t>本单位郑重声明，</w:t>
      </w:r>
      <w:r>
        <w:rPr>
          <w:rFonts w:hint="eastAsia"/>
          <w:color w:val="auto"/>
          <w:highlight w:val="none"/>
          <w:lang w:val="en-US" w:eastAsia="zh-CN"/>
        </w:rPr>
        <w:t>参照</w:t>
      </w:r>
      <w:r>
        <w:rPr>
          <w:rFonts w:hint="eastAsia"/>
          <w:color w:val="auto"/>
          <w:highlight w:val="none"/>
        </w:rPr>
        <w:t>《财政部 民政部 中国残疾人联合会关于促进残疾人就业政府采购政策的通知》</w:t>
      </w:r>
      <w:r>
        <w:rPr>
          <w:rFonts w:hint="eastAsia"/>
          <w:color w:val="auto"/>
          <w:highlight w:val="none"/>
          <w:lang w:eastAsia="zh-CN"/>
        </w:rPr>
        <w:t>(</w:t>
      </w:r>
      <w:r>
        <w:rPr>
          <w:rFonts w:hint="eastAsia"/>
          <w:color w:val="auto"/>
          <w:highlight w:val="none"/>
        </w:rPr>
        <w:t>财库〔2017〕141号</w:t>
      </w:r>
      <w:r>
        <w:rPr>
          <w:rFonts w:hint="eastAsia"/>
          <w:color w:val="auto"/>
          <w:highlight w:val="none"/>
          <w:lang w:eastAsia="zh-CN"/>
        </w:rPr>
        <w:t>)</w:t>
      </w:r>
      <w:r>
        <w:rPr>
          <w:rFonts w:hint="eastAsia"/>
          <w:color w:val="auto"/>
          <w:highlight w:val="none"/>
        </w:rPr>
        <w:t>的规定，本单位为符合条件的残疾人福利性单位，且本单位参加</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color w:val="auto"/>
          <w:highlight w:val="none"/>
        </w:rPr>
        <w:t>单位的</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color w:val="auto"/>
          <w:highlight w:val="none"/>
        </w:rPr>
        <w:t>项目采购活动提供本单位制造的货物</w:t>
      </w:r>
      <w:r>
        <w:rPr>
          <w:rFonts w:hint="eastAsia"/>
          <w:color w:val="auto"/>
          <w:highlight w:val="none"/>
          <w:lang w:eastAsia="zh-CN"/>
        </w:rPr>
        <w:t>，</w:t>
      </w:r>
      <w:r>
        <w:rPr>
          <w:rFonts w:hint="eastAsia"/>
          <w:color w:val="auto"/>
          <w:highlight w:val="none"/>
        </w:rPr>
        <w:t>或者提供其他残疾人福利性单位制造的货物</w:t>
      </w:r>
      <w:r>
        <w:rPr>
          <w:rFonts w:hint="eastAsia"/>
          <w:color w:val="auto"/>
          <w:highlight w:val="none"/>
          <w:lang w:eastAsia="zh-CN"/>
        </w:rPr>
        <w:t>(</w:t>
      </w:r>
      <w:r>
        <w:rPr>
          <w:rFonts w:hint="eastAsia"/>
          <w:color w:val="auto"/>
          <w:highlight w:val="none"/>
        </w:rPr>
        <w:t>不包括使用非残疾人福利性单位注册商标的货物</w:t>
      </w:r>
      <w:r>
        <w:rPr>
          <w:rFonts w:hint="eastAsia"/>
          <w:color w:val="auto"/>
          <w:highlight w:val="none"/>
          <w:lang w:eastAsia="zh-CN"/>
        </w:rPr>
        <w:t>)</w:t>
      </w:r>
      <w:r>
        <w:rPr>
          <w:rFonts w:hint="eastAsia"/>
          <w:color w:val="auto"/>
          <w:highlight w:val="none"/>
        </w:rPr>
        <w:t>。</w:t>
      </w:r>
    </w:p>
    <w:p>
      <w:pPr>
        <w:pStyle w:val="46"/>
        <w:bidi w:val="0"/>
        <w:rPr>
          <w:rFonts w:hint="eastAsia"/>
          <w:color w:val="auto"/>
          <w:highlight w:val="none"/>
        </w:rPr>
      </w:pPr>
      <w:r>
        <w:rPr>
          <w:rFonts w:hint="eastAsia"/>
          <w:color w:val="auto"/>
          <w:highlight w:val="none"/>
        </w:rPr>
        <w:t>本单位对上述声明的真实性负责。如有虚假，将依法承担相应责任。</w:t>
      </w:r>
    </w:p>
    <w:p>
      <w:pPr>
        <w:pStyle w:val="42"/>
        <w:bidi w:val="0"/>
        <w:rPr>
          <w:rFonts w:hint="eastAsia"/>
          <w:color w:val="auto"/>
          <w:highlight w:val="none"/>
          <w:lang w:val="en-US" w:eastAsia="zh-CN"/>
        </w:rPr>
      </w:pPr>
    </w:p>
    <w:p>
      <w:pPr>
        <w:pStyle w:val="42"/>
        <w:bidi w:val="0"/>
        <w:rPr>
          <w:rFonts w:hint="eastAsia"/>
          <w:color w:val="auto"/>
          <w:highlight w:val="none"/>
        </w:rPr>
      </w:pPr>
    </w:p>
    <w:p>
      <w:pPr>
        <w:pStyle w:val="42"/>
        <w:bidi w:val="0"/>
        <w:rPr>
          <w:rFonts w:hint="eastAsia"/>
          <w:color w:val="auto"/>
          <w:highlight w:val="none"/>
        </w:rPr>
      </w:pPr>
    </w:p>
    <w:p>
      <w:pPr>
        <w:pStyle w:val="42"/>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color w:val="auto"/>
          <w:highlight w:val="none"/>
        </w:rPr>
      </w:pPr>
      <w:r>
        <w:rPr>
          <w:rFonts w:hint="eastAsia"/>
          <w:color w:val="auto"/>
          <w:highlight w:val="none"/>
        </w:rPr>
        <w:t>单位名称</w:t>
      </w:r>
      <w:r>
        <w:rPr>
          <w:rFonts w:hint="eastAsia"/>
          <w:color w:val="auto"/>
          <w:highlight w:val="none"/>
          <w:lang w:eastAsia="zh-CN"/>
        </w:rPr>
        <w:t>：</w:t>
      </w:r>
      <w:r>
        <w:rPr>
          <w:rFonts w:hint="eastAsia"/>
          <w:color w:val="auto"/>
          <w:highlight w:val="none"/>
          <w:u w:val="single"/>
          <w:lang w:val="en-US" w:eastAsia="zh-CN"/>
        </w:rPr>
        <w:t xml:space="preserve">             </w:t>
      </w:r>
      <w:r>
        <w:rPr>
          <w:rFonts w:hint="eastAsia"/>
          <w:color w:val="auto"/>
          <w:highlight w:val="none"/>
          <w:lang w:val="en-US" w:eastAsia="zh-CN"/>
        </w:rPr>
        <w:t xml:space="preserve"> </w:t>
      </w:r>
      <w:r>
        <w:rPr>
          <w:rFonts w:hint="eastAsia"/>
          <w:color w:val="auto"/>
          <w:highlight w:val="none"/>
          <w:lang w:eastAsia="zh-CN"/>
        </w:rPr>
        <w:t>(</w:t>
      </w:r>
      <w:r>
        <w:rPr>
          <w:rFonts w:hint="eastAsia"/>
          <w:color w:val="auto"/>
          <w:highlight w:val="none"/>
        </w:rPr>
        <w:t>盖章</w:t>
      </w:r>
      <w:r>
        <w:rPr>
          <w:rFonts w:hint="eastAsia"/>
          <w:color w:val="auto"/>
          <w:highlight w:val="none"/>
          <w:lang w:eastAsia="zh-CN"/>
        </w:rPr>
        <w:t>)</w:t>
      </w:r>
    </w:p>
    <w:p>
      <w:pPr>
        <w:pStyle w:val="42"/>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color w:val="auto"/>
          <w:highlight w:val="none"/>
          <w:lang w:val="en-US" w:eastAsia="zh-CN"/>
        </w:rPr>
      </w:pPr>
      <w:r>
        <w:rPr>
          <w:rFonts w:hint="eastAsia"/>
          <w:color w:val="auto"/>
          <w:highlight w:val="none"/>
        </w:rPr>
        <w:t xml:space="preserve">日  </w:t>
      </w:r>
      <w:r>
        <w:rPr>
          <w:rFonts w:hint="eastAsia"/>
          <w:color w:val="auto"/>
          <w:highlight w:val="none"/>
          <w:lang w:val="en-US" w:eastAsia="zh-CN"/>
        </w:rPr>
        <w:t xml:space="preserve">  </w:t>
      </w:r>
      <w:r>
        <w:rPr>
          <w:rFonts w:hint="eastAsia"/>
          <w:color w:val="auto"/>
          <w:highlight w:val="none"/>
        </w:rPr>
        <w:t>期：</w:t>
      </w:r>
      <w:r>
        <w:rPr>
          <w:rFonts w:hint="eastAsia"/>
          <w:color w:val="auto"/>
          <w:highlight w:val="none"/>
          <w:u w:val="single"/>
          <w:lang w:val="en-US" w:eastAsia="zh-CN"/>
        </w:rPr>
        <w:t xml:space="preserve">             </w:t>
      </w:r>
      <w:r>
        <w:rPr>
          <w:rFonts w:hint="eastAsia"/>
          <w:color w:val="auto"/>
          <w:highlight w:val="none"/>
          <w:lang w:val="en-US" w:eastAsia="zh-CN"/>
        </w:rPr>
        <w:t xml:space="preserve">   </w:t>
      </w:r>
      <w:bookmarkEnd w:id="1020"/>
      <w:bookmarkEnd w:id="1021"/>
      <w:bookmarkEnd w:id="1022"/>
      <w:bookmarkEnd w:id="1023"/>
      <w:bookmarkEnd w:id="1024"/>
    </w:p>
    <w:p>
      <w:pPr>
        <w:pStyle w:val="47"/>
        <w:bidi w:val="0"/>
        <w:rPr>
          <w:rFonts w:hint="eastAsia"/>
          <w:color w:val="auto"/>
          <w:highlight w:val="none"/>
          <w:lang w:val="en-US" w:eastAsia="zh-CN"/>
        </w:rPr>
      </w:pPr>
    </w:p>
    <w:p>
      <w:pPr>
        <w:pStyle w:val="47"/>
        <w:bidi w:val="0"/>
        <w:rPr>
          <w:rFonts w:hint="eastAsia"/>
          <w:color w:val="auto"/>
          <w:highlight w:val="none"/>
          <w:lang w:val="en-US" w:eastAsia="zh-CN"/>
        </w:rPr>
      </w:pPr>
    </w:p>
    <w:p>
      <w:pPr>
        <w:pStyle w:val="47"/>
        <w:bidi w:val="0"/>
        <w:rPr>
          <w:rFonts w:hint="eastAsia"/>
          <w:color w:val="auto"/>
          <w:highlight w:val="none"/>
          <w:lang w:eastAsia="zh-CN"/>
        </w:rPr>
      </w:pPr>
      <w:r>
        <w:rPr>
          <w:rFonts w:hint="eastAsia"/>
          <w:color w:val="auto"/>
          <w:highlight w:val="none"/>
          <w:lang w:val="en-US" w:eastAsia="zh-CN"/>
        </w:rPr>
        <w:t>说明：</w:t>
      </w:r>
      <w:r>
        <w:rPr>
          <w:rFonts w:hint="eastAsia"/>
          <w:color w:val="auto"/>
          <w:highlight w:val="none"/>
          <w:lang w:val="en-US" w:eastAsia="zh-CN"/>
        </w:rPr>
        <w:fldChar w:fldCharType="begin"/>
      </w:r>
      <w:r>
        <w:rPr>
          <w:rFonts w:hint="eastAsia"/>
          <w:color w:val="auto"/>
          <w:highlight w:val="none"/>
          <w:lang w:val="en-US" w:eastAsia="zh-CN"/>
        </w:rPr>
        <w:instrText xml:space="preserve"> = 1 \* GB3 \* MERGEFORMAT </w:instrText>
      </w:r>
      <w:r>
        <w:rPr>
          <w:rFonts w:hint="eastAsia"/>
          <w:color w:val="auto"/>
          <w:highlight w:val="none"/>
          <w:lang w:val="en-US" w:eastAsia="zh-CN"/>
        </w:rPr>
        <w:fldChar w:fldCharType="separate"/>
      </w:r>
      <w:r>
        <w:rPr>
          <w:rFonts w:hint="eastAsia"/>
          <w:color w:val="auto"/>
          <w:highlight w:val="none"/>
        </w:rPr>
        <w:t>①</w:t>
      </w:r>
      <w:r>
        <w:rPr>
          <w:rFonts w:hint="eastAsia"/>
          <w:color w:val="auto"/>
          <w:highlight w:val="none"/>
          <w:lang w:val="en-US" w:eastAsia="zh-CN"/>
        </w:rPr>
        <w:fldChar w:fldCharType="end"/>
      </w:r>
      <w:r>
        <w:rPr>
          <w:rFonts w:hint="eastAsia"/>
          <w:color w:val="auto"/>
          <w:highlight w:val="none"/>
          <w:lang w:val="en-US" w:eastAsia="zh-CN"/>
        </w:rPr>
        <w:t>投标产品制造厂商为残疾人福利性单位的，在参加采购活动时需</w:t>
      </w:r>
      <w:r>
        <w:rPr>
          <w:rFonts w:hint="eastAsia"/>
          <w:color w:val="auto"/>
          <w:highlight w:val="none"/>
        </w:rPr>
        <w:t>提供残疾人福利性单位声明函</w:t>
      </w:r>
      <w:r>
        <w:rPr>
          <w:rFonts w:hint="eastAsia"/>
          <w:color w:val="auto"/>
          <w:highlight w:val="none"/>
          <w:lang w:eastAsia="zh-CN"/>
        </w:rPr>
        <w:t>。</w:t>
      </w:r>
      <w:r>
        <w:rPr>
          <w:rFonts w:hint="eastAsia"/>
          <w:color w:val="auto"/>
          <w:sz w:val="24"/>
          <w:szCs w:val="24"/>
          <w:highlight w:val="none"/>
          <w:lang w:val="en-US" w:eastAsia="zh-CN"/>
        </w:rPr>
        <w:t>未提供残疾人福利性单位声明函的</w:t>
      </w:r>
      <w:r>
        <w:rPr>
          <w:rFonts w:hint="eastAsia"/>
          <w:color w:val="auto"/>
          <w:highlight w:val="none"/>
          <w:lang w:val="en-US" w:eastAsia="zh-CN"/>
        </w:rPr>
        <w:t>，</w:t>
      </w:r>
      <w:r>
        <w:rPr>
          <w:rFonts w:hint="eastAsia"/>
          <w:color w:val="auto"/>
          <w:highlight w:val="none"/>
        </w:rPr>
        <w:t>其评审中的残疾人福利性单位不能享受招标文件规定的价格扣除</w:t>
      </w:r>
      <w:r>
        <w:rPr>
          <w:rFonts w:hint="eastAsia"/>
          <w:color w:val="auto"/>
          <w:highlight w:val="none"/>
          <w:lang w:eastAsia="zh-CN"/>
        </w:rPr>
        <w:t>。</w:t>
      </w:r>
    </w:p>
    <w:p>
      <w:pPr>
        <w:pStyle w:val="47"/>
        <w:bidi w:val="0"/>
        <w:rPr>
          <w:rFonts w:hint="eastAsia"/>
          <w:color w:val="auto"/>
          <w:highlight w:val="none"/>
        </w:rPr>
      </w:pPr>
      <w:r>
        <w:rPr>
          <w:rFonts w:hint="eastAsia"/>
          <w:color w:val="auto"/>
          <w:highlight w:val="none"/>
          <w:lang w:val="en-US" w:eastAsia="zh-CN"/>
        </w:rPr>
        <w:t>②投标产品制造厂商为非残疾人福利性单位，不需提供此声明函，</w:t>
      </w:r>
      <w:r>
        <w:rPr>
          <w:rFonts w:hint="eastAsia"/>
          <w:color w:val="auto"/>
          <w:highlight w:val="none"/>
        </w:rPr>
        <w:t>不影响投标文件的有效性。</w:t>
      </w:r>
    </w:p>
    <w:p>
      <w:pPr>
        <w:pStyle w:val="47"/>
        <w:bidi w:val="0"/>
        <w:rPr>
          <w:rFonts w:hint="eastAsia"/>
          <w:color w:val="auto"/>
          <w:highlight w:val="none"/>
          <w:lang w:val="en-US" w:eastAsia="zh-CN"/>
        </w:rPr>
      </w:pPr>
      <w:r>
        <w:rPr>
          <w:rFonts w:hint="eastAsia"/>
          <w:color w:val="auto"/>
          <w:highlight w:val="none"/>
          <w:lang w:val="en-US" w:eastAsia="zh-CN"/>
        </w:rPr>
        <w:t>③投标人参加采购活动时，提供虚假残疾人福利性单位声明函的，以提供虚假材料谋取中标处理。</w:t>
      </w:r>
    </w:p>
    <w:p>
      <w:pPr>
        <w:pStyle w:val="42"/>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color w:val="auto"/>
          <w:highlight w:val="none"/>
          <w:lang w:val="en-US" w:eastAsia="zh-CN"/>
        </w:rPr>
      </w:pPr>
    </w:p>
    <w:p>
      <w:pPr>
        <w:pStyle w:val="44"/>
        <w:numPr>
          <w:ilvl w:val="0"/>
          <w:numId w:val="23"/>
        </w:numPr>
        <w:bidi w:val="0"/>
        <w:ind w:left="0" w:leftChars="0" w:firstLine="0" w:firstLineChars="0"/>
        <w:rPr>
          <w:rFonts w:hint="eastAsia"/>
          <w:color w:val="auto"/>
          <w:highlight w:val="none"/>
          <w:lang w:val="en-US" w:eastAsia="zh-CN"/>
        </w:rPr>
      </w:pPr>
      <w:bookmarkStart w:id="1035" w:name="_Toc12958"/>
      <w:bookmarkStart w:id="1036" w:name="_Toc20260"/>
      <w:bookmarkStart w:id="1037" w:name="_Toc16092"/>
      <w:bookmarkStart w:id="1038" w:name="_Toc20002"/>
      <w:bookmarkStart w:id="1039" w:name="_Toc18724"/>
      <w:bookmarkStart w:id="1040" w:name="_Toc881"/>
      <w:r>
        <w:rPr>
          <w:rFonts w:hint="eastAsia"/>
          <w:color w:val="auto"/>
          <w:highlight w:val="none"/>
          <w:lang w:val="en-US" w:eastAsia="zh-CN"/>
        </w:rPr>
        <w:t>项目实施方案、售后服务方案</w:t>
      </w:r>
      <w:bookmarkEnd w:id="1035"/>
      <w:bookmarkEnd w:id="1036"/>
      <w:bookmarkEnd w:id="1037"/>
      <w:bookmarkEnd w:id="1038"/>
    </w:p>
    <w:p>
      <w:pPr>
        <w:pStyle w:val="47"/>
        <w:bidi w:val="0"/>
        <w:rPr>
          <w:rFonts w:hint="eastAsia"/>
          <w:color w:val="auto"/>
          <w:highlight w:val="none"/>
          <w:lang w:val="en-US" w:eastAsia="zh-CN"/>
        </w:rPr>
      </w:pPr>
      <w:r>
        <w:rPr>
          <w:rFonts w:hint="eastAsia"/>
          <w:color w:val="auto"/>
          <w:highlight w:val="none"/>
          <w:lang w:val="en-US" w:eastAsia="zh-CN"/>
        </w:rPr>
        <w:t>注：格式自拟。</w:t>
      </w:r>
    </w:p>
    <w:p>
      <w:pPr>
        <w:rPr>
          <w:rFonts w:hint="eastAsia" w:ascii="宋体" w:hAnsi="宋体" w:eastAsia="宋体" w:cstheme="minorBidi"/>
          <w:b/>
          <w:snapToGrid w:val="0"/>
          <w:color w:val="auto"/>
          <w:kern w:val="2"/>
          <w:sz w:val="28"/>
          <w:szCs w:val="24"/>
          <w:highlight w:val="none"/>
          <w:lang w:val="en-US" w:eastAsia="zh-CN" w:bidi="ar-SA"/>
        </w:rPr>
      </w:pPr>
      <w:bookmarkStart w:id="1041" w:name="_Toc32188"/>
      <w:r>
        <w:rPr>
          <w:rFonts w:hint="eastAsia" w:ascii="宋体" w:hAnsi="宋体" w:eastAsia="宋体" w:cstheme="minorBidi"/>
          <w:b/>
          <w:snapToGrid w:val="0"/>
          <w:color w:val="auto"/>
          <w:kern w:val="2"/>
          <w:sz w:val="28"/>
          <w:szCs w:val="24"/>
          <w:highlight w:val="none"/>
          <w:lang w:val="en-US" w:eastAsia="zh-CN" w:bidi="ar-SA"/>
        </w:rPr>
        <w:br w:type="page"/>
      </w:r>
    </w:p>
    <w:p>
      <w:pPr>
        <w:pStyle w:val="44"/>
        <w:numPr>
          <w:ilvl w:val="0"/>
          <w:numId w:val="23"/>
        </w:numPr>
        <w:bidi w:val="0"/>
        <w:ind w:left="0" w:leftChars="0" w:firstLine="0" w:firstLineChars="0"/>
        <w:rPr>
          <w:rFonts w:hint="eastAsia" w:ascii="宋体" w:hAnsi="宋体" w:eastAsia="宋体" w:cstheme="minorBidi"/>
          <w:b/>
          <w:snapToGrid w:val="0"/>
          <w:color w:val="auto"/>
          <w:kern w:val="2"/>
          <w:sz w:val="28"/>
          <w:szCs w:val="24"/>
          <w:highlight w:val="none"/>
          <w:lang w:val="en-US" w:eastAsia="zh-CN" w:bidi="ar-SA"/>
        </w:rPr>
      </w:pPr>
      <w:bookmarkStart w:id="1042" w:name="_Toc7955"/>
      <w:bookmarkStart w:id="1043" w:name="_Toc9425"/>
      <w:r>
        <w:rPr>
          <w:rFonts w:hint="eastAsia"/>
          <w:color w:val="auto"/>
          <w:highlight w:val="none"/>
          <w:lang w:val="en-US" w:eastAsia="zh-CN"/>
        </w:rPr>
        <w:t>商品</w:t>
      </w:r>
      <w:r>
        <w:rPr>
          <w:rFonts w:hint="eastAsia" w:ascii="宋体" w:hAnsi="宋体" w:eastAsia="宋体" w:cstheme="minorBidi"/>
          <w:b/>
          <w:snapToGrid w:val="0"/>
          <w:color w:val="auto"/>
          <w:kern w:val="2"/>
          <w:sz w:val="28"/>
          <w:szCs w:val="24"/>
          <w:highlight w:val="none"/>
          <w:lang w:val="en-US" w:eastAsia="zh-CN" w:bidi="ar-SA"/>
        </w:rPr>
        <w:t>包装、快递包装承诺函</w:t>
      </w:r>
      <w:r>
        <w:rPr>
          <w:rFonts w:hint="eastAsia" w:cstheme="minorBidi"/>
          <w:b/>
          <w:snapToGrid w:val="0"/>
          <w:color w:val="auto"/>
          <w:kern w:val="2"/>
          <w:sz w:val="28"/>
          <w:szCs w:val="24"/>
          <w:highlight w:val="none"/>
          <w:lang w:val="en-US" w:eastAsia="zh-CN" w:bidi="ar-SA"/>
        </w:rPr>
        <w:t>(如涉及)</w:t>
      </w:r>
      <w:bookmarkEnd w:id="1042"/>
      <w:bookmarkEnd w:id="1043"/>
    </w:p>
    <w:p>
      <w:pPr>
        <w:rPr>
          <w:rFonts w:hint="eastAsia"/>
          <w:color w:val="auto"/>
          <w:highlight w:val="none"/>
          <w:lang w:val="en-US" w:eastAsia="zh-CN"/>
        </w:rPr>
      </w:pPr>
      <w:r>
        <w:rPr>
          <w:rFonts w:hint="eastAsia"/>
          <w:color w:val="auto"/>
          <w:highlight w:val="none"/>
          <w:lang w:val="en-US" w:eastAsia="zh-CN"/>
        </w:rPr>
        <w:t> </w:t>
      </w:r>
    </w:p>
    <w:p>
      <w:pPr>
        <w:rPr>
          <w:rFonts w:hint="eastAsia"/>
          <w:color w:val="auto"/>
          <w:highlight w:val="none"/>
          <w:lang w:val="en-US" w:eastAsia="zh-CN"/>
        </w:rPr>
      </w:pPr>
      <w:r>
        <w:rPr>
          <w:rFonts w:hint="eastAsia"/>
          <w:color w:val="auto"/>
          <w:highlight w:val="none"/>
        </w:rPr>
        <w:t>四川乾新招投标代理有限公司：</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color w:val="auto"/>
          <w:highlight w:val="none"/>
          <w:lang w:val="en-US" w:eastAsia="zh-CN"/>
        </w:rPr>
      </w:pPr>
      <w:r>
        <w:rPr>
          <w:rFonts w:hint="eastAsia"/>
          <w:color w:val="auto"/>
          <w:highlight w:val="none"/>
          <w:lang w:val="en-US" w:eastAsia="zh-CN"/>
        </w:rPr>
        <w:t>我单位作为本次采购项目的投标人，根据招标文件要求，现郑重承诺如下：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color w:val="auto"/>
          <w:highlight w:val="none"/>
          <w:lang w:val="en-US" w:eastAsia="zh-CN"/>
        </w:rPr>
      </w:pPr>
      <w:r>
        <w:rPr>
          <w:rFonts w:hint="eastAsia"/>
          <w:color w:val="auto"/>
          <w:highlight w:val="none"/>
          <w:lang w:val="en-US" w:eastAsia="zh-CN"/>
        </w:rPr>
        <w:t>我单位承诺，参照财政部等三部门联合印发商品包装和快递包装政府采购需求标准(试行)(财库办〔2020〕123号)要求，若我方提供的货物、服务、工程涉及商品包装和快递包装的，将按照标准要求执行。</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color w:val="auto"/>
          <w:highlight w:val="none"/>
          <w:lang w:val="en-US" w:eastAsia="zh-CN"/>
        </w:rPr>
      </w:pPr>
      <w:r>
        <w:rPr>
          <w:rFonts w:hint="eastAsia"/>
          <w:color w:val="auto"/>
          <w:highlight w:val="none"/>
          <w:lang w:val="en-US" w:eastAsia="zh-CN"/>
        </w:rPr>
        <w:t>本单位对上述承诺的内容事项真实性负责。如经查实上述承诺的内容事项存在虚假，我单位愿意接受以提供虚假材料谋取中标追究法律责任。</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color w:val="auto"/>
          <w:highlight w:val="none"/>
          <w:lang w:val="en-US" w:eastAsia="zh-CN"/>
        </w:rPr>
      </w:pPr>
      <w:r>
        <w:rPr>
          <w:rFonts w:hint="eastAsia"/>
          <w:color w:val="auto"/>
          <w:highlight w:val="none"/>
          <w:lang w:val="en-US" w:eastAsia="zh-CN"/>
        </w:rPr>
        <w:t>注：《商品包装政府采购需求标准(试行)》、《快递包装政府采购需求标准(试行)》的标准详见中国政府采购网。</w:t>
      </w:r>
    </w:p>
    <w:p>
      <w:pPr>
        <w:rPr>
          <w:rFonts w:hint="eastAsia"/>
          <w:color w:val="auto"/>
          <w:highlight w:val="none"/>
          <w:lang w:val="en-US" w:eastAsia="zh-CN"/>
        </w:rPr>
      </w:pPr>
      <w:r>
        <w:rPr>
          <w:rFonts w:hint="eastAsia"/>
          <w:color w:val="auto"/>
          <w:highlight w:val="none"/>
          <w:lang w:val="en-US" w:eastAsia="zh-CN"/>
        </w:rPr>
        <w:t> </w:t>
      </w:r>
    </w:p>
    <w:p>
      <w:pPr>
        <w:pStyle w:val="46"/>
        <w:bidi w:val="0"/>
        <w:rPr>
          <w:rFonts w:hint="eastAsia"/>
          <w:color w:val="auto"/>
          <w:highlight w:val="none"/>
        </w:rPr>
      </w:pPr>
      <w:r>
        <w:rPr>
          <w:rFonts w:hint="eastAsia"/>
          <w:color w:val="auto"/>
          <w:highlight w:val="none"/>
          <w:lang w:val="en-US" w:eastAsia="zh-CN"/>
        </w:rPr>
        <w:t>投标人</w:t>
      </w:r>
      <w:r>
        <w:rPr>
          <w:rFonts w:hint="eastAsia"/>
          <w:color w:val="auto"/>
          <w:highlight w:val="none"/>
        </w:rPr>
        <w:t>名称：</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(盖章)</w:t>
      </w:r>
    </w:p>
    <w:p>
      <w:pPr>
        <w:pStyle w:val="46"/>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color w:val="auto"/>
          <w:highlight w:val="none"/>
          <w:u w:val="single"/>
          <w:lang w:val="en-US" w:eastAsia="zh-CN"/>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46"/>
        <w:bidi w:val="0"/>
        <w:rPr>
          <w:rFonts w:hint="eastAsia"/>
          <w:color w:val="auto"/>
          <w:highlight w:val="none"/>
          <w:lang w:val="en-US" w:eastAsia="zh-CN"/>
        </w:rPr>
      </w:pPr>
      <w:r>
        <w:rPr>
          <w:rFonts w:hint="eastAsia"/>
          <w:color w:val="auto"/>
          <w:highlight w:val="none"/>
          <w:lang w:val="en-US" w:eastAsia="zh-CN"/>
        </w:rPr>
        <w:t>投标</w:t>
      </w:r>
      <w:r>
        <w:rPr>
          <w:rFonts w:hint="eastAsia"/>
          <w:color w:val="auto"/>
          <w:highlight w:val="none"/>
        </w:rPr>
        <w:t>日期：</w:t>
      </w:r>
      <w:r>
        <w:rPr>
          <w:rFonts w:hint="eastAsia"/>
          <w:color w:val="auto"/>
          <w:highlight w:val="none"/>
          <w:u w:val="single"/>
          <w:lang w:val="en-US" w:eastAsia="zh-CN"/>
        </w:rPr>
        <w:t xml:space="preserve">                  </w:t>
      </w:r>
    </w:p>
    <w:p>
      <w:pPr>
        <w:pStyle w:val="44"/>
        <w:numPr>
          <w:ilvl w:val="0"/>
          <w:numId w:val="23"/>
        </w:numPr>
        <w:bidi w:val="0"/>
        <w:ind w:left="0" w:leftChars="0" w:firstLine="0" w:firstLineChars="0"/>
        <w:rPr>
          <w:rFonts w:hint="eastAsia"/>
          <w:color w:val="auto"/>
          <w:highlight w:val="none"/>
          <w:lang w:val="en-US" w:eastAsia="zh-CN"/>
        </w:rPr>
      </w:pPr>
      <w:bookmarkStart w:id="1044" w:name="_Toc8937"/>
      <w:bookmarkStart w:id="1045" w:name="_Toc2955"/>
      <w:r>
        <w:rPr>
          <w:rFonts w:hint="eastAsia"/>
          <w:color w:val="auto"/>
          <w:highlight w:val="none"/>
          <w:lang w:val="en-US" w:eastAsia="zh-CN"/>
        </w:rPr>
        <w:t>招标代理服务费承诺函</w:t>
      </w:r>
      <w:bookmarkEnd w:id="1041"/>
      <w:bookmarkEnd w:id="1044"/>
      <w:bookmarkEnd w:id="1045"/>
    </w:p>
    <w:p>
      <w:pPr>
        <w:pStyle w:val="42"/>
        <w:bidi w:val="0"/>
        <w:rPr>
          <w:rFonts w:hint="eastAsia"/>
          <w:color w:val="auto"/>
          <w:highlight w:val="none"/>
        </w:rPr>
      </w:pPr>
      <w:r>
        <w:rPr>
          <w:rFonts w:hint="eastAsia"/>
          <w:color w:val="auto"/>
          <w:highlight w:val="none"/>
        </w:rPr>
        <w:t>四川乾新招投标代理有限公司：</w:t>
      </w:r>
    </w:p>
    <w:p>
      <w:pPr>
        <w:pStyle w:val="46"/>
        <w:bidi w:val="0"/>
        <w:rPr>
          <w:rFonts w:hint="eastAsia"/>
          <w:b/>
          <w:bCs/>
          <w:color w:val="auto"/>
          <w:highlight w:val="none"/>
          <w:lang w:val="en-US" w:eastAsia="zh-CN"/>
        </w:rPr>
      </w:pPr>
      <w:r>
        <w:rPr>
          <w:rFonts w:hint="eastAsia"/>
          <w:color w:val="auto"/>
          <w:highlight w:val="none"/>
          <w:lang w:eastAsia="zh-CN"/>
        </w:rPr>
        <w:t>我单位</w:t>
      </w:r>
      <w:r>
        <w:rPr>
          <w:rFonts w:hint="eastAsia"/>
          <w:color w:val="auto"/>
          <w:highlight w:val="none"/>
        </w:rPr>
        <w:t>在贵公司代理的</w:t>
      </w:r>
      <w:r>
        <w:rPr>
          <w:rFonts w:hint="eastAsia"/>
          <w:color w:val="auto"/>
          <w:highlight w:val="none"/>
          <w:u w:val="single"/>
        </w:rPr>
        <w:t xml:space="preserve">                              </w:t>
      </w:r>
      <w:r>
        <w:rPr>
          <w:rFonts w:hint="eastAsia"/>
          <w:color w:val="auto"/>
          <w:highlight w:val="none"/>
        </w:rPr>
        <w:t>项目(项目编号</w:t>
      </w:r>
      <w:r>
        <w:rPr>
          <w:rFonts w:hint="eastAsia"/>
          <w:color w:val="auto"/>
          <w:highlight w:val="none"/>
          <w:u w:val="none"/>
        </w:rPr>
        <w:t>：</w:t>
      </w:r>
      <w:r>
        <w:rPr>
          <w:rFonts w:hint="eastAsia"/>
          <w:color w:val="auto"/>
          <w:highlight w:val="none"/>
          <w:u w:val="single"/>
        </w:rPr>
        <w:t xml:space="preserve">                              </w:t>
      </w:r>
      <w:r>
        <w:rPr>
          <w:rFonts w:hint="eastAsia"/>
          <w:color w:val="auto"/>
          <w:highlight w:val="none"/>
        </w:rPr>
        <w:t>)公开招标中若获中标，我们</w:t>
      </w:r>
      <w:r>
        <w:rPr>
          <w:rFonts w:hint="eastAsia"/>
          <w:color w:val="auto"/>
          <w:highlight w:val="none"/>
          <w:lang w:val="en-US" w:eastAsia="zh-CN"/>
        </w:rPr>
        <w:t>承诺</w:t>
      </w:r>
      <w:r>
        <w:rPr>
          <w:rFonts w:hint="eastAsia"/>
          <w:color w:val="auto"/>
          <w:highlight w:val="none"/>
        </w:rPr>
        <w:t>在收到中标通知后2个工作日内按</w:t>
      </w:r>
      <w:r>
        <w:rPr>
          <w:rFonts w:hint="eastAsia"/>
          <w:color w:val="auto"/>
          <w:highlight w:val="none"/>
          <w:lang w:val="zh-CN"/>
        </w:rPr>
        <w:t>招标文件</w:t>
      </w:r>
      <w:r>
        <w:rPr>
          <w:rFonts w:hint="eastAsia"/>
          <w:color w:val="auto"/>
          <w:highlight w:val="none"/>
        </w:rPr>
        <w:t>的规定，以支票、银行汇票、电汇、现金或经贵公司认可的一种方式，向贵公司即四川乾新招投标代理有限公司指定的银行</w:t>
      </w:r>
      <w:r>
        <w:rPr>
          <w:rFonts w:hint="eastAsia"/>
          <w:color w:val="auto"/>
          <w:highlight w:val="none"/>
          <w:lang w:val="en-US" w:eastAsia="zh-CN"/>
        </w:rPr>
        <w:t>账号</w:t>
      </w:r>
      <w:r>
        <w:rPr>
          <w:rFonts w:hint="eastAsia"/>
          <w:color w:val="auto"/>
          <w:highlight w:val="none"/>
        </w:rPr>
        <w:t>，按照</w:t>
      </w:r>
      <w:r>
        <w:rPr>
          <w:rFonts w:hint="eastAsia"/>
          <w:color w:val="auto"/>
          <w:highlight w:val="none"/>
          <w:lang w:val="zh-CN"/>
        </w:rPr>
        <w:t>招标文件中</w:t>
      </w:r>
      <w:r>
        <w:rPr>
          <w:rFonts w:hint="eastAsia"/>
          <w:color w:val="auto"/>
          <w:highlight w:val="none"/>
        </w:rPr>
        <w:t>招标代理服务费收取标准一次性支付招标代理服务费。</w:t>
      </w:r>
      <w:r>
        <w:rPr>
          <w:rFonts w:hint="eastAsia"/>
          <w:b/>
          <w:bCs/>
          <w:color w:val="auto"/>
          <w:highlight w:val="none"/>
          <w:lang w:val="en-US" w:eastAsia="zh-CN"/>
        </w:rPr>
        <w:t>如因我单位自身原因造成取消中标资格或自愿放弃中标资格的，我单位已交纳的招标代理服务费不予退还，由此造成的损失由我单位自行承担。</w:t>
      </w:r>
    </w:p>
    <w:p>
      <w:pPr>
        <w:pStyle w:val="46"/>
        <w:bidi w:val="0"/>
        <w:rPr>
          <w:rFonts w:hint="eastAsia"/>
          <w:color w:val="auto"/>
          <w:highlight w:val="none"/>
        </w:rPr>
      </w:pPr>
    </w:p>
    <w:p>
      <w:pPr>
        <w:pStyle w:val="46"/>
        <w:bidi w:val="0"/>
        <w:rPr>
          <w:rFonts w:hint="eastAsia"/>
          <w:color w:val="auto"/>
          <w:highlight w:val="none"/>
        </w:rPr>
      </w:pPr>
    </w:p>
    <w:p>
      <w:pPr>
        <w:pStyle w:val="46"/>
        <w:bidi w:val="0"/>
        <w:rPr>
          <w:rFonts w:hint="eastAsia"/>
          <w:color w:val="auto"/>
          <w:highlight w:val="none"/>
        </w:rPr>
      </w:pPr>
      <w:r>
        <w:rPr>
          <w:rFonts w:hint="eastAsia"/>
          <w:color w:val="auto"/>
          <w:highlight w:val="none"/>
        </w:rPr>
        <w:t>特此承诺。</w:t>
      </w:r>
    </w:p>
    <w:p>
      <w:pPr>
        <w:pStyle w:val="42"/>
        <w:bidi w:val="0"/>
        <w:rPr>
          <w:rFonts w:hint="eastAsia"/>
          <w:color w:val="auto"/>
          <w:highlight w:val="none"/>
        </w:rPr>
      </w:pPr>
    </w:p>
    <w:p>
      <w:pPr>
        <w:pStyle w:val="42"/>
        <w:bidi w:val="0"/>
        <w:rPr>
          <w:rFonts w:hint="eastAsia"/>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投标人</w:t>
      </w: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(盖章)</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  话：</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  编：</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lang w:eastAsia="zh-CN"/>
        </w:rPr>
        <w:t>法定</w:t>
      </w:r>
      <w:r>
        <w:rPr>
          <w:rFonts w:hint="eastAsia" w:asciiTheme="minorEastAsia" w:hAnsiTheme="minorEastAsia" w:eastAsiaTheme="minorEastAsia" w:cstheme="minorEastAsia"/>
          <w:color w:val="auto"/>
          <w:sz w:val="24"/>
          <w:highlight w:val="none"/>
          <w:lang w:eastAsia="zh-CN"/>
        </w:rPr>
        <w:t>代表人</w:t>
      </w:r>
      <w:r>
        <w:rPr>
          <w:rFonts w:hint="eastAsia"/>
          <w:color w:val="auto"/>
          <w:highlight w:val="none"/>
          <w:lang w:eastAsia="zh-CN"/>
        </w:rPr>
        <w:t>/单位负责人或授权代表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承诺日期：</w:t>
      </w:r>
      <w:r>
        <w:rPr>
          <w:rFonts w:hint="eastAsia" w:asciiTheme="minorEastAsia" w:hAnsiTheme="minorEastAsia" w:eastAsiaTheme="minorEastAsia" w:cstheme="minorEastAsia"/>
          <w:bCs/>
          <w:color w:val="auto"/>
          <w:sz w:val="24"/>
          <w:highlight w:val="none"/>
          <w:u w:val="single"/>
        </w:rPr>
        <w:t xml:space="preserve">                </w:t>
      </w:r>
    </w:p>
    <w:p>
      <w:pPr>
        <w:pStyle w:val="42"/>
        <w:keepNext w:val="0"/>
        <w:keepLines w:val="0"/>
        <w:pageBreakBefore w:val="0"/>
        <w:widowControl w:val="0"/>
        <w:kinsoku/>
        <w:overflow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 xml:space="preserve">                </w:t>
      </w:r>
    </w:p>
    <w:p>
      <w:pPr>
        <w:pStyle w:val="42"/>
        <w:bidi w:val="0"/>
        <w:rPr>
          <w:rFonts w:hint="eastAsia"/>
          <w:color w:val="auto"/>
          <w:highlight w:val="none"/>
        </w:rPr>
      </w:pPr>
    </w:p>
    <w:p>
      <w:pPr>
        <w:pStyle w:val="42"/>
        <w:bidi w:val="0"/>
        <w:rPr>
          <w:rFonts w:hint="eastAsia"/>
          <w:color w:val="auto"/>
          <w:highlight w:val="none"/>
        </w:rPr>
      </w:pPr>
      <w:r>
        <w:rPr>
          <w:rFonts w:hint="eastAsia"/>
          <w:color w:val="auto"/>
          <w:highlight w:val="none"/>
        </w:rPr>
        <w:br w:type="page"/>
      </w:r>
    </w:p>
    <w:bookmarkEnd w:id="1039"/>
    <w:bookmarkEnd w:id="1040"/>
    <w:p>
      <w:pPr>
        <w:pStyle w:val="48"/>
        <w:numPr>
          <w:ilvl w:val="0"/>
          <w:numId w:val="13"/>
        </w:numPr>
        <w:bidi w:val="0"/>
        <w:rPr>
          <w:rFonts w:hint="eastAsia"/>
          <w:b/>
          <w:color w:val="auto"/>
          <w:w w:val="95"/>
          <w:highlight w:val="none"/>
          <w:lang w:val="en-US" w:eastAsia="zh-CN"/>
        </w:rPr>
      </w:pPr>
      <w:bookmarkStart w:id="1046" w:name="_Toc23987"/>
      <w:bookmarkStart w:id="1047" w:name="_Toc1941"/>
      <w:bookmarkStart w:id="1048" w:name="_Toc3705"/>
      <w:bookmarkStart w:id="1049" w:name="_Toc17786"/>
      <w:bookmarkStart w:id="1050" w:name="_Toc904"/>
      <w:bookmarkStart w:id="1051" w:name="_Toc8502"/>
      <w:bookmarkStart w:id="1052" w:name="_Toc24042"/>
      <w:bookmarkStart w:id="1053" w:name="_Toc10576"/>
      <w:r>
        <w:rPr>
          <w:rFonts w:hint="eastAsia"/>
          <w:b/>
          <w:color w:val="auto"/>
          <w:w w:val="95"/>
          <w:highlight w:val="none"/>
          <w:lang w:val="en-US" w:eastAsia="zh-CN"/>
        </w:rPr>
        <w:t>投标人和投标产品的资格、资质性</w:t>
      </w:r>
      <w:bookmarkStart w:id="1054" w:name="_Toc307501136"/>
      <w:bookmarkStart w:id="1055" w:name="_Toc21759"/>
      <w:bookmarkStart w:id="1056" w:name="_Toc307564882"/>
      <w:bookmarkStart w:id="1057" w:name="_Toc327196317"/>
      <w:bookmarkStart w:id="1058" w:name="_Toc17884"/>
      <w:bookmarkStart w:id="1059" w:name="_Toc319439931"/>
      <w:r>
        <w:rPr>
          <w:rFonts w:hint="eastAsia"/>
          <w:b/>
          <w:color w:val="auto"/>
          <w:w w:val="95"/>
          <w:highlight w:val="none"/>
          <w:lang w:val="en-US" w:eastAsia="zh-CN"/>
        </w:rPr>
        <w:t>及其他类似效力要求</w:t>
      </w:r>
      <w:bookmarkEnd w:id="1046"/>
      <w:bookmarkEnd w:id="1047"/>
      <w:bookmarkEnd w:id="1048"/>
      <w:bookmarkEnd w:id="1049"/>
      <w:bookmarkEnd w:id="1050"/>
      <w:bookmarkEnd w:id="1054"/>
      <w:bookmarkEnd w:id="1055"/>
      <w:bookmarkEnd w:id="1056"/>
      <w:bookmarkEnd w:id="1057"/>
      <w:bookmarkEnd w:id="1058"/>
      <w:bookmarkEnd w:id="1059"/>
    </w:p>
    <w:p>
      <w:pPr>
        <w:pStyle w:val="34"/>
        <w:numPr>
          <w:ilvl w:val="1"/>
          <w:numId w:val="13"/>
        </w:numPr>
        <w:bidi w:val="0"/>
        <w:spacing w:line="520" w:lineRule="exact"/>
        <w:rPr>
          <w:rFonts w:hint="eastAsia"/>
          <w:color w:val="auto"/>
          <w:highlight w:val="none"/>
          <w:lang w:val="zh-CN"/>
        </w:rPr>
      </w:pPr>
      <w:bookmarkStart w:id="1060" w:name="_Toc31843"/>
      <w:bookmarkStart w:id="1061" w:name="_Toc30456"/>
      <w:bookmarkStart w:id="1062" w:name="_Toc11909"/>
      <w:r>
        <w:rPr>
          <w:rFonts w:hint="eastAsia"/>
          <w:color w:val="auto"/>
          <w:highlight w:val="none"/>
        </w:rPr>
        <w:t>投标人资格、资质性及其他类似效力要求</w:t>
      </w:r>
      <w:bookmarkEnd w:id="1051"/>
      <w:bookmarkEnd w:id="1052"/>
      <w:bookmarkEnd w:id="1053"/>
      <w:bookmarkEnd w:id="1060"/>
      <w:bookmarkEnd w:id="1061"/>
      <w:bookmarkEnd w:id="1062"/>
    </w:p>
    <w:p>
      <w:pPr>
        <w:pStyle w:val="42"/>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b w:val="0"/>
          <w:bCs w:val="0"/>
          <w:color w:val="auto"/>
          <w:highlight w:val="none"/>
        </w:rPr>
      </w:pPr>
      <w:bookmarkStart w:id="1063" w:name="_Toc18335"/>
      <w:bookmarkStart w:id="1064" w:name="_Toc5268"/>
      <w:bookmarkStart w:id="1065" w:name="_Toc4824"/>
      <w:bookmarkStart w:id="1066" w:name="_Toc3675"/>
      <w:bookmarkStart w:id="1067" w:name="_Toc14656"/>
      <w:r>
        <w:rPr>
          <w:rFonts w:hint="eastAsia"/>
          <w:b w:val="0"/>
          <w:bCs w:val="0"/>
          <w:color w:val="auto"/>
          <w:highlight w:val="none"/>
          <w:lang w:val="en-US" w:eastAsia="zh-CN"/>
        </w:rPr>
        <w:t>(一)</w:t>
      </w:r>
      <w:r>
        <w:rPr>
          <w:rFonts w:hint="eastAsia"/>
          <w:b w:val="0"/>
          <w:bCs w:val="0"/>
          <w:color w:val="auto"/>
          <w:highlight w:val="none"/>
        </w:rPr>
        <w:t>具有独立承担</w:t>
      </w:r>
      <w:r>
        <w:rPr>
          <w:rFonts w:hint="eastAsia"/>
          <w:b w:val="0"/>
          <w:bCs w:val="0"/>
          <w:color w:val="auto"/>
          <w:highlight w:val="none"/>
        </w:rPr>
        <w:fldChar w:fldCharType="begin"/>
      </w:r>
      <w:r>
        <w:rPr>
          <w:rFonts w:hint="eastAsia"/>
          <w:b w:val="0"/>
          <w:bCs w:val="0"/>
          <w:color w:val="auto"/>
          <w:highlight w:val="none"/>
        </w:rPr>
        <w:instrText xml:space="preserve"> HYPERLINK "http://www.lawtime.cn/info/minfa/mszeren/" \t "_blank" </w:instrText>
      </w:r>
      <w:r>
        <w:rPr>
          <w:rFonts w:hint="eastAsia"/>
          <w:b w:val="0"/>
          <w:bCs w:val="0"/>
          <w:color w:val="auto"/>
          <w:highlight w:val="none"/>
        </w:rPr>
        <w:fldChar w:fldCharType="separate"/>
      </w:r>
      <w:r>
        <w:rPr>
          <w:rFonts w:hint="eastAsia"/>
          <w:b w:val="0"/>
          <w:bCs w:val="0"/>
          <w:color w:val="auto"/>
          <w:highlight w:val="none"/>
        </w:rPr>
        <w:t>民事责任</w:t>
      </w:r>
      <w:r>
        <w:rPr>
          <w:rFonts w:hint="eastAsia"/>
          <w:b w:val="0"/>
          <w:bCs w:val="0"/>
          <w:color w:val="auto"/>
          <w:highlight w:val="none"/>
        </w:rPr>
        <w:fldChar w:fldCharType="end"/>
      </w:r>
      <w:r>
        <w:rPr>
          <w:rFonts w:hint="eastAsia"/>
          <w:b w:val="0"/>
          <w:bCs w:val="0"/>
          <w:color w:val="auto"/>
          <w:highlight w:val="none"/>
        </w:rPr>
        <w:t>的能力；</w:t>
      </w:r>
    </w:p>
    <w:p>
      <w:pPr>
        <w:pStyle w:val="42"/>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b w:val="0"/>
          <w:bCs w:val="0"/>
          <w:color w:val="auto"/>
          <w:highlight w:val="none"/>
        </w:rPr>
      </w:pPr>
      <w:r>
        <w:rPr>
          <w:rFonts w:hint="eastAsia"/>
          <w:b w:val="0"/>
          <w:bCs w:val="0"/>
          <w:color w:val="auto"/>
          <w:highlight w:val="none"/>
          <w:lang w:val="en-US" w:eastAsia="zh-CN"/>
        </w:rPr>
        <w:t>(二)</w:t>
      </w:r>
      <w:r>
        <w:rPr>
          <w:rFonts w:hint="eastAsia"/>
          <w:b w:val="0"/>
          <w:bCs w:val="0"/>
          <w:color w:val="auto"/>
          <w:highlight w:val="none"/>
        </w:rPr>
        <w:t>具有良好的商业信誉和健全的财务会计制度；</w:t>
      </w:r>
    </w:p>
    <w:p>
      <w:pPr>
        <w:pStyle w:val="42"/>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b w:val="0"/>
          <w:bCs w:val="0"/>
          <w:color w:val="auto"/>
          <w:highlight w:val="none"/>
        </w:rPr>
      </w:pPr>
      <w:r>
        <w:rPr>
          <w:rFonts w:hint="eastAsia"/>
          <w:b w:val="0"/>
          <w:bCs w:val="0"/>
          <w:color w:val="auto"/>
          <w:highlight w:val="none"/>
          <w:lang w:val="en-US" w:eastAsia="zh-CN"/>
        </w:rPr>
        <w:t>(三)</w:t>
      </w:r>
      <w:r>
        <w:rPr>
          <w:rFonts w:hint="eastAsia"/>
          <w:b w:val="0"/>
          <w:bCs w:val="0"/>
          <w:color w:val="auto"/>
          <w:highlight w:val="none"/>
        </w:rPr>
        <w:t>具有履行合同所必需的设备和专业技术能力；</w:t>
      </w:r>
    </w:p>
    <w:p>
      <w:pPr>
        <w:pStyle w:val="42"/>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(四)有依法缴纳税收和</w:t>
      </w:r>
      <w:r>
        <w:rPr>
          <w:rFonts w:hint="eastAsia"/>
          <w:b w:val="0"/>
          <w:bCs w:val="0"/>
          <w:color w:val="auto"/>
          <w:highlight w:val="none"/>
          <w:lang w:val="en-US" w:eastAsia="zh-CN"/>
        </w:rPr>
        <w:fldChar w:fldCharType="begin"/>
      </w:r>
      <w:r>
        <w:rPr>
          <w:rFonts w:hint="eastAsia"/>
          <w:b w:val="0"/>
          <w:bCs w:val="0"/>
          <w:color w:val="auto"/>
          <w:highlight w:val="none"/>
          <w:lang w:val="en-US" w:eastAsia="zh-CN"/>
        </w:rPr>
        <w:instrText xml:space="preserve"> HYPERLINK "http://www.lawtime.cn/info/laodong/shehuibaozhang/" \t "_blank" </w:instrText>
      </w:r>
      <w:r>
        <w:rPr>
          <w:rFonts w:hint="eastAsia"/>
          <w:b w:val="0"/>
          <w:bCs w:val="0"/>
          <w:color w:val="auto"/>
          <w:highlight w:val="none"/>
          <w:lang w:val="en-US" w:eastAsia="zh-CN"/>
        </w:rPr>
        <w:fldChar w:fldCharType="separate"/>
      </w:r>
      <w:r>
        <w:rPr>
          <w:rFonts w:hint="eastAsia"/>
          <w:b w:val="0"/>
          <w:bCs w:val="0"/>
          <w:color w:val="auto"/>
          <w:highlight w:val="none"/>
          <w:lang w:val="en-US" w:eastAsia="zh-CN"/>
        </w:rPr>
        <w:t>社会保障</w:t>
      </w:r>
      <w:r>
        <w:rPr>
          <w:rFonts w:hint="eastAsia"/>
          <w:b w:val="0"/>
          <w:bCs w:val="0"/>
          <w:color w:val="auto"/>
          <w:highlight w:val="none"/>
          <w:lang w:val="en-US" w:eastAsia="zh-CN"/>
        </w:rPr>
        <w:fldChar w:fldCharType="end"/>
      </w:r>
      <w:r>
        <w:rPr>
          <w:rFonts w:hint="eastAsia"/>
          <w:b w:val="0"/>
          <w:bCs w:val="0"/>
          <w:color w:val="auto"/>
          <w:highlight w:val="none"/>
          <w:lang w:val="en-US" w:eastAsia="zh-CN"/>
        </w:rPr>
        <w:t>资金的良好记录；</w:t>
      </w:r>
    </w:p>
    <w:p>
      <w:pPr>
        <w:pStyle w:val="42"/>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(五)参加采购活动前三年内，在经营活动中没有重大违法记录；</w:t>
      </w:r>
    </w:p>
    <w:p>
      <w:pPr>
        <w:pStyle w:val="42"/>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(六)法律、</w:t>
      </w:r>
      <w:r>
        <w:rPr>
          <w:rFonts w:hint="eastAsia"/>
          <w:b w:val="0"/>
          <w:bCs w:val="0"/>
          <w:color w:val="auto"/>
          <w:highlight w:val="none"/>
          <w:lang w:val="en-US" w:eastAsia="zh-CN"/>
        </w:rPr>
        <w:fldChar w:fldCharType="begin"/>
      </w:r>
      <w:r>
        <w:rPr>
          <w:rFonts w:hint="eastAsia"/>
          <w:b w:val="0"/>
          <w:bCs w:val="0"/>
          <w:color w:val="auto"/>
          <w:highlight w:val="none"/>
          <w:lang w:val="en-US" w:eastAsia="zh-CN"/>
        </w:rPr>
        <w:instrText xml:space="preserve"> HYPERLINK "http://www.lawtime.cn/info/sifakaoshi/xingzhengfa/" \t "_blank" </w:instrText>
      </w:r>
      <w:r>
        <w:rPr>
          <w:rFonts w:hint="eastAsia"/>
          <w:b w:val="0"/>
          <w:bCs w:val="0"/>
          <w:color w:val="auto"/>
          <w:highlight w:val="none"/>
          <w:lang w:val="en-US" w:eastAsia="zh-CN"/>
        </w:rPr>
        <w:fldChar w:fldCharType="separate"/>
      </w:r>
      <w:r>
        <w:rPr>
          <w:rFonts w:hint="eastAsia"/>
          <w:b w:val="0"/>
          <w:bCs w:val="0"/>
          <w:color w:val="auto"/>
          <w:highlight w:val="none"/>
          <w:lang w:val="en-US" w:eastAsia="zh-CN"/>
        </w:rPr>
        <w:t>行政法</w:t>
      </w:r>
      <w:r>
        <w:rPr>
          <w:rFonts w:hint="eastAsia"/>
          <w:b w:val="0"/>
          <w:bCs w:val="0"/>
          <w:color w:val="auto"/>
          <w:highlight w:val="none"/>
          <w:lang w:val="en-US" w:eastAsia="zh-CN"/>
        </w:rPr>
        <w:fldChar w:fldCharType="end"/>
      </w:r>
      <w:r>
        <w:rPr>
          <w:rFonts w:hint="eastAsia"/>
          <w:b w:val="0"/>
          <w:bCs w:val="0"/>
          <w:color w:val="auto"/>
          <w:highlight w:val="none"/>
          <w:lang w:val="en-US" w:eastAsia="zh-CN"/>
        </w:rPr>
        <w:t>规规定的其他条件；</w:t>
      </w:r>
    </w:p>
    <w:p>
      <w:pPr>
        <w:pStyle w:val="42"/>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b w:val="0"/>
          <w:bCs w:val="0"/>
          <w:color w:val="auto"/>
          <w:highlight w:val="none"/>
          <w:lang w:val="zh-CN"/>
        </w:rPr>
      </w:pPr>
      <w:r>
        <w:rPr>
          <w:rFonts w:hint="eastAsia"/>
          <w:b w:val="0"/>
          <w:bCs w:val="0"/>
          <w:color w:val="auto"/>
          <w:highlight w:val="none"/>
          <w:lang w:val="en-US" w:eastAsia="zh-CN"/>
        </w:rPr>
        <w:t>(七)</w:t>
      </w:r>
      <w:r>
        <w:rPr>
          <w:rFonts w:hint="eastAsia"/>
          <w:b w:val="0"/>
          <w:bCs w:val="0"/>
          <w:color w:val="auto"/>
          <w:highlight w:val="none"/>
          <w:lang w:val="zh-CN"/>
        </w:rPr>
        <w:t>本项目的特定资格要求：</w:t>
      </w:r>
      <w:r>
        <w:rPr>
          <w:rFonts w:hint="eastAsia"/>
          <w:b w:val="0"/>
          <w:bCs w:val="0"/>
          <w:color w:val="auto"/>
          <w:highlight w:val="none"/>
          <w:lang w:val="en-US" w:eastAsia="zh-CN"/>
        </w:rPr>
        <w:t>本项目不接受联合体投标。</w:t>
      </w:r>
    </w:p>
    <w:p>
      <w:pPr>
        <w:pStyle w:val="34"/>
        <w:numPr>
          <w:ilvl w:val="1"/>
          <w:numId w:val="13"/>
        </w:numPr>
        <w:bidi w:val="0"/>
        <w:spacing w:line="520" w:lineRule="exact"/>
        <w:rPr>
          <w:rFonts w:hint="eastAsia"/>
          <w:color w:val="auto"/>
          <w:highlight w:val="none"/>
        </w:rPr>
      </w:pPr>
      <w:bookmarkStart w:id="1068" w:name="_Toc28342"/>
      <w:r>
        <w:rPr>
          <w:rFonts w:hint="eastAsia"/>
          <w:color w:val="auto"/>
          <w:highlight w:val="none"/>
        </w:rPr>
        <w:t>投标产品的资格、资质性及其他类似效力要求</w:t>
      </w:r>
      <w:bookmarkEnd w:id="1063"/>
      <w:bookmarkEnd w:id="1064"/>
      <w:bookmarkEnd w:id="1065"/>
      <w:bookmarkEnd w:id="1066"/>
      <w:bookmarkEnd w:id="1067"/>
      <w:bookmarkEnd w:id="1068"/>
    </w:p>
    <w:p>
      <w:pPr>
        <w:pStyle w:val="46"/>
        <w:bidi w:val="0"/>
        <w:spacing w:line="520" w:lineRule="exact"/>
        <w:rPr>
          <w:rFonts w:hint="eastAsia"/>
          <w:color w:val="auto"/>
          <w:highlight w:val="none"/>
          <w:lang w:val="en-US" w:eastAsia="zh-CN"/>
        </w:rPr>
      </w:pPr>
      <w:r>
        <w:rPr>
          <w:rFonts w:hint="eastAsia"/>
          <w:color w:val="auto"/>
          <w:highlight w:val="none"/>
          <w:lang w:val="en-US" w:eastAsia="zh-CN"/>
        </w:rPr>
        <w:t>无。</w:t>
      </w:r>
    </w:p>
    <w:p>
      <w:pPr>
        <w:pStyle w:val="34"/>
        <w:numPr>
          <w:ilvl w:val="1"/>
          <w:numId w:val="13"/>
        </w:numPr>
        <w:bidi w:val="0"/>
        <w:spacing w:line="520" w:lineRule="exact"/>
        <w:rPr>
          <w:rFonts w:hint="eastAsia"/>
          <w:color w:val="auto"/>
          <w:highlight w:val="none"/>
          <w:lang w:val="en-US" w:eastAsia="zh-CN"/>
        </w:rPr>
      </w:pPr>
      <w:bookmarkStart w:id="1069" w:name="_Toc27308"/>
      <w:bookmarkStart w:id="1070" w:name="_Toc3740"/>
      <w:bookmarkStart w:id="1071" w:name="_Toc13910"/>
      <w:r>
        <w:rPr>
          <w:rFonts w:hint="eastAsia"/>
          <w:color w:val="auto"/>
          <w:highlight w:val="none"/>
          <w:lang w:val="en-US" w:eastAsia="zh-CN"/>
        </w:rPr>
        <w:t>其他类似效力要求</w:t>
      </w:r>
      <w:bookmarkEnd w:id="1069"/>
      <w:bookmarkEnd w:id="1070"/>
      <w:bookmarkEnd w:id="1071"/>
    </w:p>
    <w:p>
      <w:pPr>
        <w:pStyle w:val="32"/>
        <w:numPr>
          <w:ilvl w:val="1"/>
          <w:numId w:val="26"/>
        </w:numPr>
        <w:bidi w:val="0"/>
        <w:spacing w:line="520" w:lineRule="exact"/>
        <w:rPr>
          <w:rFonts w:hint="eastAsia"/>
          <w:color w:val="auto"/>
          <w:highlight w:val="none"/>
          <w:lang w:val="zh-CN"/>
        </w:rPr>
      </w:pPr>
      <w:r>
        <w:rPr>
          <w:rFonts w:hint="eastAsia"/>
          <w:color w:val="auto"/>
          <w:highlight w:val="none"/>
          <w:lang w:val="en-US" w:eastAsia="zh-CN"/>
        </w:rPr>
        <w:t>依法通过</w:t>
      </w:r>
      <w:r>
        <w:rPr>
          <w:rFonts w:hint="eastAsia" w:cs="宋体"/>
          <w:color w:val="auto"/>
          <w:highlight w:val="none"/>
          <w:lang w:val="en-US" w:eastAsia="zh-CN"/>
        </w:rPr>
        <w:t>采购代理机构</w:t>
      </w:r>
      <w:r>
        <w:rPr>
          <w:rFonts w:hint="eastAsia"/>
          <w:color w:val="auto"/>
          <w:highlight w:val="none"/>
          <w:lang w:val="en-US" w:eastAsia="zh-CN"/>
        </w:rPr>
        <w:t>获取了</w:t>
      </w:r>
      <w:r>
        <w:rPr>
          <w:rFonts w:hint="eastAsia"/>
          <w:color w:val="auto"/>
          <w:highlight w:val="none"/>
        </w:rPr>
        <w:t>招标文件</w:t>
      </w:r>
      <w:r>
        <w:rPr>
          <w:rFonts w:hint="eastAsia"/>
          <w:color w:val="auto"/>
          <w:highlight w:val="none"/>
          <w:lang w:val="en-US" w:eastAsia="zh-CN"/>
        </w:rPr>
        <w:t>并完成报名登记；</w:t>
      </w:r>
    </w:p>
    <w:p>
      <w:pPr>
        <w:pStyle w:val="32"/>
        <w:numPr>
          <w:ilvl w:val="1"/>
          <w:numId w:val="26"/>
        </w:numPr>
        <w:bidi w:val="0"/>
        <w:spacing w:line="520" w:lineRule="exact"/>
        <w:rPr>
          <w:rFonts w:hint="eastAsia"/>
          <w:color w:val="auto"/>
          <w:highlight w:val="none"/>
          <w:lang w:val="zh-CN"/>
        </w:rPr>
      </w:pPr>
      <w:r>
        <w:rPr>
          <w:rFonts w:hint="eastAsia"/>
          <w:color w:val="auto"/>
          <w:highlight w:val="none"/>
          <w:lang w:val="en-US" w:eastAsia="zh-CN"/>
        </w:rPr>
        <w:t>投标人</w:t>
      </w:r>
      <w:r>
        <w:rPr>
          <w:rFonts w:hint="eastAsia"/>
          <w:color w:val="auto"/>
          <w:highlight w:val="none"/>
          <w:lang w:val="zh-CN"/>
        </w:rPr>
        <w:t>单位及其现任法定代表人、主要负责人不得具有行贿犯罪记录；</w:t>
      </w:r>
    </w:p>
    <w:p>
      <w:pPr>
        <w:pStyle w:val="32"/>
        <w:numPr>
          <w:ilvl w:val="1"/>
          <w:numId w:val="26"/>
        </w:numPr>
        <w:bidi w:val="0"/>
        <w:spacing w:line="520" w:lineRule="exact"/>
        <w:rPr>
          <w:rFonts w:hint="eastAsia"/>
          <w:color w:val="auto"/>
          <w:highlight w:val="none"/>
          <w:lang w:val="zh-CN"/>
        </w:rPr>
      </w:pPr>
      <w:r>
        <w:rPr>
          <w:rFonts w:hint="eastAsia"/>
          <w:color w:val="auto"/>
          <w:highlight w:val="none"/>
          <w:lang w:val="zh-CN"/>
        </w:rPr>
        <w:t>投标人代表不是法定代表人</w:t>
      </w:r>
      <w:r>
        <w:rPr>
          <w:rFonts w:hint="eastAsia"/>
          <w:color w:val="auto"/>
          <w:highlight w:val="none"/>
          <w:lang w:val="en-US" w:eastAsia="zh-CN"/>
        </w:rPr>
        <w:t>/单位负责人</w:t>
      </w:r>
      <w:r>
        <w:rPr>
          <w:rFonts w:hint="eastAsia"/>
          <w:color w:val="auto"/>
          <w:highlight w:val="none"/>
          <w:lang w:val="zh-CN"/>
        </w:rPr>
        <w:t>时提供针对本次投标的法定代表人</w:t>
      </w:r>
      <w:r>
        <w:rPr>
          <w:rFonts w:hint="eastAsia"/>
          <w:color w:val="auto"/>
          <w:highlight w:val="none"/>
          <w:lang w:val="en-US" w:eastAsia="zh-CN"/>
        </w:rPr>
        <w:t>/单位负责人</w:t>
      </w:r>
      <w:r>
        <w:rPr>
          <w:rFonts w:hint="eastAsia"/>
          <w:color w:val="auto"/>
          <w:highlight w:val="none"/>
          <w:lang w:val="zh-CN"/>
        </w:rPr>
        <w:t>授权书原件；</w:t>
      </w:r>
    </w:p>
    <w:p>
      <w:pPr>
        <w:pStyle w:val="32"/>
        <w:numPr>
          <w:ilvl w:val="1"/>
          <w:numId w:val="26"/>
        </w:numPr>
        <w:bidi w:val="0"/>
        <w:spacing w:line="520" w:lineRule="exact"/>
        <w:rPr>
          <w:rFonts w:hint="eastAsia"/>
          <w:color w:val="auto"/>
          <w:highlight w:val="none"/>
          <w:lang w:val="zh-CN"/>
        </w:rPr>
      </w:pPr>
      <w:r>
        <w:rPr>
          <w:rFonts w:hint="eastAsia"/>
          <w:color w:val="auto"/>
          <w:highlight w:val="none"/>
          <w:lang w:val="en-US" w:eastAsia="zh-CN"/>
        </w:rPr>
        <w:t>投标人代表是法定</w:t>
      </w:r>
      <w:r>
        <w:rPr>
          <w:rFonts w:hint="eastAsia"/>
          <w:color w:val="auto"/>
          <w:highlight w:val="none"/>
          <w:lang w:val="zh-CN"/>
        </w:rPr>
        <w:t>代表人</w:t>
      </w:r>
      <w:r>
        <w:rPr>
          <w:rFonts w:hint="eastAsia"/>
          <w:color w:val="auto"/>
          <w:highlight w:val="none"/>
          <w:lang w:val="en-US" w:eastAsia="zh-CN"/>
        </w:rPr>
        <w:t>/单位负责人</w:t>
      </w:r>
      <w:r>
        <w:rPr>
          <w:rFonts w:hint="eastAsia"/>
          <w:color w:val="auto"/>
          <w:highlight w:val="none"/>
          <w:lang w:val="zh-CN"/>
        </w:rPr>
        <w:t>时，</w:t>
      </w:r>
      <w:r>
        <w:rPr>
          <w:rFonts w:hint="eastAsia"/>
          <w:color w:val="auto"/>
          <w:highlight w:val="none"/>
          <w:lang w:val="en-US" w:eastAsia="zh-CN"/>
        </w:rPr>
        <w:t>提供法定代表人/单位负责人证明书原件。</w:t>
      </w:r>
    </w:p>
    <w:p>
      <w:pPr>
        <w:pStyle w:val="32"/>
        <w:numPr>
          <w:ilvl w:val="1"/>
          <w:numId w:val="26"/>
        </w:numPr>
        <w:bidi w:val="0"/>
        <w:spacing w:line="520" w:lineRule="exact"/>
        <w:rPr>
          <w:rFonts w:hint="eastAsia"/>
          <w:color w:val="auto"/>
          <w:highlight w:val="none"/>
          <w:lang w:val="zh-CN"/>
        </w:rPr>
      </w:pPr>
      <w:r>
        <w:rPr>
          <w:rFonts w:hint="eastAsia" w:ascii="宋体" w:hAnsi="宋体" w:eastAsia="宋体" w:cs="宋体"/>
          <w:color w:val="auto"/>
          <w:highlight w:val="none"/>
        </w:rPr>
        <w:t>提交投标保证金的银行回单复印件(若以保函方式提交投标保证金的，提供保函原件)</w:t>
      </w:r>
      <w:r>
        <w:rPr>
          <w:rFonts w:hint="eastAsia" w:ascii="宋体" w:hAnsi="宋体" w:eastAsia="宋体" w:cs="宋体"/>
          <w:color w:val="auto"/>
          <w:highlight w:val="none"/>
          <w:lang w:eastAsia="zh-CN"/>
        </w:rPr>
        <w:t>。</w:t>
      </w:r>
    </w:p>
    <w:p>
      <w:pPr>
        <w:pStyle w:val="46"/>
        <w:bidi w:val="0"/>
        <w:spacing w:line="520" w:lineRule="exact"/>
        <w:rPr>
          <w:rFonts w:hint="eastAsia"/>
          <w:b/>
          <w:bCs/>
          <w:color w:val="auto"/>
          <w:highlight w:val="none"/>
        </w:rPr>
      </w:pPr>
      <w:bookmarkStart w:id="1072" w:name="_Toc24888"/>
      <w:r>
        <w:rPr>
          <w:rFonts w:hint="eastAsia"/>
          <w:b/>
          <w:bCs/>
          <w:color w:val="auto"/>
          <w:highlight w:val="none"/>
        </w:rPr>
        <w:t>注：重大违法记录是指供应商因违法经营受到刑事处罚或者责令停产停业、吊销许可证或者执照、较大数额罚款等行政处罚。供应商在参加</w:t>
      </w:r>
      <w:r>
        <w:rPr>
          <w:rFonts w:hint="eastAsia"/>
          <w:b/>
          <w:bCs/>
          <w:color w:val="auto"/>
          <w:highlight w:val="none"/>
          <w:lang w:eastAsia="zh-CN"/>
        </w:rPr>
        <w:t>采购</w:t>
      </w:r>
      <w:r>
        <w:rPr>
          <w:rFonts w:hint="eastAsia"/>
          <w:b/>
          <w:bCs/>
          <w:color w:val="auto"/>
          <w:highlight w:val="none"/>
        </w:rPr>
        <w:t>活动前3年内因违法经营被禁止在一定期限内参加</w:t>
      </w:r>
      <w:r>
        <w:rPr>
          <w:rFonts w:hint="eastAsia"/>
          <w:b/>
          <w:bCs/>
          <w:color w:val="auto"/>
          <w:highlight w:val="none"/>
          <w:lang w:eastAsia="zh-CN"/>
        </w:rPr>
        <w:t>采购</w:t>
      </w:r>
      <w:r>
        <w:rPr>
          <w:rFonts w:hint="eastAsia"/>
          <w:b/>
          <w:bCs/>
          <w:color w:val="auto"/>
          <w:highlight w:val="none"/>
        </w:rPr>
        <w:t>活动，期限届满的，可以参加</w:t>
      </w:r>
      <w:r>
        <w:rPr>
          <w:rFonts w:hint="eastAsia"/>
          <w:b/>
          <w:bCs/>
          <w:color w:val="auto"/>
          <w:highlight w:val="none"/>
          <w:lang w:eastAsia="zh-CN"/>
        </w:rPr>
        <w:t>采购</w:t>
      </w:r>
      <w:r>
        <w:rPr>
          <w:rFonts w:hint="eastAsia"/>
          <w:b/>
          <w:bCs/>
          <w:color w:val="auto"/>
          <w:highlight w:val="none"/>
        </w:rPr>
        <w:t>活动。</w:t>
      </w:r>
    </w:p>
    <w:p>
      <w:pPr>
        <w:pStyle w:val="47"/>
        <w:bidi w:val="0"/>
        <w:spacing w:line="520" w:lineRule="exact"/>
        <w:rPr>
          <w:rFonts w:hint="eastAsia"/>
          <w:color w:val="auto"/>
          <w:highlight w:val="none"/>
        </w:rPr>
      </w:pPr>
      <w:r>
        <w:rPr>
          <w:rFonts w:hint="eastAsia"/>
          <w:color w:val="auto"/>
          <w:highlight w:val="none"/>
        </w:rPr>
        <w:t>重大违法记录中的较大数额罚款的具体金额标准及范围是：</w:t>
      </w:r>
      <w:r>
        <w:rPr>
          <w:rFonts w:hint="eastAsia"/>
          <w:color w:val="auto"/>
          <w:highlight w:val="none"/>
          <w:lang w:val="en-US" w:eastAsia="zh-CN"/>
        </w:rPr>
        <w:t>根据</w:t>
      </w:r>
      <w:bookmarkStart w:id="1073" w:name="sendNo"/>
      <w:r>
        <w:rPr>
          <w:rFonts w:hint="eastAsia"/>
          <w:color w:val="auto"/>
          <w:highlight w:val="none"/>
          <w:lang w:val="en-US" w:eastAsia="zh-CN"/>
        </w:rPr>
        <w:t>财库〔2022〕3 号</w:t>
      </w:r>
      <w:bookmarkEnd w:id="1073"/>
      <w:r>
        <w:rPr>
          <w:rFonts w:hint="eastAsia"/>
          <w:color w:val="auto"/>
          <w:highlight w:val="none"/>
          <w:lang w:val="en-US" w:eastAsia="zh-CN"/>
        </w:rPr>
        <w:t>文件关于</w:t>
      </w:r>
      <w:r>
        <w:rPr>
          <w:rFonts w:hint="eastAsia"/>
          <w:color w:val="auto"/>
          <w:highlight w:val="none"/>
        </w:rPr>
        <w:t>“较大数额罚款”认定为200万元以上的罚款，法律、行政法规以及国务院有关部门明确规定相关领域“较大数额罚款”标准高于200万元的，从其规定。</w:t>
      </w:r>
    </w:p>
    <w:p>
      <w:pPr>
        <w:pStyle w:val="48"/>
        <w:numPr>
          <w:ilvl w:val="0"/>
          <w:numId w:val="13"/>
        </w:numPr>
        <w:bidi w:val="0"/>
        <w:rPr>
          <w:rFonts w:hint="eastAsia"/>
          <w:color w:val="auto"/>
          <w:highlight w:val="none"/>
          <w:lang w:val="en-US" w:eastAsia="zh-CN"/>
        </w:rPr>
      </w:pPr>
      <w:r>
        <w:rPr>
          <w:rFonts w:hint="eastAsia"/>
          <w:color w:val="auto"/>
          <w:highlight w:val="none"/>
        </w:rPr>
        <w:br w:type="page"/>
      </w:r>
      <w:bookmarkEnd w:id="1072"/>
      <w:bookmarkStart w:id="1074" w:name="_Toc18196"/>
      <w:bookmarkStart w:id="1075" w:name="_Toc4506"/>
      <w:bookmarkStart w:id="1076" w:name="_Toc22998"/>
      <w:bookmarkStart w:id="1077" w:name="_Toc23212"/>
      <w:r>
        <w:rPr>
          <w:rFonts w:hint="eastAsia"/>
          <w:color w:val="auto"/>
          <w:highlight w:val="none"/>
          <w:lang w:val="en-US" w:eastAsia="zh-CN"/>
        </w:rPr>
        <w:t>资格性审查</w:t>
      </w:r>
      <w:bookmarkEnd w:id="1074"/>
      <w:r>
        <w:rPr>
          <w:rFonts w:hint="eastAsia"/>
          <w:color w:val="auto"/>
          <w:highlight w:val="none"/>
          <w:lang w:val="en-US" w:eastAsia="zh-CN"/>
        </w:rPr>
        <w:t>内容</w:t>
      </w:r>
      <w:bookmarkEnd w:id="1075"/>
      <w:bookmarkEnd w:id="1076"/>
      <w:bookmarkEnd w:id="1077"/>
    </w:p>
    <w:p>
      <w:pPr>
        <w:pStyle w:val="34"/>
        <w:numPr>
          <w:ilvl w:val="1"/>
          <w:numId w:val="13"/>
        </w:numPr>
        <w:bidi w:val="0"/>
        <w:spacing w:line="520" w:lineRule="exact"/>
        <w:rPr>
          <w:rFonts w:hint="eastAsia"/>
          <w:color w:val="auto"/>
          <w:highlight w:val="none"/>
        </w:rPr>
      </w:pPr>
      <w:bookmarkStart w:id="1078" w:name="_Toc28265"/>
      <w:bookmarkStart w:id="1079" w:name="_Toc17175"/>
      <w:bookmarkStart w:id="1080" w:name="_Toc3107"/>
      <w:bookmarkStart w:id="1081" w:name="_Toc30344"/>
      <w:bookmarkStart w:id="1082" w:name="_Toc2293"/>
      <w:bookmarkStart w:id="1083" w:name="_Toc17621"/>
      <w:bookmarkStart w:id="1084" w:name="_Toc15801"/>
      <w:bookmarkStart w:id="1085" w:name="_Toc10631"/>
      <w:bookmarkStart w:id="1086" w:name="_Toc20678"/>
      <w:bookmarkStart w:id="1087" w:name="_Toc141"/>
      <w:bookmarkStart w:id="1088" w:name="_Toc32482"/>
      <w:r>
        <w:rPr>
          <w:rFonts w:hint="eastAsia"/>
          <w:color w:val="auto"/>
          <w:highlight w:val="none"/>
        </w:rPr>
        <w:t>应当提供的投标人</w:t>
      </w:r>
      <w:r>
        <w:rPr>
          <w:rFonts w:hint="eastAsia"/>
          <w:color w:val="auto"/>
          <w:highlight w:val="none"/>
          <w:lang w:eastAsia="zh-CN"/>
        </w:rPr>
        <w:t>及投标产品</w:t>
      </w:r>
      <w:r>
        <w:rPr>
          <w:rFonts w:hint="eastAsia"/>
          <w:color w:val="auto"/>
          <w:highlight w:val="none"/>
        </w:rPr>
        <w:t>资格、资质性及其他类似效力要求的相关证明材料</w:t>
      </w:r>
      <w:bookmarkEnd w:id="1078"/>
      <w:bookmarkEnd w:id="1079"/>
      <w:bookmarkEnd w:id="1080"/>
      <w:bookmarkEnd w:id="1081"/>
      <w:bookmarkEnd w:id="1082"/>
      <w:bookmarkEnd w:id="1083"/>
      <w:bookmarkEnd w:id="1084"/>
    </w:p>
    <w:p>
      <w:pPr>
        <w:pStyle w:val="32"/>
        <w:numPr>
          <w:ilvl w:val="1"/>
          <w:numId w:val="27"/>
        </w:numPr>
        <w:bidi w:val="0"/>
        <w:spacing w:line="520" w:lineRule="exact"/>
        <w:rPr>
          <w:rFonts w:hint="eastAsia"/>
          <w:b/>
          <w:bCs/>
          <w:color w:val="auto"/>
          <w:highlight w:val="none"/>
        </w:rPr>
      </w:pPr>
      <w:r>
        <w:rPr>
          <w:rFonts w:hint="eastAsia"/>
          <w:b/>
          <w:bCs/>
          <w:color w:val="auto"/>
          <w:highlight w:val="none"/>
          <w:lang w:val="en-US" w:eastAsia="zh-CN"/>
        </w:rPr>
        <w:t>投标人</w:t>
      </w:r>
      <w:r>
        <w:rPr>
          <w:rFonts w:hint="eastAsia"/>
          <w:b/>
          <w:bCs/>
          <w:color w:val="auto"/>
          <w:highlight w:val="none"/>
        </w:rPr>
        <w:t>具有独立承担民事责任的能力</w:t>
      </w:r>
      <w:r>
        <w:rPr>
          <w:rFonts w:hint="eastAsia"/>
          <w:b/>
          <w:bCs/>
          <w:color w:val="auto"/>
          <w:highlight w:val="none"/>
          <w:lang w:val="en-US" w:eastAsia="zh-CN"/>
        </w:rPr>
        <w:t>的证明材料；</w:t>
      </w:r>
    </w:p>
    <w:p>
      <w:pPr>
        <w:pStyle w:val="46"/>
        <w:bidi w:val="0"/>
        <w:spacing w:line="520" w:lineRule="exact"/>
        <w:rPr>
          <w:rFonts w:hint="eastAsia"/>
          <w:color w:val="auto"/>
          <w:highlight w:val="none"/>
          <w:lang w:eastAsia="zh-CN"/>
        </w:rPr>
      </w:pPr>
      <w:r>
        <w:rPr>
          <w:rFonts w:hint="eastAsia"/>
          <w:color w:val="auto"/>
          <w:highlight w:val="none"/>
          <w:lang w:val="en-US" w:eastAsia="zh-CN"/>
        </w:rPr>
        <w:t>投标人：1.</w:t>
      </w:r>
      <w:r>
        <w:rPr>
          <w:rFonts w:hint="eastAsia"/>
          <w:color w:val="auto"/>
          <w:highlight w:val="none"/>
        </w:rPr>
        <w:t>若为企业法人：提供“营业执照”；未换证的提供“营业执照、税务登记证、组织机构代码证”；</w:t>
      </w:r>
      <w:r>
        <w:rPr>
          <w:rFonts w:hint="eastAsia"/>
          <w:color w:val="auto"/>
          <w:highlight w:val="none"/>
          <w:lang w:val="en-US" w:eastAsia="zh-CN"/>
        </w:rPr>
        <w:t>2.</w:t>
      </w:r>
      <w:r>
        <w:rPr>
          <w:rFonts w:hint="eastAsia"/>
          <w:color w:val="auto"/>
          <w:highlight w:val="none"/>
        </w:rPr>
        <w:t>若为事业法人：提供“统一社会信用代码法人登记证书”；未换证的提交“事业法人登记证书、组织机构代码证”；</w:t>
      </w:r>
      <w:r>
        <w:rPr>
          <w:rFonts w:hint="eastAsia"/>
          <w:color w:val="auto"/>
          <w:highlight w:val="none"/>
          <w:lang w:val="en-US" w:eastAsia="zh-CN"/>
        </w:rPr>
        <w:t>3.</w:t>
      </w:r>
      <w:r>
        <w:rPr>
          <w:rFonts w:hint="eastAsia"/>
          <w:color w:val="auto"/>
          <w:highlight w:val="none"/>
        </w:rPr>
        <w:t>若为其他组织：提供“对应主管部门颁发的准许执业证明文件或营业执照”；</w:t>
      </w:r>
      <w:r>
        <w:rPr>
          <w:rFonts w:hint="eastAsia"/>
          <w:color w:val="auto"/>
          <w:highlight w:val="none"/>
          <w:lang w:val="en-US" w:eastAsia="zh-CN"/>
        </w:rPr>
        <w:t>4.</w:t>
      </w:r>
      <w:r>
        <w:rPr>
          <w:rFonts w:hint="eastAsia"/>
          <w:color w:val="auto"/>
          <w:highlight w:val="none"/>
        </w:rPr>
        <w:t>若为自然人：提供“身份证明材料”</w:t>
      </w:r>
      <w:r>
        <w:rPr>
          <w:rFonts w:hint="eastAsia"/>
          <w:color w:val="auto"/>
          <w:highlight w:val="none"/>
          <w:lang w:eastAsia="zh-CN"/>
        </w:rPr>
        <w:t>。</w:t>
      </w:r>
    </w:p>
    <w:p>
      <w:pPr>
        <w:pStyle w:val="47"/>
        <w:bidi w:val="0"/>
        <w:spacing w:line="520" w:lineRule="exact"/>
        <w:rPr>
          <w:rFonts w:hint="eastAsia"/>
          <w:color w:val="auto"/>
          <w:highlight w:val="none"/>
          <w:lang w:val="en-US" w:eastAsia="zh-CN"/>
        </w:rPr>
      </w:pPr>
      <w:r>
        <w:rPr>
          <w:rFonts w:hint="eastAsia"/>
          <w:color w:val="auto"/>
          <w:highlight w:val="none"/>
          <w:lang w:val="en-US" w:eastAsia="zh-CN"/>
        </w:rPr>
        <w:t>注：1.以上证明材料应满足此条要求①发证机关有年检要求的，应按规定通过年检；②在有效期内；③复印件加盖投标人公章；</w:t>
      </w:r>
    </w:p>
    <w:p>
      <w:pPr>
        <w:pStyle w:val="47"/>
        <w:bidi w:val="0"/>
        <w:spacing w:line="520" w:lineRule="exact"/>
        <w:rPr>
          <w:rFonts w:hint="eastAsia"/>
          <w:color w:val="auto"/>
          <w:highlight w:val="none"/>
          <w:lang w:val="en-US" w:eastAsia="zh-CN"/>
        </w:rPr>
      </w:pPr>
      <w:r>
        <w:rPr>
          <w:rFonts w:hint="eastAsia"/>
          <w:color w:val="auto"/>
          <w:highlight w:val="none"/>
          <w:lang w:val="en-US" w:eastAsia="zh-CN"/>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7"/>
        <w:bidi w:val="0"/>
        <w:spacing w:line="520" w:lineRule="exact"/>
        <w:rPr>
          <w:color w:val="auto"/>
          <w:highlight w:val="none"/>
        </w:rPr>
      </w:pPr>
      <w:r>
        <w:rPr>
          <w:rFonts w:hint="eastAsia"/>
          <w:color w:val="auto"/>
          <w:highlight w:val="none"/>
          <w:lang w:val="en-US" w:eastAsia="zh-CN"/>
        </w:rPr>
        <w:t>3.</w:t>
      </w:r>
      <w:r>
        <w:rPr>
          <w:color w:val="auto"/>
          <w:highlight w:val="none"/>
        </w:rPr>
        <w:t>根据国务院办公厅关于加快推进“多证合一”改革的指导意见</w:t>
      </w:r>
      <w:r>
        <w:rPr>
          <w:rFonts w:hint="eastAsia"/>
          <w:color w:val="auto"/>
          <w:highlight w:val="none"/>
          <w:lang w:eastAsia="zh-CN"/>
        </w:rPr>
        <w:t>(</w:t>
      </w:r>
      <w:r>
        <w:rPr>
          <w:color w:val="auto"/>
          <w:highlight w:val="none"/>
        </w:rPr>
        <w:t>国办发</w:t>
      </w:r>
      <w:r>
        <w:rPr>
          <w:rFonts w:hint="eastAsia"/>
          <w:color w:val="auto"/>
          <w:highlight w:val="none"/>
          <w:lang w:val="en-US" w:eastAsia="zh-CN"/>
        </w:rPr>
        <w:t>〔</w:t>
      </w:r>
      <w:r>
        <w:rPr>
          <w:color w:val="auto"/>
          <w:highlight w:val="none"/>
        </w:rPr>
        <w:t>2017</w:t>
      </w:r>
      <w:r>
        <w:rPr>
          <w:rFonts w:hint="eastAsia"/>
          <w:color w:val="auto"/>
          <w:highlight w:val="none"/>
          <w:lang w:val="en-US" w:eastAsia="zh-CN"/>
        </w:rPr>
        <w:t>〕</w:t>
      </w:r>
      <w:r>
        <w:rPr>
          <w:color w:val="auto"/>
          <w:highlight w:val="none"/>
        </w:rPr>
        <w:t>41号</w:t>
      </w:r>
      <w:r>
        <w:rPr>
          <w:rFonts w:hint="eastAsia"/>
          <w:color w:val="auto"/>
          <w:highlight w:val="none"/>
          <w:lang w:eastAsia="zh-CN"/>
        </w:rPr>
        <w:t>)</w:t>
      </w:r>
      <w:r>
        <w:rPr>
          <w:color w:val="auto"/>
          <w:highlight w:val="none"/>
        </w:rPr>
        <w:t>等政策要求，若资格要求涉及的登记、备案等有关事项和各类证照已实行多证合一</w:t>
      </w:r>
      <w:r>
        <w:rPr>
          <w:rFonts w:hint="eastAsia"/>
          <w:color w:val="auto"/>
          <w:highlight w:val="none"/>
          <w:lang w:eastAsia="zh-CN"/>
        </w:rPr>
        <w:t>提供多证合一证照复印件</w:t>
      </w:r>
      <w:r>
        <w:rPr>
          <w:color w:val="auto"/>
          <w:highlight w:val="none"/>
        </w:rPr>
        <w:t>。</w:t>
      </w:r>
    </w:p>
    <w:p>
      <w:pPr>
        <w:pStyle w:val="32"/>
        <w:numPr>
          <w:ilvl w:val="1"/>
          <w:numId w:val="27"/>
        </w:numPr>
        <w:bidi w:val="0"/>
        <w:spacing w:line="520" w:lineRule="exact"/>
        <w:rPr>
          <w:rFonts w:hint="eastAsia"/>
          <w:b/>
          <w:bCs/>
          <w:color w:val="auto"/>
          <w:highlight w:val="none"/>
        </w:rPr>
      </w:pPr>
      <w:r>
        <w:rPr>
          <w:rFonts w:hint="eastAsia"/>
          <w:b/>
          <w:bCs/>
          <w:color w:val="auto"/>
          <w:highlight w:val="none"/>
          <w:lang w:val="en-US" w:eastAsia="zh-CN"/>
        </w:rPr>
        <w:t>投标人具有良好的商业信誉和健全的财务会计制度的证明材料；</w:t>
      </w:r>
    </w:p>
    <w:p>
      <w:pPr>
        <w:pStyle w:val="46"/>
        <w:bidi w:val="0"/>
        <w:spacing w:line="520" w:lineRule="exact"/>
        <w:rPr>
          <w:rFonts w:hint="eastAsia"/>
          <w:color w:val="auto"/>
          <w:highlight w:val="none"/>
          <w:lang w:val="en-US" w:eastAsia="zh-CN"/>
        </w:rPr>
      </w:pPr>
      <w:r>
        <w:rPr>
          <w:rFonts w:hint="eastAsia"/>
          <w:color w:val="auto"/>
          <w:highlight w:val="none"/>
          <w:lang w:val="en-US" w:eastAsia="zh-CN"/>
        </w:rPr>
        <w:t>1.投标人</w:t>
      </w:r>
      <w:r>
        <w:rPr>
          <w:rFonts w:hint="eastAsia"/>
          <w:color w:val="auto"/>
          <w:highlight w:val="none"/>
        </w:rPr>
        <w:t>具</w:t>
      </w:r>
      <w:r>
        <w:rPr>
          <w:rFonts w:hint="eastAsia"/>
          <w:color w:val="auto"/>
          <w:highlight w:val="none"/>
          <w:lang w:val="en-US" w:eastAsia="zh-CN"/>
        </w:rPr>
        <w:t>有</w:t>
      </w:r>
      <w:r>
        <w:rPr>
          <w:rFonts w:hint="eastAsia"/>
          <w:color w:val="auto"/>
          <w:highlight w:val="none"/>
        </w:rPr>
        <w:t>良好商业信誉的证明材料</w:t>
      </w:r>
      <w:r>
        <w:rPr>
          <w:rFonts w:hint="eastAsia"/>
          <w:color w:val="auto"/>
          <w:highlight w:val="none"/>
          <w:lang w:eastAsia="zh-CN"/>
        </w:rPr>
        <w:t>；</w:t>
      </w:r>
    </w:p>
    <w:p>
      <w:pPr>
        <w:pStyle w:val="46"/>
        <w:bidi w:val="0"/>
        <w:spacing w:line="520" w:lineRule="exact"/>
        <w:rPr>
          <w:rFonts w:hint="eastAsia"/>
          <w:color w:val="auto"/>
          <w:highlight w:val="none"/>
          <w:lang w:eastAsia="zh-CN"/>
        </w:rPr>
      </w:pPr>
      <w:r>
        <w:rPr>
          <w:rFonts w:hint="eastAsia"/>
          <w:color w:val="auto"/>
          <w:highlight w:val="none"/>
          <w:lang w:val="en-US" w:eastAsia="zh-CN"/>
        </w:rPr>
        <w:t>提供</w:t>
      </w:r>
      <w:r>
        <w:rPr>
          <w:rFonts w:hint="eastAsia"/>
          <w:color w:val="auto"/>
          <w:highlight w:val="none"/>
        </w:rPr>
        <w:t>具</w:t>
      </w:r>
      <w:r>
        <w:rPr>
          <w:rFonts w:hint="eastAsia"/>
          <w:color w:val="auto"/>
          <w:highlight w:val="none"/>
          <w:lang w:val="en-US" w:eastAsia="zh-CN"/>
        </w:rPr>
        <w:t>有</w:t>
      </w:r>
      <w:r>
        <w:rPr>
          <w:rFonts w:hint="eastAsia"/>
          <w:color w:val="auto"/>
          <w:highlight w:val="none"/>
        </w:rPr>
        <w:t>良好</w:t>
      </w:r>
      <w:r>
        <w:rPr>
          <w:rFonts w:hint="eastAsia"/>
          <w:color w:val="auto"/>
          <w:highlight w:val="none"/>
          <w:lang w:val="en-US" w:eastAsia="zh-CN"/>
        </w:rPr>
        <w:t>的</w:t>
      </w:r>
      <w:r>
        <w:rPr>
          <w:rFonts w:hint="eastAsia"/>
          <w:color w:val="auto"/>
          <w:highlight w:val="none"/>
        </w:rPr>
        <w:t>商业信誉</w:t>
      </w:r>
      <w:r>
        <w:rPr>
          <w:rFonts w:hint="eastAsia"/>
          <w:color w:val="auto"/>
          <w:highlight w:val="none"/>
          <w:lang w:val="en-US" w:eastAsia="zh-CN"/>
        </w:rPr>
        <w:t>的</w:t>
      </w:r>
      <w:r>
        <w:rPr>
          <w:rFonts w:hint="eastAsia"/>
          <w:color w:val="auto"/>
          <w:highlight w:val="none"/>
        </w:rPr>
        <w:t>承诺函</w:t>
      </w:r>
      <w:r>
        <w:rPr>
          <w:rFonts w:hint="eastAsia"/>
          <w:color w:val="auto"/>
          <w:highlight w:val="none"/>
          <w:lang w:eastAsia="zh-CN"/>
        </w:rPr>
        <w:t>。</w:t>
      </w:r>
    </w:p>
    <w:p>
      <w:pPr>
        <w:pStyle w:val="46"/>
        <w:bidi w:val="0"/>
        <w:spacing w:line="520" w:lineRule="exact"/>
        <w:rPr>
          <w:rFonts w:hint="eastAsia"/>
          <w:b/>
          <w:bCs/>
          <w:color w:val="auto"/>
          <w:highlight w:val="none"/>
          <w:lang w:val="en-US" w:eastAsia="zh-CN"/>
        </w:rPr>
      </w:pPr>
      <w:r>
        <w:rPr>
          <w:rFonts w:hint="eastAsia"/>
          <w:b/>
          <w:bCs/>
          <w:color w:val="auto"/>
          <w:highlight w:val="none"/>
          <w:lang w:val="en-US" w:eastAsia="zh-CN"/>
        </w:rPr>
        <w:t>注：</w:t>
      </w:r>
      <w:r>
        <w:rPr>
          <w:rFonts w:hint="eastAsia"/>
          <w:b/>
          <w:bCs w:val="0"/>
          <w:color w:val="auto"/>
          <w:highlight w:val="none"/>
        </w:rPr>
        <w:t>承诺函格式自拟，或参照《承诺及声明函》的格式提供</w:t>
      </w:r>
      <w:r>
        <w:rPr>
          <w:rFonts w:hint="eastAsia"/>
          <w:b/>
          <w:bCs w:val="0"/>
          <w:color w:val="auto"/>
          <w:highlight w:val="none"/>
          <w:lang w:eastAsia="zh-CN"/>
        </w:rPr>
        <w:t>。</w:t>
      </w:r>
    </w:p>
    <w:p>
      <w:pPr>
        <w:pStyle w:val="46"/>
        <w:bidi w:val="0"/>
        <w:spacing w:line="520" w:lineRule="exact"/>
        <w:rPr>
          <w:rFonts w:hint="eastAsia"/>
          <w:color w:val="auto"/>
          <w:highlight w:val="none"/>
          <w:lang w:val="en-US" w:eastAsia="zh-CN"/>
        </w:rPr>
      </w:pPr>
      <w:r>
        <w:rPr>
          <w:rFonts w:hint="eastAsia"/>
          <w:color w:val="auto"/>
          <w:highlight w:val="none"/>
          <w:lang w:val="en-US" w:eastAsia="zh-CN"/>
        </w:rPr>
        <w:t>2.投标人具有健全的财务会计制度的证明材料；</w:t>
      </w:r>
    </w:p>
    <w:p>
      <w:pPr>
        <w:pStyle w:val="46"/>
        <w:bidi w:val="0"/>
        <w:spacing w:line="520" w:lineRule="exact"/>
        <w:rPr>
          <w:rFonts w:hint="default"/>
          <w:color w:val="auto"/>
          <w:highlight w:val="none"/>
          <w:lang w:val="en-US" w:eastAsia="zh-CN"/>
        </w:rPr>
      </w:pPr>
      <w:r>
        <w:rPr>
          <w:rFonts w:hint="eastAsia"/>
          <w:color w:val="auto"/>
          <w:highlight w:val="none"/>
          <w:lang w:val="en-US" w:eastAsia="zh-CN"/>
        </w:rPr>
        <w:t>(1)投标人提供2022年度经过会计师事务所审计的财务报告复印件(经审计的有效财务报告应包括报告及报告中所附的完整内容，并由注册会计师签名、盖章以及会计师事务所盖章)；</w:t>
      </w:r>
    </w:p>
    <w:p>
      <w:pPr>
        <w:pStyle w:val="46"/>
        <w:bidi w:val="0"/>
        <w:spacing w:line="520" w:lineRule="exact"/>
        <w:rPr>
          <w:rFonts w:hint="eastAsia"/>
          <w:color w:val="auto"/>
          <w:highlight w:val="none"/>
          <w:lang w:val="en-US" w:eastAsia="zh-CN"/>
        </w:rPr>
      </w:pPr>
      <w:r>
        <w:rPr>
          <w:rFonts w:hint="eastAsia"/>
          <w:color w:val="auto"/>
          <w:highlight w:val="none"/>
          <w:lang w:val="en-US" w:eastAsia="zh-CN"/>
        </w:rPr>
        <w:t>(2)投标人提供2022年度投标人内部的财务报表复印件(至少包含资产负债表)；</w:t>
      </w:r>
    </w:p>
    <w:p>
      <w:pPr>
        <w:pStyle w:val="46"/>
        <w:bidi w:val="0"/>
        <w:spacing w:line="520" w:lineRule="exact"/>
        <w:rPr>
          <w:rFonts w:hint="eastAsia"/>
          <w:color w:val="auto"/>
          <w:highlight w:val="none"/>
          <w:lang w:val="en-US" w:eastAsia="zh-CN"/>
        </w:rPr>
      </w:pPr>
      <w:r>
        <w:rPr>
          <w:rFonts w:hint="eastAsia"/>
          <w:color w:val="auto"/>
          <w:highlight w:val="none"/>
          <w:lang w:val="en-US" w:eastAsia="zh-CN"/>
        </w:rPr>
        <w:t>(3)投标人提供投标文件递交截止日前一年内银行为其出具的资信证明复印件；</w:t>
      </w:r>
    </w:p>
    <w:p>
      <w:pPr>
        <w:pStyle w:val="46"/>
        <w:bidi w:val="0"/>
        <w:spacing w:line="520" w:lineRule="exact"/>
        <w:rPr>
          <w:rFonts w:hint="eastAsia"/>
          <w:color w:val="auto"/>
          <w:highlight w:val="none"/>
          <w:lang w:val="en-US" w:eastAsia="zh-CN"/>
        </w:rPr>
      </w:pPr>
      <w:r>
        <w:rPr>
          <w:rFonts w:hint="eastAsia"/>
          <w:color w:val="auto"/>
          <w:highlight w:val="none"/>
          <w:lang w:val="en-US" w:eastAsia="zh-CN"/>
        </w:rPr>
        <w:t>(4)投标人注册时间截至投标文件递交截止日不足一年的，可提供公司章程复印件；</w:t>
      </w:r>
    </w:p>
    <w:p>
      <w:pPr>
        <w:pStyle w:val="46"/>
        <w:bidi w:val="0"/>
        <w:spacing w:line="520" w:lineRule="exact"/>
        <w:rPr>
          <w:rFonts w:hint="eastAsia" w:eastAsia="宋体"/>
          <w:color w:val="auto"/>
          <w:highlight w:val="none"/>
          <w:lang w:val="en-US" w:eastAsia="zh-CN"/>
        </w:rPr>
      </w:pPr>
      <w:r>
        <w:rPr>
          <w:rFonts w:hint="eastAsia"/>
          <w:color w:val="auto"/>
          <w:highlight w:val="none"/>
          <w:lang w:val="en-US" w:eastAsia="zh-CN"/>
        </w:rPr>
        <w:t>(5)投标人提供</w:t>
      </w:r>
      <w:r>
        <w:rPr>
          <w:rFonts w:hint="eastAsia"/>
          <w:color w:val="auto"/>
          <w:highlight w:val="none"/>
        </w:rPr>
        <w:t>具</w:t>
      </w:r>
      <w:r>
        <w:rPr>
          <w:rFonts w:hint="eastAsia"/>
          <w:color w:val="auto"/>
          <w:highlight w:val="none"/>
          <w:lang w:val="en-US" w:eastAsia="zh-CN"/>
        </w:rPr>
        <w:t>有健全的财务会计制度的</w:t>
      </w:r>
      <w:r>
        <w:rPr>
          <w:rFonts w:hint="eastAsia"/>
          <w:color w:val="auto"/>
          <w:highlight w:val="none"/>
        </w:rPr>
        <w:t>承诺函</w:t>
      </w:r>
      <w:r>
        <w:rPr>
          <w:rFonts w:hint="eastAsia"/>
          <w:color w:val="auto"/>
          <w:highlight w:val="none"/>
          <w:lang w:eastAsia="zh-CN"/>
        </w:rPr>
        <w:t>。</w:t>
      </w:r>
    </w:p>
    <w:p>
      <w:pPr>
        <w:pStyle w:val="47"/>
        <w:bidi w:val="0"/>
        <w:spacing w:line="520" w:lineRule="exact"/>
        <w:rPr>
          <w:rFonts w:hint="eastAsia"/>
          <w:color w:val="auto"/>
          <w:highlight w:val="none"/>
        </w:rPr>
      </w:pPr>
      <w:r>
        <w:rPr>
          <w:rFonts w:hint="eastAsia"/>
          <w:b/>
          <w:bCs/>
          <w:color w:val="auto"/>
          <w:highlight w:val="none"/>
          <w:lang w:val="en-US" w:eastAsia="zh-CN"/>
        </w:rPr>
        <w:t>注：具有健全的财务会计制度的证明材料中第(1)-(5)项具有同等的投标效力，投标人可根据自身实际情况选择提供其中任意一项。</w:t>
      </w:r>
    </w:p>
    <w:p>
      <w:pPr>
        <w:pStyle w:val="32"/>
        <w:numPr>
          <w:ilvl w:val="1"/>
          <w:numId w:val="27"/>
        </w:numPr>
        <w:bidi w:val="0"/>
        <w:spacing w:line="520" w:lineRule="exact"/>
        <w:rPr>
          <w:rFonts w:hint="eastAsia"/>
          <w:b/>
          <w:bCs/>
          <w:color w:val="auto"/>
          <w:highlight w:val="none"/>
        </w:rPr>
      </w:pPr>
      <w:r>
        <w:rPr>
          <w:rFonts w:hint="eastAsia"/>
          <w:b/>
          <w:bCs/>
          <w:color w:val="auto"/>
          <w:highlight w:val="none"/>
          <w:lang w:val="en-US" w:eastAsia="zh-CN"/>
        </w:rPr>
        <w:t>投标人</w:t>
      </w:r>
      <w:r>
        <w:rPr>
          <w:rFonts w:hint="eastAsia"/>
          <w:b/>
          <w:bCs/>
          <w:color w:val="auto"/>
          <w:highlight w:val="none"/>
        </w:rPr>
        <w:t>具有履行合同所必需的设备和专业技术能力</w:t>
      </w:r>
      <w:r>
        <w:rPr>
          <w:rFonts w:hint="eastAsia"/>
          <w:b/>
          <w:bCs/>
          <w:color w:val="auto"/>
          <w:highlight w:val="none"/>
          <w:lang w:val="en-US" w:eastAsia="zh-CN"/>
        </w:rPr>
        <w:t>证明材料；</w:t>
      </w:r>
    </w:p>
    <w:p>
      <w:pPr>
        <w:pStyle w:val="46"/>
        <w:bidi w:val="0"/>
        <w:spacing w:line="520" w:lineRule="exact"/>
        <w:rPr>
          <w:rFonts w:hint="eastAsia"/>
          <w:color w:val="auto"/>
          <w:highlight w:val="none"/>
          <w:lang w:val="en-US" w:eastAsia="zh-CN"/>
        </w:rPr>
      </w:pPr>
      <w:r>
        <w:rPr>
          <w:rFonts w:hint="eastAsia"/>
          <w:color w:val="auto"/>
          <w:highlight w:val="none"/>
          <w:lang w:val="en-US" w:eastAsia="zh-CN"/>
        </w:rPr>
        <w:t>提供具有履行合同所必需的设备和专业技术能力的承诺函。</w:t>
      </w:r>
    </w:p>
    <w:p>
      <w:pPr>
        <w:pStyle w:val="47"/>
        <w:bidi w:val="0"/>
        <w:spacing w:line="520" w:lineRule="exact"/>
        <w:rPr>
          <w:rFonts w:hint="eastAsia"/>
          <w:color w:val="auto"/>
          <w:highlight w:val="none"/>
          <w:lang w:val="en-US" w:eastAsia="zh-CN"/>
        </w:rPr>
      </w:pPr>
      <w:r>
        <w:rPr>
          <w:rFonts w:hint="eastAsia"/>
          <w:color w:val="auto"/>
          <w:highlight w:val="none"/>
          <w:lang w:val="en-US" w:eastAsia="zh-CN"/>
        </w:rPr>
        <w:t>注：</w:t>
      </w:r>
      <w:r>
        <w:rPr>
          <w:rFonts w:hint="eastAsia"/>
          <w:color w:val="auto"/>
          <w:highlight w:val="none"/>
        </w:rPr>
        <w:t>承诺</w:t>
      </w:r>
      <w:r>
        <w:rPr>
          <w:rFonts w:hint="eastAsia"/>
          <w:color w:val="auto"/>
          <w:highlight w:val="none"/>
          <w:lang w:val="en-US" w:eastAsia="zh-CN"/>
        </w:rPr>
        <w:t>函格式自拟，或参照《承诺及声明函》的格式提供。</w:t>
      </w:r>
    </w:p>
    <w:p>
      <w:pPr>
        <w:pStyle w:val="32"/>
        <w:numPr>
          <w:ilvl w:val="1"/>
          <w:numId w:val="27"/>
        </w:numPr>
        <w:bidi w:val="0"/>
        <w:spacing w:line="520" w:lineRule="exact"/>
        <w:rPr>
          <w:rFonts w:hint="eastAsia"/>
          <w:b/>
          <w:bCs/>
          <w:color w:val="auto"/>
          <w:highlight w:val="none"/>
        </w:rPr>
      </w:pPr>
      <w:r>
        <w:rPr>
          <w:rFonts w:hint="eastAsia"/>
          <w:b/>
          <w:bCs/>
          <w:color w:val="auto"/>
          <w:highlight w:val="none"/>
          <w:lang w:val="en-US" w:eastAsia="zh-CN"/>
        </w:rPr>
        <w:t>投标人</w:t>
      </w:r>
      <w:r>
        <w:rPr>
          <w:rFonts w:hint="eastAsia"/>
          <w:b/>
          <w:bCs/>
          <w:color w:val="auto"/>
          <w:highlight w:val="none"/>
        </w:rPr>
        <w:t>有依法缴纳税收和社会保障资金的良好记录</w:t>
      </w:r>
      <w:r>
        <w:rPr>
          <w:rFonts w:hint="eastAsia"/>
          <w:b/>
          <w:bCs/>
          <w:color w:val="auto"/>
          <w:highlight w:val="none"/>
          <w:lang w:val="en-US" w:eastAsia="zh-CN"/>
        </w:rPr>
        <w:t>的证明材料；</w:t>
      </w:r>
    </w:p>
    <w:p>
      <w:pPr>
        <w:pStyle w:val="46"/>
        <w:bidi w:val="0"/>
        <w:spacing w:line="520" w:lineRule="exact"/>
        <w:rPr>
          <w:rFonts w:hint="eastAsia"/>
          <w:color w:val="auto"/>
          <w:highlight w:val="none"/>
        </w:rPr>
      </w:pPr>
      <w:r>
        <w:rPr>
          <w:rFonts w:hint="eastAsia"/>
          <w:color w:val="auto"/>
          <w:highlight w:val="none"/>
        </w:rPr>
        <w:t>提供</w:t>
      </w:r>
      <w:r>
        <w:rPr>
          <w:rFonts w:hint="eastAsia"/>
          <w:color w:val="auto"/>
          <w:highlight w:val="none"/>
          <w:lang w:val="en-US" w:eastAsia="zh-CN"/>
        </w:rPr>
        <w:t>有</w:t>
      </w:r>
      <w:r>
        <w:rPr>
          <w:rFonts w:hint="eastAsia"/>
          <w:color w:val="auto"/>
          <w:highlight w:val="none"/>
          <w:lang w:val="zh-CN"/>
        </w:rPr>
        <w:t>依法缴纳税收和社会保障资金的良好记录</w:t>
      </w:r>
      <w:r>
        <w:rPr>
          <w:rFonts w:hint="eastAsia"/>
          <w:color w:val="auto"/>
          <w:highlight w:val="none"/>
        </w:rPr>
        <w:t>的承诺函</w:t>
      </w:r>
      <w:r>
        <w:rPr>
          <w:rFonts w:hint="eastAsia"/>
          <w:color w:val="auto"/>
          <w:highlight w:val="none"/>
          <w:lang w:eastAsia="zh-CN"/>
        </w:rPr>
        <w:t>。</w:t>
      </w:r>
    </w:p>
    <w:p>
      <w:pPr>
        <w:pStyle w:val="47"/>
        <w:bidi w:val="0"/>
        <w:spacing w:line="520" w:lineRule="exact"/>
        <w:rPr>
          <w:rFonts w:hint="eastAsia"/>
          <w:color w:val="auto"/>
          <w:highlight w:val="none"/>
        </w:rPr>
      </w:pPr>
      <w:r>
        <w:rPr>
          <w:rFonts w:hint="eastAsia"/>
          <w:color w:val="auto"/>
          <w:highlight w:val="none"/>
          <w:lang w:val="en-US" w:eastAsia="zh-CN"/>
        </w:rPr>
        <w:t>注：</w:t>
      </w:r>
      <w:r>
        <w:rPr>
          <w:rFonts w:hint="eastAsia"/>
          <w:color w:val="auto"/>
          <w:highlight w:val="none"/>
        </w:rPr>
        <w:t>承诺</w:t>
      </w:r>
      <w:r>
        <w:rPr>
          <w:rFonts w:hint="eastAsia"/>
          <w:color w:val="auto"/>
          <w:highlight w:val="none"/>
          <w:lang w:val="en-US" w:eastAsia="zh-CN"/>
        </w:rPr>
        <w:t>函格式自拟，或参照《承诺及声明函》的格式提供。</w:t>
      </w:r>
    </w:p>
    <w:p>
      <w:pPr>
        <w:pStyle w:val="32"/>
        <w:numPr>
          <w:ilvl w:val="1"/>
          <w:numId w:val="27"/>
        </w:numPr>
        <w:bidi w:val="0"/>
        <w:spacing w:line="520" w:lineRule="exact"/>
        <w:rPr>
          <w:rFonts w:hint="eastAsia"/>
          <w:b/>
          <w:bCs/>
          <w:color w:val="auto"/>
          <w:highlight w:val="none"/>
          <w:lang w:eastAsia="zh-CN"/>
        </w:rPr>
      </w:pPr>
      <w:r>
        <w:rPr>
          <w:rFonts w:hint="eastAsia"/>
          <w:b/>
          <w:bCs/>
          <w:color w:val="auto"/>
          <w:highlight w:val="none"/>
          <w:lang w:val="en-US" w:eastAsia="zh-CN"/>
        </w:rPr>
        <w:t>投标人参加采购活动前三年内，在经营活动中没有重大违法记录的证明材料；</w:t>
      </w:r>
    </w:p>
    <w:p>
      <w:pPr>
        <w:pStyle w:val="46"/>
        <w:bidi w:val="0"/>
        <w:spacing w:line="520" w:lineRule="exact"/>
        <w:rPr>
          <w:rFonts w:hint="eastAsia"/>
          <w:color w:val="auto"/>
          <w:highlight w:val="none"/>
          <w:lang w:val="en-US" w:eastAsia="zh-CN"/>
        </w:rPr>
      </w:pPr>
      <w:r>
        <w:rPr>
          <w:rFonts w:hint="eastAsia"/>
          <w:color w:val="auto"/>
          <w:highlight w:val="none"/>
          <w:lang w:val="en-US" w:eastAsia="zh-CN"/>
        </w:rPr>
        <w:t>提供参加本次采购活动前三年内，在经营活动中没有重大违法记录的书面声明(成立不足三年的，从成立之日起计算)。</w:t>
      </w:r>
    </w:p>
    <w:p>
      <w:pPr>
        <w:pStyle w:val="47"/>
        <w:rPr>
          <w:rFonts w:hint="eastAsia"/>
          <w:color w:val="auto"/>
          <w:highlight w:val="none"/>
          <w:lang w:val="en-US" w:eastAsia="zh-CN"/>
        </w:rPr>
      </w:pPr>
      <w:r>
        <w:rPr>
          <w:rFonts w:hint="eastAsia"/>
          <w:color w:val="auto"/>
          <w:highlight w:val="none"/>
          <w:lang w:val="en-US" w:eastAsia="zh-CN"/>
        </w:rPr>
        <w:t>注：</w:t>
      </w:r>
      <w:r>
        <w:rPr>
          <w:rFonts w:hint="eastAsia"/>
          <w:color w:val="auto"/>
          <w:highlight w:val="none"/>
        </w:rPr>
        <w:t>承诺</w:t>
      </w:r>
      <w:r>
        <w:rPr>
          <w:rFonts w:hint="eastAsia"/>
          <w:color w:val="auto"/>
          <w:highlight w:val="none"/>
          <w:lang w:val="en-US" w:eastAsia="zh-CN"/>
        </w:rPr>
        <w:t>函格式自拟，或参照《承诺及声明函》的格式提供。</w:t>
      </w:r>
    </w:p>
    <w:p>
      <w:pPr>
        <w:pStyle w:val="32"/>
        <w:numPr>
          <w:ilvl w:val="1"/>
          <w:numId w:val="27"/>
        </w:numPr>
        <w:bidi w:val="0"/>
        <w:spacing w:line="520" w:lineRule="exact"/>
        <w:rPr>
          <w:rFonts w:hint="eastAsia" w:ascii="宋体" w:hAnsi="宋体" w:eastAsia="宋体" w:cs="宋体"/>
          <w:b/>
          <w:bCs/>
          <w:color w:val="auto"/>
          <w:highlight w:val="none"/>
        </w:rPr>
      </w:pPr>
      <w:r>
        <w:rPr>
          <w:rFonts w:hint="eastAsia"/>
          <w:b/>
          <w:bCs/>
          <w:color w:val="auto"/>
          <w:highlight w:val="none"/>
          <w:lang w:val="en-US" w:eastAsia="zh-CN"/>
        </w:rPr>
        <w:t>投标</w:t>
      </w:r>
      <w:r>
        <w:rPr>
          <w:rFonts w:hint="eastAsia" w:ascii="宋体" w:hAnsi="宋体" w:eastAsia="宋体" w:cs="宋体"/>
          <w:b/>
          <w:bCs/>
          <w:color w:val="auto"/>
          <w:highlight w:val="none"/>
          <w:lang w:val="en-US" w:eastAsia="zh-CN"/>
        </w:rPr>
        <w:t>人</w:t>
      </w:r>
      <w:r>
        <w:rPr>
          <w:rFonts w:hint="eastAsia" w:ascii="宋体" w:hAnsi="宋体" w:eastAsia="宋体" w:cs="宋体"/>
          <w:b/>
          <w:bCs/>
          <w:color w:val="auto"/>
          <w:highlight w:val="none"/>
          <w:lang w:val="zh-CN" w:eastAsia="zh-CN"/>
        </w:rPr>
        <w:t>及其现任法定代表人、主要负责人不得具有行贿犯罪记录</w:t>
      </w:r>
      <w:r>
        <w:rPr>
          <w:rFonts w:hint="eastAsia" w:ascii="宋体" w:hAnsi="宋体" w:eastAsia="宋体" w:cs="宋体"/>
          <w:b/>
          <w:bCs/>
          <w:color w:val="auto"/>
          <w:highlight w:val="none"/>
          <w:lang w:val="en-US" w:eastAsia="zh-CN"/>
        </w:rPr>
        <w:t>的证明材料</w:t>
      </w:r>
      <w:r>
        <w:rPr>
          <w:rFonts w:hint="eastAsia" w:ascii="宋体" w:hAnsi="宋体" w:eastAsia="宋体" w:cs="宋体"/>
          <w:b/>
          <w:bCs/>
          <w:color w:val="auto"/>
          <w:highlight w:val="none"/>
          <w:lang w:val="zh-CN" w:eastAsia="zh-CN"/>
        </w:rPr>
        <w:t>；</w:t>
      </w:r>
    </w:p>
    <w:p>
      <w:pPr>
        <w:pStyle w:val="47"/>
        <w:bidi w:val="0"/>
        <w:spacing w:line="520" w:lineRule="exact"/>
        <w:jc w:val="both"/>
        <w:rPr>
          <w:rFonts w:hint="eastAsia"/>
          <w:b w:val="0"/>
          <w:bCs/>
          <w:color w:val="auto"/>
          <w:highlight w:val="none"/>
          <w:lang w:val="en-US" w:eastAsia="zh-CN"/>
        </w:rPr>
      </w:pPr>
      <w:r>
        <w:rPr>
          <w:rFonts w:hint="eastAsia"/>
          <w:b w:val="0"/>
          <w:bCs/>
          <w:color w:val="auto"/>
          <w:highlight w:val="none"/>
          <w:lang w:val="en-US" w:eastAsia="zh-CN"/>
        </w:rPr>
        <w:t>1.在投标文件中作出投标人及其现任法定代表人(姓名和身份证号码)、主要负责人(姓名和身份证号码)10年内(</w:t>
      </w:r>
      <w:r>
        <w:rPr>
          <w:rFonts w:hint="eastAsia"/>
          <w:b w:val="0"/>
          <w:bCs/>
          <w:color w:val="auto"/>
          <w:highlight w:val="none"/>
          <w:lang w:val="zh-CN" w:eastAsia="zh-CN"/>
        </w:rPr>
        <w:t>若</w:t>
      </w:r>
      <w:r>
        <w:rPr>
          <w:rFonts w:hint="eastAsia"/>
          <w:b w:val="0"/>
          <w:bCs/>
          <w:color w:val="auto"/>
          <w:highlight w:val="none"/>
          <w:lang w:val="en-US" w:eastAsia="zh-CN"/>
        </w:rPr>
        <w:t>供应商</w:t>
      </w:r>
      <w:r>
        <w:rPr>
          <w:rFonts w:hint="eastAsia"/>
          <w:b w:val="0"/>
          <w:bCs/>
          <w:color w:val="auto"/>
          <w:highlight w:val="none"/>
          <w:lang w:val="zh-CN" w:eastAsia="zh-CN"/>
        </w:rPr>
        <w:t>成立不足10年的，</w:t>
      </w:r>
      <w:r>
        <w:rPr>
          <w:rFonts w:hint="eastAsia"/>
          <w:b w:val="0"/>
          <w:bCs/>
          <w:color w:val="auto"/>
          <w:highlight w:val="none"/>
          <w:lang w:val="en-US" w:eastAsia="zh-CN"/>
        </w:rPr>
        <w:t>承诺期限为</w:t>
      </w:r>
      <w:r>
        <w:rPr>
          <w:rFonts w:hint="eastAsia"/>
          <w:b w:val="0"/>
          <w:bCs/>
          <w:color w:val="auto"/>
          <w:highlight w:val="none"/>
          <w:lang w:val="zh-CN" w:eastAsia="zh-CN"/>
        </w:rPr>
        <w:t>成立之日起</w:t>
      </w:r>
      <w:r>
        <w:rPr>
          <w:rFonts w:hint="eastAsia"/>
          <w:b w:val="0"/>
          <w:bCs/>
          <w:color w:val="auto"/>
          <w:highlight w:val="none"/>
          <w:lang w:val="en-US" w:eastAsia="zh-CN"/>
        </w:rPr>
        <w:t>至今)无行贿犯罪记录的承诺；</w:t>
      </w:r>
    </w:p>
    <w:p>
      <w:pPr>
        <w:pStyle w:val="47"/>
        <w:bidi w:val="0"/>
        <w:spacing w:line="520" w:lineRule="exact"/>
        <w:jc w:val="both"/>
        <w:rPr>
          <w:rFonts w:hint="eastAsia"/>
          <w:b w:val="0"/>
          <w:bCs/>
          <w:color w:val="auto"/>
          <w:highlight w:val="none"/>
          <w:lang w:val="zh-CN" w:eastAsia="zh-CN"/>
        </w:rPr>
      </w:pPr>
      <w:r>
        <w:rPr>
          <w:rFonts w:hint="eastAsia"/>
          <w:b w:val="0"/>
          <w:bCs/>
          <w:color w:val="auto"/>
          <w:highlight w:val="none"/>
          <w:lang w:val="en-US" w:eastAsia="zh-CN"/>
        </w:rPr>
        <w:t>2.投标人未提供有效承诺函的，则需要在投标文件中书面载明其“现任法定代表人”(姓名和身份证号码)、“主要负责人”(姓名和身份证号码)信息，由采购代理机构通过“中国裁判文书网”查询，并将查询记录存档，查询结果与承诺函具有同等效力</w:t>
      </w:r>
      <w:r>
        <w:rPr>
          <w:rFonts w:hint="eastAsia"/>
          <w:b w:val="0"/>
          <w:bCs/>
          <w:color w:val="auto"/>
          <w:highlight w:val="none"/>
          <w:lang w:val="zh-CN" w:eastAsia="zh-CN"/>
        </w:rPr>
        <w:t>。</w:t>
      </w:r>
    </w:p>
    <w:p>
      <w:pPr>
        <w:pStyle w:val="63"/>
        <w:keepNext w:val="0"/>
        <w:keepLines w:val="0"/>
        <w:pageBreakBefore w:val="0"/>
        <w:widowControl w:val="0"/>
        <w:numPr>
          <w:ilvl w:val="3"/>
          <w:numId w:val="0"/>
        </w:numPr>
        <w:kinsoku/>
        <w:wordWrap w:val="0"/>
        <w:overflowPunct/>
        <w:topLinePunct/>
        <w:autoSpaceDE/>
        <w:autoSpaceDN/>
        <w:bidi w:val="0"/>
        <w:adjustRightInd w:val="0"/>
        <w:snapToGrid w:val="0"/>
        <w:spacing w:line="520" w:lineRule="exact"/>
        <w:ind w:leftChars="0" w:firstLine="482" w:firstLineChars="200"/>
        <w:textAlignment w:val="auto"/>
        <w:rPr>
          <w:rFonts w:hint="default"/>
          <w:b/>
          <w:bCs/>
          <w:color w:val="auto"/>
          <w:highlight w:val="none"/>
          <w:lang w:val="en-US" w:eastAsia="zh-CN"/>
        </w:rPr>
      </w:pPr>
      <w:r>
        <w:rPr>
          <w:rFonts w:hint="eastAsia"/>
          <w:b/>
          <w:bCs/>
          <w:color w:val="auto"/>
          <w:highlight w:val="none"/>
          <w:lang w:val="en-US" w:eastAsia="zh-CN"/>
        </w:rPr>
        <w:t>注：</w:t>
      </w:r>
      <w:r>
        <w:rPr>
          <w:rFonts w:hint="eastAsia"/>
          <w:b/>
          <w:bCs/>
          <w:color w:val="auto"/>
          <w:highlight w:val="none"/>
          <w:lang w:eastAsia="zh-CN"/>
        </w:rPr>
        <w:t>①</w:t>
      </w:r>
      <w:r>
        <w:rPr>
          <w:rFonts w:hint="eastAsia"/>
          <w:b/>
          <w:bCs/>
          <w:color w:val="auto"/>
          <w:highlight w:val="none"/>
          <w:lang w:val="en-US" w:eastAsia="zh-CN"/>
        </w:rPr>
        <w:t>投标人采用提供承诺函方式响应的，其内容必须符合上述第1款的要求，否则将视为无效承诺；</w:t>
      </w:r>
      <w:r>
        <w:rPr>
          <w:rFonts w:hint="eastAsia"/>
          <w:b/>
          <w:bCs/>
          <w:color w:val="auto"/>
          <w:highlight w:val="none"/>
          <w:lang w:eastAsia="zh-CN"/>
        </w:rPr>
        <w:t>②</w:t>
      </w:r>
      <w:r>
        <w:rPr>
          <w:rFonts w:hint="eastAsia"/>
          <w:b/>
          <w:bCs/>
          <w:color w:val="auto"/>
          <w:highlight w:val="none"/>
          <w:lang w:val="en-US" w:eastAsia="zh-CN"/>
        </w:rPr>
        <w:t>如投标人未提供有效承诺函，且未</w:t>
      </w:r>
      <w:r>
        <w:rPr>
          <w:rFonts w:hint="eastAsia"/>
          <w:b/>
          <w:bCs w:val="0"/>
          <w:color w:val="auto"/>
          <w:highlight w:val="none"/>
          <w:lang w:val="en-US" w:eastAsia="zh-CN"/>
        </w:rPr>
        <w:t>在投标文件中书面载明</w:t>
      </w:r>
      <w:r>
        <w:rPr>
          <w:rFonts w:hint="eastAsia"/>
          <w:b/>
          <w:bCs/>
          <w:color w:val="auto"/>
          <w:highlight w:val="none"/>
          <w:lang w:val="en-US" w:eastAsia="zh-CN"/>
        </w:rPr>
        <w:t>其“现任法定代表人”(姓名和身份证号码)、“主要负责人”(姓名和身份证号码)信息的，将被视为无效投标。</w:t>
      </w:r>
    </w:p>
    <w:p>
      <w:pPr>
        <w:pStyle w:val="32"/>
        <w:numPr>
          <w:ilvl w:val="1"/>
          <w:numId w:val="27"/>
        </w:numPr>
        <w:bidi w:val="0"/>
        <w:spacing w:line="520" w:lineRule="exact"/>
        <w:rPr>
          <w:rFonts w:hint="eastAsia"/>
          <w:b/>
          <w:bCs/>
          <w:color w:val="auto"/>
          <w:highlight w:val="none"/>
        </w:rPr>
      </w:pPr>
      <w:r>
        <w:rPr>
          <w:rFonts w:hint="eastAsia"/>
          <w:b/>
          <w:bCs/>
          <w:color w:val="auto"/>
          <w:highlight w:val="none"/>
        </w:rPr>
        <w:t>法定代表人</w:t>
      </w:r>
      <w:r>
        <w:rPr>
          <w:rFonts w:hint="eastAsia"/>
          <w:b/>
          <w:bCs/>
          <w:color w:val="auto"/>
          <w:highlight w:val="none"/>
          <w:lang w:val="en-US" w:eastAsia="zh-CN"/>
        </w:rPr>
        <w:t>/单位负责人</w:t>
      </w:r>
      <w:r>
        <w:rPr>
          <w:rFonts w:hint="eastAsia"/>
          <w:b/>
          <w:bCs/>
          <w:color w:val="auto"/>
          <w:highlight w:val="none"/>
        </w:rPr>
        <w:t>授权书原件</w:t>
      </w:r>
      <w:r>
        <w:rPr>
          <w:rFonts w:hint="eastAsia"/>
          <w:b/>
          <w:bCs/>
          <w:color w:val="auto"/>
          <w:highlight w:val="none"/>
          <w:lang w:val="en-US" w:eastAsia="zh-CN"/>
        </w:rPr>
        <w:t>；</w:t>
      </w:r>
    </w:p>
    <w:p>
      <w:pPr>
        <w:pStyle w:val="47"/>
        <w:bidi w:val="0"/>
        <w:spacing w:line="520" w:lineRule="exact"/>
        <w:rPr>
          <w:rFonts w:hint="eastAsia"/>
          <w:color w:val="auto"/>
          <w:highlight w:val="none"/>
          <w:lang w:eastAsia="zh-CN"/>
        </w:rPr>
      </w:pPr>
      <w:r>
        <w:rPr>
          <w:rFonts w:hint="eastAsia"/>
          <w:color w:val="auto"/>
          <w:highlight w:val="none"/>
          <w:lang w:val="en-US" w:eastAsia="zh-CN"/>
        </w:rPr>
        <w:t>注：</w:t>
      </w:r>
      <w:r>
        <w:rPr>
          <w:rFonts w:hint="eastAsia"/>
          <w:color w:val="auto"/>
          <w:highlight w:val="none"/>
          <w:lang w:eastAsia="zh-CN"/>
        </w:rPr>
        <w:t>①附法定代表人</w:t>
      </w:r>
      <w:r>
        <w:rPr>
          <w:rFonts w:hint="eastAsia"/>
          <w:color w:val="auto"/>
          <w:highlight w:val="none"/>
          <w:lang w:val="en-US" w:eastAsia="zh-CN"/>
        </w:rPr>
        <w:t>/单位负责人</w:t>
      </w:r>
      <w:r>
        <w:rPr>
          <w:rFonts w:hint="eastAsia"/>
          <w:color w:val="auto"/>
          <w:highlight w:val="none"/>
          <w:lang w:eastAsia="zh-CN"/>
        </w:rPr>
        <w:t>和被授权人身份证正反面复印件；②法定代表人</w:t>
      </w:r>
      <w:r>
        <w:rPr>
          <w:rFonts w:hint="eastAsia"/>
          <w:color w:val="auto"/>
          <w:highlight w:val="none"/>
          <w:lang w:val="en-US" w:eastAsia="zh-CN"/>
        </w:rPr>
        <w:t>/单位负责人亲自</w:t>
      </w:r>
      <w:r>
        <w:rPr>
          <w:rFonts w:hint="eastAsia"/>
          <w:color w:val="auto"/>
          <w:highlight w:val="none"/>
          <w:lang w:eastAsia="zh-CN"/>
        </w:rPr>
        <w:t>参与</w:t>
      </w:r>
      <w:r>
        <w:rPr>
          <w:rFonts w:hint="eastAsia"/>
          <w:color w:val="auto"/>
          <w:highlight w:val="none"/>
          <w:lang w:val="en-US" w:eastAsia="zh-CN"/>
        </w:rPr>
        <w:t>投标</w:t>
      </w:r>
      <w:r>
        <w:rPr>
          <w:rFonts w:hint="eastAsia"/>
          <w:color w:val="auto"/>
          <w:highlight w:val="none"/>
          <w:lang w:eastAsia="zh-CN"/>
        </w:rPr>
        <w:t>时不需要提供。</w:t>
      </w:r>
    </w:p>
    <w:p>
      <w:pPr>
        <w:pStyle w:val="32"/>
        <w:numPr>
          <w:ilvl w:val="1"/>
          <w:numId w:val="27"/>
        </w:numPr>
        <w:bidi w:val="0"/>
        <w:spacing w:line="520" w:lineRule="exact"/>
        <w:rPr>
          <w:rFonts w:hint="eastAsia"/>
          <w:b/>
          <w:bCs/>
          <w:color w:val="auto"/>
          <w:highlight w:val="none"/>
        </w:rPr>
      </w:pPr>
      <w:r>
        <w:rPr>
          <w:rFonts w:hint="eastAsia"/>
          <w:b/>
          <w:bCs/>
          <w:color w:val="auto"/>
          <w:highlight w:val="none"/>
        </w:rPr>
        <w:t>法定代表人</w:t>
      </w:r>
      <w:r>
        <w:rPr>
          <w:rFonts w:hint="eastAsia"/>
          <w:b/>
          <w:bCs/>
          <w:color w:val="auto"/>
          <w:highlight w:val="none"/>
          <w:lang w:val="en-US" w:eastAsia="zh-CN"/>
        </w:rPr>
        <w:t>/单位负责人</w:t>
      </w:r>
      <w:r>
        <w:rPr>
          <w:rFonts w:hint="eastAsia"/>
          <w:b/>
          <w:bCs/>
          <w:color w:val="auto"/>
          <w:highlight w:val="none"/>
        </w:rPr>
        <w:t>证明书</w:t>
      </w:r>
      <w:r>
        <w:rPr>
          <w:rFonts w:hint="eastAsia"/>
          <w:b/>
          <w:bCs/>
          <w:color w:val="auto"/>
          <w:highlight w:val="none"/>
          <w:lang w:val="en-US" w:eastAsia="zh-CN"/>
        </w:rPr>
        <w:t>；</w:t>
      </w:r>
    </w:p>
    <w:p>
      <w:pPr>
        <w:pStyle w:val="47"/>
        <w:bidi w:val="0"/>
        <w:spacing w:line="520" w:lineRule="exact"/>
        <w:rPr>
          <w:rFonts w:hint="eastAsia"/>
          <w:color w:val="auto"/>
          <w:highlight w:val="none"/>
          <w:lang w:val="en-US" w:eastAsia="zh-CN"/>
        </w:rPr>
      </w:pPr>
      <w:r>
        <w:rPr>
          <w:rFonts w:hint="eastAsia"/>
          <w:color w:val="auto"/>
          <w:highlight w:val="none"/>
          <w:lang w:val="en-US" w:eastAsia="zh-CN"/>
        </w:rPr>
        <w:t>注：①</w:t>
      </w:r>
      <w:r>
        <w:rPr>
          <w:rFonts w:hint="eastAsia"/>
          <w:color w:val="auto"/>
          <w:highlight w:val="none"/>
          <w:lang w:eastAsia="zh-CN"/>
        </w:rPr>
        <w:t>附</w:t>
      </w:r>
      <w:r>
        <w:rPr>
          <w:rFonts w:hint="eastAsia"/>
          <w:color w:val="auto"/>
          <w:highlight w:val="none"/>
          <w:lang w:val="en-US" w:eastAsia="zh-CN"/>
        </w:rPr>
        <w:t>法定代表人/单位负责人身份证正反面复印件；②法定代表人/单位负责人亲自参加投标时提供本证明书。</w:t>
      </w:r>
    </w:p>
    <w:p>
      <w:pPr>
        <w:pStyle w:val="32"/>
        <w:numPr>
          <w:ilvl w:val="1"/>
          <w:numId w:val="27"/>
        </w:numPr>
        <w:bidi w:val="0"/>
        <w:spacing w:line="520" w:lineRule="exact"/>
        <w:rPr>
          <w:rFonts w:hint="eastAsia"/>
          <w:b/>
          <w:bCs/>
          <w:color w:val="auto"/>
          <w:highlight w:val="none"/>
        </w:rPr>
      </w:pPr>
      <w:r>
        <w:rPr>
          <w:rFonts w:hint="eastAsia"/>
          <w:b/>
          <w:bCs/>
          <w:color w:val="auto"/>
          <w:highlight w:val="none"/>
          <w:lang w:val="en-US" w:eastAsia="zh-CN"/>
        </w:rPr>
        <w:t>法律、</w:t>
      </w:r>
      <w:r>
        <w:rPr>
          <w:rFonts w:hint="eastAsia"/>
          <w:b/>
          <w:bCs/>
          <w:color w:val="auto"/>
          <w:highlight w:val="none"/>
          <w:lang w:val="en-US" w:eastAsia="zh-CN"/>
        </w:rPr>
        <w:fldChar w:fldCharType="begin"/>
      </w:r>
      <w:r>
        <w:rPr>
          <w:rFonts w:hint="eastAsia"/>
          <w:b/>
          <w:bCs/>
          <w:color w:val="auto"/>
          <w:highlight w:val="none"/>
          <w:lang w:val="en-US" w:eastAsia="zh-CN"/>
        </w:rPr>
        <w:instrText xml:space="preserve"> HYPERLINK "http://www.lawtime.cn/info/sifakaoshi/xingzhengfa/" \t "_blank" </w:instrText>
      </w:r>
      <w:r>
        <w:rPr>
          <w:rFonts w:hint="eastAsia"/>
          <w:b/>
          <w:bCs/>
          <w:color w:val="auto"/>
          <w:highlight w:val="none"/>
          <w:lang w:val="en-US" w:eastAsia="zh-CN"/>
        </w:rPr>
        <w:fldChar w:fldCharType="separate"/>
      </w:r>
      <w:r>
        <w:rPr>
          <w:rFonts w:hint="eastAsia"/>
          <w:b/>
          <w:bCs/>
          <w:color w:val="auto"/>
          <w:highlight w:val="none"/>
          <w:lang w:val="en-US" w:eastAsia="zh-CN"/>
        </w:rPr>
        <w:t>行政法</w:t>
      </w:r>
      <w:r>
        <w:rPr>
          <w:rFonts w:hint="eastAsia"/>
          <w:b/>
          <w:bCs/>
          <w:color w:val="auto"/>
          <w:highlight w:val="none"/>
          <w:lang w:val="en-US" w:eastAsia="zh-CN"/>
        </w:rPr>
        <w:fldChar w:fldCharType="end"/>
      </w:r>
      <w:r>
        <w:rPr>
          <w:rFonts w:hint="eastAsia"/>
          <w:b/>
          <w:bCs/>
          <w:color w:val="auto"/>
          <w:highlight w:val="none"/>
          <w:lang w:val="en-US" w:eastAsia="zh-CN"/>
        </w:rPr>
        <w:t>规规定的其他条件的证明材料；</w:t>
      </w:r>
    </w:p>
    <w:p>
      <w:pPr>
        <w:pStyle w:val="46"/>
        <w:bidi w:val="0"/>
        <w:spacing w:line="520" w:lineRule="exact"/>
        <w:rPr>
          <w:rFonts w:hint="eastAsia"/>
          <w:color w:val="auto"/>
          <w:highlight w:val="none"/>
          <w:lang w:val="en-US" w:eastAsia="zh-CN"/>
        </w:rPr>
      </w:pPr>
      <w:r>
        <w:rPr>
          <w:rFonts w:hint="eastAsia"/>
          <w:color w:val="auto"/>
          <w:highlight w:val="none"/>
          <w:lang w:val="en-US" w:eastAsia="zh-CN"/>
        </w:rPr>
        <w:t>提供符合法律、</w:t>
      </w:r>
      <w:r>
        <w:rPr>
          <w:rFonts w:hint="eastAsia"/>
          <w:color w:val="auto"/>
          <w:highlight w:val="none"/>
          <w:lang w:val="en-US" w:eastAsia="zh-CN"/>
        </w:rPr>
        <w:fldChar w:fldCharType="begin"/>
      </w:r>
      <w:r>
        <w:rPr>
          <w:rFonts w:hint="eastAsia"/>
          <w:color w:val="auto"/>
          <w:highlight w:val="none"/>
          <w:lang w:val="en-US" w:eastAsia="zh-CN"/>
        </w:rPr>
        <w:instrText xml:space="preserve"> HYPERLINK "http://www.lawtime.cn/info/sifakaoshi/xingzhengfa/" \t "_blank" </w:instrText>
      </w:r>
      <w:r>
        <w:rPr>
          <w:rFonts w:hint="eastAsia"/>
          <w:color w:val="auto"/>
          <w:highlight w:val="none"/>
          <w:lang w:val="en-US" w:eastAsia="zh-CN"/>
        </w:rPr>
        <w:fldChar w:fldCharType="separate"/>
      </w:r>
      <w:r>
        <w:rPr>
          <w:rFonts w:hint="eastAsia"/>
          <w:color w:val="auto"/>
          <w:highlight w:val="none"/>
          <w:lang w:val="en-US" w:eastAsia="zh-CN"/>
        </w:rPr>
        <w:t>行政法</w:t>
      </w:r>
      <w:r>
        <w:rPr>
          <w:rFonts w:hint="eastAsia"/>
          <w:color w:val="auto"/>
          <w:highlight w:val="none"/>
          <w:lang w:val="en-US" w:eastAsia="zh-CN"/>
        </w:rPr>
        <w:fldChar w:fldCharType="end"/>
      </w:r>
      <w:r>
        <w:rPr>
          <w:rFonts w:hint="eastAsia"/>
          <w:color w:val="auto"/>
          <w:highlight w:val="none"/>
          <w:lang w:val="en-US" w:eastAsia="zh-CN"/>
        </w:rPr>
        <w:t>规规定的其他条件的承诺函。</w:t>
      </w:r>
    </w:p>
    <w:p>
      <w:pPr>
        <w:pStyle w:val="47"/>
        <w:rPr>
          <w:rFonts w:hint="eastAsia"/>
          <w:color w:val="auto"/>
          <w:highlight w:val="none"/>
          <w:lang w:val="en-US" w:eastAsia="zh-CN"/>
        </w:rPr>
      </w:pPr>
      <w:r>
        <w:rPr>
          <w:rFonts w:hint="eastAsia"/>
          <w:color w:val="auto"/>
          <w:highlight w:val="none"/>
          <w:lang w:val="en-US" w:eastAsia="zh-CN"/>
        </w:rPr>
        <w:t>注：</w:t>
      </w:r>
      <w:r>
        <w:rPr>
          <w:rFonts w:hint="eastAsia"/>
          <w:color w:val="auto"/>
          <w:highlight w:val="none"/>
        </w:rPr>
        <w:t>承诺</w:t>
      </w:r>
      <w:r>
        <w:rPr>
          <w:rFonts w:hint="eastAsia"/>
          <w:color w:val="auto"/>
          <w:highlight w:val="none"/>
          <w:lang w:val="en-US" w:eastAsia="zh-CN"/>
        </w:rPr>
        <w:t>函格式自拟，或参照《承诺及声明函》的格式提供。</w:t>
      </w:r>
    </w:p>
    <w:p>
      <w:pPr>
        <w:pStyle w:val="32"/>
        <w:numPr>
          <w:ilvl w:val="1"/>
          <w:numId w:val="27"/>
        </w:numPr>
        <w:bidi w:val="0"/>
        <w:spacing w:line="520" w:lineRule="exact"/>
        <w:rPr>
          <w:rFonts w:hint="eastAsia"/>
          <w:b/>
          <w:bCs/>
          <w:color w:val="auto"/>
          <w:highlight w:val="none"/>
          <w:lang w:val="zh-CN"/>
        </w:rPr>
      </w:pPr>
      <w:r>
        <w:rPr>
          <w:rFonts w:hint="eastAsia"/>
          <w:b/>
          <w:bCs/>
          <w:color w:val="auto"/>
          <w:highlight w:val="none"/>
          <w:lang w:val="en-US" w:eastAsia="zh-CN"/>
        </w:rPr>
        <w:t>根据</w:t>
      </w:r>
      <w:r>
        <w:rPr>
          <w:rFonts w:hint="eastAsia"/>
          <w:b/>
          <w:bCs/>
          <w:color w:val="auto"/>
          <w:highlight w:val="none"/>
        </w:rPr>
        <w:t>采购项目的特殊要求，规定供应商的特定条件</w:t>
      </w:r>
      <w:r>
        <w:rPr>
          <w:rFonts w:hint="eastAsia"/>
          <w:b/>
          <w:bCs/>
          <w:color w:val="auto"/>
          <w:highlight w:val="none"/>
          <w:lang w:val="en-US" w:eastAsia="zh-CN"/>
        </w:rPr>
        <w:t>的证明材料；</w:t>
      </w:r>
    </w:p>
    <w:p>
      <w:pPr>
        <w:pStyle w:val="42"/>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outlineLvl w:val="9"/>
        <w:rPr>
          <w:rFonts w:hint="eastAsia" w:ascii="宋体" w:hAnsi="宋体" w:eastAsia="宋体" w:cstheme="minorBidi"/>
          <w:snapToGrid/>
          <w:color w:val="auto"/>
          <w:kern w:val="2"/>
          <w:sz w:val="24"/>
          <w:szCs w:val="24"/>
          <w:highlight w:val="none"/>
          <w:lang w:val="en-US" w:eastAsia="zh-CN" w:bidi="ar-SA"/>
        </w:rPr>
      </w:pPr>
      <w:r>
        <w:rPr>
          <w:rFonts w:hint="eastAsia" w:ascii="宋体" w:hAnsi="宋体" w:eastAsia="宋体" w:cstheme="minorBidi"/>
          <w:snapToGrid/>
          <w:color w:val="auto"/>
          <w:kern w:val="2"/>
          <w:sz w:val="24"/>
          <w:szCs w:val="24"/>
          <w:highlight w:val="none"/>
          <w:lang w:val="en-US" w:eastAsia="zh-CN" w:bidi="ar-SA"/>
        </w:rPr>
        <w:t>提供未与其他供应商组成联合体参加本项目投标的承诺函。</w:t>
      </w:r>
    </w:p>
    <w:p>
      <w:pPr>
        <w:pStyle w:val="47"/>
        <w:rPr>
          <w:rFonts w:hint="eastAsia"/>
          <w:color w:val="auto"/>
          <w:highlight w:val="none"/>
          <w:lang w:val="en-US" w:eastAsia="zh-CN"/>
        </w:rPr>
      </w:pPr>
      <w:r>
        <w:rPr>
          <w:rFonts w:hint="eastAsia"/>
          <w:color w:val="auto"/>
          <w:highlight w:val="none"/>
          <w:lang w:val="en-US" w:eastAsia="zh-CN"/>
        </w:rPr>
        <w:t>注：</w:t>
      </w:r>
      <w:r>
        <w:rPr>
          <w:rFonts w:hint="eastAsia"/>
          <w:color w:val="auto"/>
          <w:highlight w:val="none"/>
        </w:rPr>
        <w:t>承诺</w:t>
      </w:r>
      <w:r>
        <w:rPr>
          <w:rFonts w:hint="eastAsia"/>
          <w:color w:val="auto"/>
          <w:highlight w:val="none"/>
          <w:lang w:val="en-US" w:eastAsia="zh-CN"/>
        </w:rPr>
        <w:t>函格式自拟，或参照《承诺及声明函》的格式提供。</w:t>
      </w:r>
    </w:p>
    <w:p>
      <w:pPr>
        <w:pStyle w:val="32"/>
        <w:numPr>
          <w:ilvl w:val="1"/>
          <w:numId w:val="27"/>
        </w:numPr>
        <w:bidi w:val="0"/>
        <w:spacing w:line="52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提供有效的投标保证金提交凭证</w:t>
      </w:r>
    </w:p>
    <w:p>
      <w:pPr>
        <w:pStyle w:val="46"/>
        <w:rPr>
          <w:rFonts w:hint="eastAsia" w:ascii="宋体" w:hAnsi="宋体" w:eastAsia="宋体" w:cs="宋体"/>
          <w:bCs/>
          <w:color w:val="auto"/>
          <w:highlight w:val="none"/>
        </w:rPr>
      </w:pPr>
      <w:r>
        <w:rPr>
          <w:rFonts w:hint="eastAsia" w:ascii="宋体" w:hAnsi="宋体" w:eastAsia="宋体" w:cs="宋体"/>
          <w:bCs/>
          <w:color w:val="auto"/>
          <w:highlight w:val="none"/>
        </w:rPr>
        <w:t>①提交投标保证金的银行回单复印件；</w:t>
      </w:r>
    </w:p>
    <w:p>
      <w:pPr>
        <w:pStyle w:val="46"/>
        <w:rPr>
          <w:rFonts w:hint="eastAsia" w:ascii="宋体" w:hAnsi="宋体" w:eastAsia="宋体" w:cs="宋体"/>
          <w:color w:val="auto"/>
          <w:highlight w:val="none"/>
        </w:rPr>
      </w:pPr>
      <w:r>
        <w:rPr>
          <w:rFonts w:hint="eastAsia" w:ascii="宋体" w:hAnsi="宋体" w:eastAsia="宋体" w:cs="宋体"/>
          <w:bCs/>
          <w:color w:val="auto"/>
          <w:highlight w:val="none"/>
        </w:rPr>
        <w:t>②若以保函方式提交投标保证金的，提供保函原件。</w:t>
      </w:r>
    </w:p>
    <w:p>
      <w:pPr>
        <w:pStyle w:val="47"/>
        <w:bidi w:val="0"/>
        <w:spacing w:line="520" w:lineRule="exact"/>
        <w:rPr>
          <w:color w:val="auto"/>
          <w:highlight w:val="none"/>
        </w:rPr>
      </w:pPr>
      <w:r>
        <w:rPr>
          <w:rFonts w:hint="eastAsia"/>
          <w:color w:val="auto"/>
          <w:highlight w:val="none"/>
          <w:lang w:val="en-US" w:eastAsia="zh-CN"/>
        </w:rPr>
        <w:t>备</w:t>
      </w:r>
      <w:r>
        <w:rPr>
          <w:rFonts w:hint="eastAsia"/>
          <w:color w:val="auto"/>
          <w:highlight w:val="none"/>
        </w:rPr>
        <w:t>注：①以上承诺及声明函可参照第三章投标文件格式中</w:t>
      </w:r>
      <w:r>
        <w:rPr>
          <w:rFonts w:hint="eastAsia"/>
          <w:color w:val="auto"/>
          <w:highlight w:val="none"/>
          <w:lang w:val="en-US" w:eastAsia="zh-CN"/>
        </w:rPr>
        <w:t>《承诺及声明函》</w:t>
      </w:r>
      <w:r>
        <w:rPr>
          <w:rFonts w:hint="eastAsia"/>
          <w:color w:val="auto"/>
          <w:highlight w:val="none"/>
        </w:rPr>
        <w:t>格式或自拟格式填写均有效。</w:t>
      </w:r>
    </w:p>
    <w:p>
      <w:pPr>
        <w:pStyle w:val="47"/>
        <w:bidi w:val="0"/>
        <w:spacing w:line="520" w:lineRule="exact"/>
        <w:rPr>
          <w:rFonts w:hint="eastAsia"/>
          <w:color w:val="auto"/>
          <w:highlight w:val="none"/>
        </w:rPr>
      </w:pPr>
      <w:r>
        <w:rPr>
          <w:rFonts w:hint="eastAsia"/>
          <w:color w:val="auto"/>
          <w:highlight w:val="none"/>
        </w:rPr>
        <w:t>②以上要求提供的相关证明材料须加盖投标人公章</w:t>
      </w:r>
      <w:r>
        <w:rPr>
          <w:rFonts w:hint="eastAsia"/>
          <w:color w:val="auto"/>
          <w:highlight w:val="none"/>
          <w:lang w:eastAsia="zh-CN"/>
        </w:rPr>
        <w:t>，</w:t>
      </w:r>
      <w:r>
        <w:rPr>
          <w:rFonts w:hint="eastAsia"/>
          <w:color w:val="auto"/>
          <w:highlight w:val="none"/>
          <w:lang w:val="en-US" w:eastAsia="zh-CN"/>
        </w:rPr>
        <w:t>否则</w:t>
      </w:r>
      <w:r>
        <w:rPr>
          <w:rFonts w:hint="eastAsia"/>
          <w:color w:val="auto"/>
          <w:highlight w:val="none"/>
        </w:rPr>
        <w:t>其资格审查作未通过处理。</w:t>
      </w:r>
    </w:p>
    <w:p>
      <w:pPr>
        <w:pStyle w:val="47"/>
        <w:bidi w:val="0"/>
        <w:spacing w:line="520" w:lineRule="exact"/>
        <w:rPr>
          <w:color w:val="auto"/>
          <w:highlight w:val="none"/>
        </w:rPr>
      </w:pPr>
      <w:r>
        <w:rPr>
          <w:rFonts w:hint="eastAsia"/>
          <w:color w:val="auto"/>
          <w:highlight w:val="none"/>
        </w:rPr>
        <w:t>③本项目资格审查仅限于本章涉及的所有内容，若供应商未按照以上要求提供齐全，其资格审查作未通过处理。</w:t>
      </w:r>
    </w:p>
    <w:p>
      <w:pPr>
        <w:pStyle w:val="47"/>
        <w:bidi w:val="0"/>
        <w:spacing w:line="520" w:lineRule="exact"/>
        <w:rPr>
          <w:color w:val="auto"/>
          <w:highlight w:val="none"/>
        </w:rPr>
      </w:pPr>
      <w:r>
        <w:rPr>
          <w:rFonts w:hint="eastAsia"/>
          <w:color w:val="auto"/>
          <w:highlight w:val="none"/>
        </w:rPr>
        <w:t>④投标人应对其所提供的资格证明材料来源的合法性、真实性承担法律责任。</w:t>
      </w:r>
    </w:p>
    <w:p>
      <w:pPr>
        <w:pStyle w:val="47"/>
        <w:bidi w:val="0"/>
        <w:spacing w:line="520" w:lineRule="exact"/>
        <w:rPr>
          <w:color w:val="auto"/>
          <w:highlight w:val="none"/>
        </w:rPr>
      </w:pPr>
      <w:r>
        <w:rPr>
          <w:rFonts w:hint="eastAsia"/>
          <w:color w:val="auto"/>
          <w:highlight w:val="none"/>
          <w:lang w:val="en-US" w:eastAsia="zh-CN"/>
        </w:rPr>
        <w:t>⑤</w:t>
      </w:r>
      <w:r>
        <w:rPr>
          <w:rFonts w:hint="eastAsia"/>
          <w:color w:val="auto"/>
          <w:highlight w:val="none"/>
        </w:rPr>
        <w:t>以上要求提供的相关证明材料应当结合采购项目具体情况和投标人的组织机构性质确定，不得一概而论。</w:t>
      </w:r>
    </w:p>
    <w:p>
      <w:pPr>
        <w:pStyle w:val="34"/>
        <w:numPr>
          <w:ilvl w:val="1"/>
          <w:numId w:val="13"/>
        </w:numPr>
        <w:bidi w:val="0"/>
        <w:spacing w:line="520" w:lineRule="exact"/>
        <w:rPr>
          <w:rFonts w:hint="eastAsia"/>
          <w:color w:val="auto"/>
          <w:highlight w:val="none"/>
          <w:lang w:eastAsia="zh-CN"/>
        </w:rPr>
      </w:pPr>
      <w:bookmarkStart w:id="1089" w:name="_Toc26829"/>
      <w:bookmarkStart w:id="1090" w:name="_Toc17770"/>
      <w:bookmarkStart w:id="1091" w:name="_Toc14213"/>
      <w:r>
        <w:rPr>
          <w:rFonts w:hint="eastAsia"/>
          <w:color w:val="auto"/>
          <w:highlight w:val="none"/>
          <w:lang w:eastAsia="zh-CN"/>
        </w:rPr>
        <w:t>审查程序</w:t>
      </w:r>
      <w:bookmarkEnd w:id="1085"/>
      <w:bookmarkEnd w:id="1086"/>
      <w:bookmarkEnd w:id="1087"/>
      <w:bookmarkEnd w:id="1089"/>
      <w:bookmarkEnd w:id="1090"/>
      <w:bookmarkEnd w:id="1091"/>
    </w:p>
    <w:p>
      <w:pPr>
        <w:pStyle w:val="32"/>
        <w:numPr>
          <w:ilvl w:val="1"/>
          <w:numId w:val="28"/>
        </w:numPr>
        <w:bidi w:val="0"/>
        <w:spacing w:line="520" w:lineRule="exact"/>
        <w:rPr>
          <w:rFonts w:hint="eastAsia"/>
          <w:color w:val="auto"/>
          <w:highlight w:val="none"/>
          <w:lang w:eastAsia="zh-CN"/>
        </w:rPr>
      </w:pPr>
      <w:r>
        <w:rPr>
          <w:rFonts w:hint="eastAsia"/>
          <w:color w:val="auto"/>
          <w:highlight w:val="none"/>
          <w:lang w:val="en-US" w:eastAsia="zh-CN"/>
        </w:rPr>
        <w:t>参照</w:t>
      </w:r>
      <w:r>
        <w:rPr>
          <w:rFonts w:hint="eastAsia"/>
          <w:color w:val="auto"/>
          <w:highlight w:val="none"/>
        </w:rPr>
        <w:t>《政府采购货物和服务招标投标管理办法》</w:t>
      </w:r>
      <w:r>
        <w:rPr>
          <w:rFonts w:hint="eastAsia"/>
          <w:color w:val="auto"/>
          <w:highlight w:val="none"/>
          <w:lang w:eastAsia="zh-CN"/>
        </w:rPr>
        <w:t>(</w:t>
      </w:r>
      <w:r>
        <w:rPr>
          <w:rFonts w:hint="eastAsia"/>
          <w:color w:val="auto"/>
          <w:highlight w:val="none"/>
        </w:rPr>
        <w:t>财政部令第</w:t>
      </w:r>
      <w:r>
        <w:rPr>
          <w:rFonts w:hint="eastAsia"/>
          <w:color w:val="auto"/>
          <w:highlight w:val="none"/>
          <w:lang w:val="en-US" w:eastAsia="zh-CN"/>
        </w:rPr>
        <w:t>87</w:t>
      </w:r>
      <w:r>
        <w:rPr>
          <w:rFonts w:hint="eastAsia"/>
          <w:color w:val="auto"/>
          <w:highlight w:val="none"/>
        </w:rPr>
        <w:t>号</w:t>
      </w:r>
      <w:r>
        <w:rPr>
          <w:rFonts w:hint="eastAsia"/>
          <w:color w:val="auto"/>
          <w:highlight w:val="none"/>
          <w:lang w:eastAsia="zh-CN"/>
        </w:rPr>
        <w:t>)第四十四条</w:t>
      </w:r>
      <w:r>
        <w:rPr>
          <w:rFonts w:hint="eastAsia"/>
          <w:color w:val="auto"/>
          <w:highlight w:val="none"/>
        </w:rPr>
        <w:t>对投标人的资格进行审查。</w:t>
      </w:r>
    </w:p>
    <w:p>
      <w:pPr>
        <w:pStyle w:val="32"/>
        <w:numPr>
          <w:ilvl w:val="1"/>
          <w:numId w:val="28"/>
        </w:numPr>
        <w:bidi w:val="0"/>
        <w:spacing w:line="520" w:lineRule="exact"/>
        <w:rPr>
          <w:rFonts w:hint="eastAsia"/>
          <w:color w:val="auto"/>
          <w:highlight w:val="none"/>
          <w:lang w:val="en-US" w:eastAsia="zh-CN"/>
        </w:rPr>
      </w:pPr>
      <w:r>
        <w:rPr>
          <w:rFonts w:hint="eastAsia"/>
          <w:color w:val="auto"/>
          <w:highlight w:val="none"/>
          <w:lang w:val="en-US" w:eastAsia="zh-CN"/>
        </w:rPr>
        <w:t>本项目由</w:t>
      </w:r>
      <w:r>
        <w:rPr>
          <w:rFonts w:hint="eastAsia"/>
          <w:color w:val="auto"/>
          <w:highlight w:val="none"/>
        </w:rPr>
        <w:t>采购人或者采购代理机构依法对投标人的资格进行审查</w:t>
      </w:r>
      <w:r>
        <w:rPr>
          <w:rFonts w:hint="eastAsia"/>
          <w:color w:val="auto"/>
          <w:highlight w:val="none"/>
          <w:lang w:eastAsia="zh-CN"/>
        </w:rPr>
        <w:t>，并出具书面的资格性审查结果。</w:t>
      </w:r>
    </w:p>
    <w:p>
      <w:pPr>
        <w:pStyle w:val="32"/>
        <w:numPr>
          <w:ilvl w:val="1"/>
          <w:numId w:val="28"/>
        </w:numPr>
        <w:bidi w:val="0"/>
        <w:spacing w:line="520" w:lineRule="exact"/>
        <w:rPr>
          <w:rFonts w:hint="eastAsia"/>
          <w:color w:val="auto"/>
          <w:highlight w:val="none"/>
        </w:rPr>
      </w:pPr>
      <w:r>
        <w:rPr>
          <w:rFonts w:hint="eastAsia"/>
          <w:color w:val="auto"/>
          <w:highlight w:val="none"/>
        </w:rPr>
        <w:t>合格投标人不足3家的，不得评标</w:t>
      </w:r>
      <w:r>
        <w:rPr>
          <w:rFonts w:hint="eastAsia"/>
          <w:color w:val="auto"/>
          <w:highlight w:val="none"/>
          <w:lang w:eastAsia="zh-CN"/>
        </w:rPr>
        <w:t>，</w:t>
      </w:r>
      <w:r>
        <w:rPr>
          <w:rFonts w:hint="eastAsia"/>
          <w:color w:val="auto"/>
          <w:highlight w:val="none"/>
          <w:lang w:val="en-US" w:eastAsia="zh-CN"/>
        </w:rPr>
        <w:t>采购失败</w:t>
      </w:r>
      <w:r>
        <w:rPr>
          <w:rFonts w:hint="eastAsia"/>
          <w:color w:val="auto"/>
          <w:highlight w:val="none"/>
          <w:lang w:eastAsia="zh-CN"/>
        </w:rPr>
        <w:t>。</w:t>
      </w:r>
    </w:p>
    <w:p>
      <w:pPr>
        <w:pStyle w:val="48"/>
        <w:numPr>
          <w:ilvl w:val="0"/>
          <w:numId w:val="13"/>
        </w:numPr>
        <w:bidi w:val="0"/>
        <w:rPr>
          <w:rFonts w:hint="eastAsia"/>
          <w:color w:val="auto"/>
          <w:highlight w:val="none"/>
        </w:rPr>
      </w:pPr>
      <w:r>
        <w:rPr>
          <w:rFonts w:hint="eastAsia"/>
          <w:color w:val="auto"/>
          <w:highlight w:val="none"/>
        </w:rPr>
        <w:br w:type="page"/>
      </w:r>
      <w:bookmarkEnd w:id="1088"/>
      <w:bookmarkStart w:id="1092" w:name="_Toc32196"/>
      <w:bookmarkStart w:id="1093" w:name="_Toc13197"/>
      <w:bookmarkStart w:id="1094" w:name="_Toc14530"/>
      <w:bookmarkStart w:id="1095" w:name="_Toc5955"/>
      <w:r>
        <w:rPr>
          <w:rFonts w:hint="eastAsia"/>
          <w:color w:val="auto"/>
          <w:highlight w:val="none"/>
        </w:rPr>
        <w:t>招标项目技术、服务、</w:t>
      </w:r>
      <w:r>
        <w:rPr>
          <w:rFonts w:hint="eastAsia"/>
          <w:color w:val="auto"/>
          <w:highlight w:val="none"/>
          <w:lang w:eastAsia="zh-CN"/>
        </w:rPr>
        <w:t>采购合同</w:t>
      </w:r>
      <w:r>
        <w:rPr>
          <w:rFonts w:hint="eastAsia"/>
          <w:color w:val="auto"/>
          <w:highlight w:val="none"/>
        </w:rPr>
        <w:t>内容条款及其他商务要求</w:t>
      </w:r>
      <w:bookmarkEnd w:id="1092"/>
      <w:bookmarkEnd w:id="1093"/>
      <w:bookmarkEnd w:id="1094"/>
      <w:bookmarkEnd w:id="1095"/>
    </w:p>
    <w:p>
      <w:pPr>
        <w:pStyle w:val="34"/>
        <w:spacing w:line="520" w:lineRule="exact"/>
        <w:ind w:firstLine="482"/>
        <w:rPr>
          <w:color w:val="auto"/>
          <w:highlight w:val="none"/>
        </w:rPr>
      </w:pPr>
      <w:bookmarkStart w:id="1096" w:name="_Toc10808"/>
      <w:bookmarkStart w:id="1097" w:name="_Toc21072"/>
      <w:bookmarkStart w:id="1098" w:name="_Toc718"/>
      <w:bookmarkStart w:id="1099" w:name="_Toc27469"/>
      <w:bookmarkStart w:id="1100" w:name="_Toc1684"/>
      <w:bookmarkStart w:id="1101" w:name="_Toc28932"/>
      <w:bookmarkStart w:id="1102" w:name="_Toc309897566"/>
      <w:bookmarkStart w:id="1103" w:name="_Toc307501157"/>
      <w:bookmarkStart w:id="1104" w:name="_Toc308084648"/>
      <w:bookmarkStart w:id="1105" w:name="_Toc1839"/>
      <w:bookmarkStart w:id="1106" w:name="_Toc307564899"/>
      <w:bookmarkStart w:id="1107" w:name="_Toc319440192"/>
      <w:bookmarkStart w:id="1108" w:name="_Toc1541"/>
      <w:bookmarkStart w:id="1109" w:name="_Toc308188201"/>
      <w:bookmarkStart w:id="1110" w:name="_Toc319439948"/>
      <w:bookmarkStart w:id="1111" w:name="_Toc32159"/>
      <w:bookmarkStart w:id="1112" w:name="_Toc23360"/>
      <w:bookmarkStart w:id="1113" w:name="_Toc12025"/>
      <w:bookmarkStart w:id="1114" w:name="_Toc29864"/>
      <w:bookmarkStart w:id="1115" w:name="_Toc327196343"/>
      <w:bookmarkStart w:id="1116" w:name="_Toc217446060"/>
      <w:bookmarkStart w:id="1117" w:name="_Toc217446099"/>
      <w:r>
        <w:rPr>
          <w:rFonts w:hint="eastAsia"/>
          <w:color w:val="auto"/>
          <w:highlight w:val="none"/>
        </w:rPr>
        <w:t>项目概况</w:t>
      </w:r>
      <w:bookmarkEnd w:id="1096"/>
      <w:bookmarkEnd w:id="1097"/>
      <w:bookmarkEnd w:id="1098"/>
    </w:p>
    <w:p>
      <w:pPr>
        <w:pStyle w:val="42"/>
        <w:spacing w:line="520" w:lineRule="exact"/>
        <w:ind w:firstLine="480" w:firstLineChars="200"/>
        <w:rPr>
          <w:color w:val="auto"/>
          <w:highlight w:val="none"/>
        </w:rPr>
      </w:pPr>
      <w:r>
        <w:rPr>
          <w:rFonts w:hint="eastAsia"/>
          <w:color w:val="auto"/>
          <w:highlight w:val="none"/>
        </w:rPr>
        <w:t>拟通过本项目的专用设备采购主要是满足工业机器人数字化虚拟仿真实训基地建设需要，并引入工程应用技术以及工业物联网技术。适合应用于工业机器人技术安装与调试、建筑设备安装、建筑智能化工程技术、机电一体化等相关专业的实训课程教学。</w:t>
      </w:r>
    </w:p>
    <w:p>
      <w:pPr>
        <w:pStyle w:val="34"/>
        <w:spacing w:line="520" w:lineRule="exact"/>
        <w:ind w:firstLine="482"/>
        <w:rPr>
          <w:color w:val="auto"/>
          <w:highlight w:val="none"/>
        </w:rPr>
      </w:pPr>
      <w:bookmarkStart w:id="1118" w:name="_Toc6404"/>
      <w:bookmarkStart w:id="1119" w:name="_Toc32625"/>
      <w:bookmarkStart w:id="1120" w:name="_Toc5726"/>
      <w:bookmarkStart w:id="1121" w:name="_Toc2567_WPSOffice_Level2"/>
      <w:bookmarkStart w:id="1122" w:name="_Toc25039"/>
      <w:r>
        <w:rPr>
          <w:rFonts w:hint="eastAsia"/>
          <w:color w:val="auto"/>
          <w:highlight w:val="none"/>
        </w:rPr>
        <w:t>★采购标的</w:t>
      </w:r>
      <w:bookmarkEnd w:id="1118"/>
      <w:bookmarkEnd w:id="1119"/>
      <w:bookmarkEnd w:id="1120"/>
    </w:p>
    <w:bookmarkEnd w:id="1121"/>
    <w:bookmarkEnd w:id="1122"/>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3295"/>
        <w:gridCol w:w="1112"/>
        <w:gridCol w:w="948"/>
        <w:gridCol w:w="1321"/>
        <w:gridCol w:w="126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31"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val="0"/>
                <w:color w:val="auto"/>
                <w:sz w:val="21"/>
                <w:szCs w:val="21"/>
                <w:highlight w:val="none"/>
                <w:lang w:val="en-US" w:eastAsia="zh-CN"/>
              </w:rPr>
            </w:pPr>
            <w:bookmarkStart w:id="1123" w:name="_Toc12968"/>
            <w:bookmarkStart w:id="1124" w:name="_Toc3479"/>
            <w:r>
              <w:rPr>
                <w:rFonts w:hint="eastAsia" w:ascii="宋体" w:hAnsi="宋体" w:eastAsia="宋体" w:cs="宋体"/>
                <w:b/>
                <w:bCs w:val="0"/>
                <w:color w:val="auto"/>
                <w:sz w:val="21"/>
                <w:szCs w:val="21"/>
                <w:highlight w:val="none"/>
                <w:lang w:val="en-US" w:eastAsia="zh-CN"/>
              </w:rPr>
              <w:t>序号</w:t>
            </w:r>
          </w:p>
        </w:tc>
        <w:tc>
          <w:tcPr>
            <w:tcW w:w="1654"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标的名称</w:t>
            </w:r>
          </w:p>
        </w:tc>
        <w:tc>
          <w:tcPr>
            <w:tcW w:w="55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计量单位</w:t>
            </w:r>
          </w:p>
        </w:tc>
        <w:tc>
          <w:tcPr>
            <w:tcW w:w="47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数量</w:t>
            </w:r>
          </w:p>
        </w:tc>
        <w:tc>
          <w:tcPr>
            <w:tcW w:w="66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所属行业</w:t>
            </w:r>
          </w:p>
        </w:tc>
        <w:tc>
          <w:tcPr>
            <w:tcW w:w="63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是否允许进口</w:t>
            </w:r>
          </w:p>
        </w:tc>
        <w:tc>
          <w:tcPr>
            <w:tcW w:w="580"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是否核心产品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654"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工业物联训赛平台</w:t>
            </w:r>
          </w:p>
        </w:tc>
        <w:tc>
          <w:tcPr>
            <w:tcW w:w="55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66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w:t>
            </w:r>
          </w:p>
        </w:tc>
        <w:tc>
          <w:tcPr>
            <w:tcW w:w="63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否</w:t>
            </w:r>
          </w:p>
        </w:tc>
        <w:tc>
          <w:tcPr>
            <w:tcW w:w="580"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lang w:val="en-US" w:eastAsia="zh-CN"/>
              </w:rPr>
            </w:pPr>
            <w:bookmarkStart w:id="1125" w:name="_Toc17549"/>
            <w:r>
              <w:rPr>
                <w:rFonts w:hint="eastAsia" w:ascii="宋体" w:hAnsi="宋体" w:eastAsia="宋体" w:cs="宋体"/>
                <w:color w:val="auto"/>
                <w:sz w:val="21"/>
                <w:szCs w:val="21"/>
                <w:highlight w:val="none"/>
                <w:lang w:val="en-US" w:eastAsia="zh-CN"/>
              </w:rPr>
              <w:t>2</w:t>
            </w:r>
          </w:p>
        </w:tc>
        <w:tc>
          <w:tcPr>
            <w:tcW w:w="1654"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highlight w:val="none"/>
                <w:lang w:eastAsia="zh-Hans"/>
              </w:rPr>
            </w:pPr>
            <w:r>
              <w:rPr>
                <w:rFonts w:hint="eastAsia" w:ascii="宋体" w:hAnsi="宋体" w:eastAsia="宋体" w:cs="宋体"/>
                <w:b w:val="0"/>
                <w:bCs/>
                <w:i w:val="0"/>
                <w:iCs w:val="0"/>
                <w:color w:val="auto"/>
                <w:kern w:val="2"/>
                <w:sz w:val="21"/>
                <w:szCs w:val="21"/>
                <w:highlight w:val="none"/>
                <w:lang w:val="en-US" w:eastAsia="zh-CN" w:bidi="ar-SA"/>
              </w:rPr>
              <w:t>建筑智能化系统安装与调试实训平台</w:t>
            </w:r>
          </w:p>
        </w:tc>
        <w:tc>
          <w:tcPr>
            <w:tcW w:w="55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66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w:t>
            </w:r>
          </w:p>
        </w:tc>
        <w:tc>
          <w:tcPr>
            <w:tcW w:w="63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否</w:t>
            </w:r>
          </w:p>
        </w:tc>
        <w:tc>
          <w:tcPr>
            <w:tcW w:w="580"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654"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vertAlign w:val="baseline"/>
                <w:lang w:val="en-US" w:eastAsia="zh-Hans"/>
              </w:rPr>
              <w:t>机电一体化装配工作站</w:t>
            </w:r>
          </w:p>
        </w:tc>
        <w:tc>
          <w:tcPr>
            <w:tcW w:w="55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66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w:t>
            </w:r>
          </w:p>
        </w:tc>
        <w:tc>
          <w:tcPr>
            <w:tcW w:w="63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否</w:t>
            </w:r>
          </w:p>
        </w:tc>
        <w:tc>
          <w:tcPr>
            <w:tcW w:w="580"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否</w:t>
            </w:r>
          </w:p>
        </w:tc>
      </w:tr>
    </w:tbl>
    <w:p>
      <w:pPr>
        <w:pStyle w:val="34"/>
        <w:spacing w:line="520" w:lineRule="exact"/>
        <w:ind w:firstLine="482"/>
        <w:rPr>
          <w:color w:val="auto"/>
          <w:highlight w:val="none"/>
        </w:rPr>
      </w:pPr>
      <w:bookmarkStart w:id="1126" w:name="_Toc19712"/>
      <w:r>
        <w:rPr>
          <w:rFonts w:hint="eastAsia"/>
          <w:color w:val="auto"/>
          <w:highlight w:val="none"/>
        </w:rPr>
        <w:t>技术要求</w:t>
      </w:r>
      <w:bookmarkEnd w:id="1123"/>
      <w:bookmarkEnd w:id="1124"/>
      <w:bookmarkEnd w:id="1125"/>
      <w:bookmarkEnd w:id="1126"/>
    </w:p>
    <w:p>
      <w:pPr>
        <w:pStyle w:val="49"/>
        <w:spacing w:line="520" w:lineRule="exact"/>
        <w:ind w:firstLine="482"/>
        <w:rPr>
          <w:color w:val="auto"/>
          <w:highlight w:val="none"/>
        </w:rPr>
      </w:pPr>
      <w:bookmarkStart w:id="1127" w:name="_Toc21674"/>
      <w:bookmarkStart w:id="1128" w:name="_Toc21679"/>
      <w:bookmarkStart w:id="1129" w:name="_Toc20977"/>
      <w:bookmarkStart w:id="1130" w:name="_Toc28498"/>
      <w:r>
        <w:rPr>
          <w:rFonts w:hint="eastAsia"/>
          <w:color w:val="auto"/>
          <w:highlight w:val="none"/>
        </w:rPr>
        <w:t>★总体质量要求</w:t>
      </w:r>
      <w:bookmarkEnd w:id="1127"/>
      <w:bookmarkEnd w:id="1128"/>
      <w:bookmarkEnd w:id="1129"/>
      <w:bookmarkEnd w:id="1130"/>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Chars="0" w:firstLine="480" w:firstLineChars="200"/>
        <w:textAlignment w:val="auto"/>
        <w:rPr>
          <w:rFonts w:hint="eastAsia" w:ascii="宋体" w:cs="宋体"/>
          <w:color w:val="auto"/>
          <w:highlight w:val="none"/>
          <w:lang w:val="en-US" w:eastAsia="zh-CN"/>
        </w:rPr>
      </w:pPr>
      <w:r>
        <w:rPr>
          <w:rFonts w:hint="eastAsia" w:ascii="宋体" w:cs="宋体"/>
          <w:color w:val="auto"/>
          <w:highlight w:val="none"/>
          <w:lang w:val="en-US" w:eastAsia="zh-CN"/>
        </w:rPr>
        <w:t>1.中标人须提供全新的货物(含零部件、配件、使用说明书等)，表面无划伤、无碰撞痕迹，且权属清楚，不得侵害他人的知识产权，不得以次充好，产品来源渠道必须合法，同时应根据国家有关规定及采购单位的要求做好售后服务工作。</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Chars="0" w:firstLine="480" w:firstLineChars="200"/>
        <w:textAlignment w:val="auto"/>
        <w:rPr>
          <w:rFonts w:hint="eastAsia" w:ascii="宋体" w:cs="宋体"/>
          <w:color w:val="auto"/>
          <w:highlight w:val="none"/>
          <w:lang w:val="en-US" w:eastAsia="zh-CN"/>
        </w:rPr>
      </w:pPr>
      <w:r>
        <w:rPr>
          <w:rFonts w:hint="eastAsia" w:ascii="宋体" w:cs="宋体"/>
          <w:color w:val="auto"/>
          <w:highlight w:val="none"/>
          <w:lang w:val="en-US" w:eastAsia="zh-CN"/>
        </w:rPr>
        <w:t>2.中标人提供的产品必须符合或优于国家标准、行业标准、地方标准等标准、规范，以及招标文件的质量要求和技术指标与出厂标准。</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Chars="0" w:firstLine="480" w:firstLineChars="200"/>
        <w:textAlignment w:val="auto"/>
        <w:rPr>
          <w:rFonts w:hint="eastAsia" w:ascii="宋体" w:cs="宋体"/>
          <w:color w:val="auto"/>
          <w:highlight w:val="none"/>
          <w:lang w:val="en-US" w:eastAsia="zh-CN"/>
        </w:rPr>
      </w:pPr>
      <w:r>
        <w:rPr>
          <w:rFonts w:hint="eastAsia" w:ascii="宋体" w:cs="宋体"/>
          <w:color w:val="auto"/>
          <w:highlight w:val="none"/>
          <w:lang w:val="en-US" w:eastAsia="zh-CN"/>
        </w:rPr>
        <w:t>3.货物制造质量出现问题，中标人应负责三包(包修、包换、包退)，费用由中标人负担。</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Chars="0" w:firstLine="480" w:firstLineChars="200"/>
        <w:textAlignment w:val="auto"/>
        <w:rPr>
          <w:rFonts w:asciiTheme="minorEastAsia" w:hAnsiTheme="minorEastAsia" w:eastAsiaTheme="minorEastAsia" w:cstheme="minorEastAsia"/>
          <w:color w:val="auto"/>
          <w:highlight w:val="none"/>
        </w:rPr>
      </w:pPr>
      <w:r>
        <w:rPr>
          <w:rFonts w:hint="eastAsia" w:ascii="宋体" w:cs="宋体"/>
          <w:color w:val="auto"/>
          <w:highlight w:val="none"/>
          <w:lang w:val="en-US" w:eastAsia="zh-CN"/>
        </w:rPr>
        <w:t>4.货到现场交付完成后由于采购人保管不当造成的质量问题，中标人亦应负责修理，但费用由采购人负担。</w:t>
      </w:r>
    </w:p>
    <w:p>
      <w:pPr>
        <w:pStyle w:val="49"/>
        <w:spacing w:line="520" w:lineRule="exact"/>
        <w:ind w:firstLine="482"/>
        <w:rPr>
          <w:rFonts w:asciiTheme="minorEastAsia" w:hAnsiTheme="minorEastAsia" w:eastAsiaTheme="minorEastAsia" w:cstheme="minorEastAsia"/>
          <w:bCs/>
          <w:color w:val="auto"/>
          <w:highlight w:val="none"/>
        </w:rPr>
      </w:pPr>
      <w:bookmarkStart w:id="1131" w:name="_Toc21869"/>
      <w:bookmarkStart w:id="1132" w:name="_Toc15411"/>
      <w:bookmarkStart w:id="1133" w:name="_Toc6649"/>
      <w:bookmarkStart w:id="1134" w:name="_Toc29936"/>
      <w:r>
        <w:rPr>
          <w:rFonts w:hint="eastAsia" w:asciiTheme="minorEastAsia" w:hAnsiTheme="minorEastAsia" w:eastAsiaTheme="minorEastAsia" w:cstheme="minorEastAsia"/>
          <w:bCs/>
          <w:color w:val="auto"/>
          <w:highlight w:val="none"/>
        </w:rPr>
        <w:t>具体要求</w:t>
      </w:r>
      <w:bookmarkEnd w:id="1131"/>
      <w:bookmarkEnd w:id="1132"/>
      <w:bookmarkEnd w:id="1133"/>
      <w:bookmarkEnd w:id="1134"/>
    </w:p>
    <w:tbl>
      <w:tblPr>
        <w:tblStyle w:val="21"/>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540"/>
        <w:gridCol w:w="7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blHeader/>
          <w:jc w:val="center"/>
        </w:trPr>
        <w:tc>
          <w:tcPr>
            <w:tcW w:w="364" w:type="pct"/>
            <w:vAlign w:val="center"/>
          </w:tcPr>
          <w:p>
            <w:pPr>
              <w:keepNext w:val="0"/>
              <w:keepLines w:val="0"/>
              <w:pageBreakBefore w:val="0"/>
              <w:widowControl w:val="0"/>
              <w:kinsoku/>
              <w:overflowPunct/>
              <w:autoSpaceDE/>
              <w:autoSpaceDN/>
              <w:bidi w:val="0"/>
              <w:adjustRightInd w:val="0"/>
              <w:snapToGrid w:val="0"/>
              <w:spacing w:line="360" w:lineRule="exact"/>
              <w:ind w:left="24" w:leftChars="10" w:right="24" w:rightChars="10"/>
              <w:jc w:val="center"/>
              <w:textAlignment w:val="auto"/>
              <w:rPr>
                <w:rFonts w:hint="eastAsia" w:ascii="宋体" w:hAnsi="宋体" w:eastAsia="宋体" w:cs="宋体"/>
                <w:b/>
                <w:color w:val="auto"/>
                <w:sz w:val="21"/>
                <w:szCs w:val="21"/>
                <w:highlight w:val="none"/>
              </w:rPr>
            </w:pPr>
            <w:bookmarkStart w:id="1135" w:name="_Toc8103"/>
            <w:bookmarkStart w:id="1136" w:name="_Toc12739"/>
            <w:bookmarkStart w:id="1137" w:name="_Toc7101"/>
            <w:bookmarkStart w:id="1138" w:name="_Toc6974"/>
            <w:bookmarkStart w:id="1139" w:name="_Toc9683"/>
            <w:bookmarkStart w:id="1140" w:name="_Toc27497"/>
            <w:bookmarkStart w:id="1141" w:name="_Toc8752_WPSOffice_Level2"/>
            <w:r>
              <w:rPr>
                <w:rFonts w:hint="eastAsia" w:ascii="宋体" w:hAnsi="宋体" w:eastAsia="宋体" w:cs="宋体"/>
                <w:b/>
                <w:color w:val="auto"/>
                <w:sz w:val="21"/>
                <w:szCs w:val="21"/>
                <w:highlight w:val="none"/>
              </w:rPr>
              <w:t>序号</w:t>
            </w:r>
          </w:p>
        </w:tc>
        <w:tc>
          <w:tcPr>
            <w:tcW w:w="774" w:type="pct"/>
            <w:vAlign w:val="center"/>
          </w:tcPr>
          <w:p>
            <w:pPr>
              <w:keepNext w:val="0"/>
              <w:keepLines w:val="0"/>
              <w:pageBreakBefore w:val="0"/>
              <w:widowControl w:val="0"/>
              <w:kinsoku/>
              <w:overflowPunct/>
              <w:autoSpaceDE/>
              <w:autoSpaceDN/>
              <w:bidi w:val="0"/>
              <w:adjustRightInd w:val="0"/>
              <w:snapToGrid w:val="0"/>
              <w:spacing w:line="360" w:lineRule="exact"/>
              <w:ind w:left="24" w:leftChars="10" w:right="24" w:rightChars="1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标的名称</w:t>
            </w:r>
          </w:p>
        </w:tc>
        <w:tc>
          <w:tcPr>
            <w:tcW w:w="3860" w:type="pct"/>
            <w:vAlign w:val="center"/>
          </w:tcPr>
          <w:p>
            <w:pPr>
              <w:keepNext w:val="0"/>
              <w:keepLines w:val="0"/>
              <w:pageBreakBefore w:val="0"/>
              <w:widowControl w:val="0"/>
              <w:kinsoku/>
              <w:overflowPunct/>
              <w:autoSpaceDE/>
              <w:autoSpaceDN/>
              <w:bidi w:val="0"/>
              <w:adjustRightInd w:val="0"/>
              <w:snapToGrid w:val="0"/>
              <w:spacing w:line="360" w:lineRule="exact"/>
              <w:ind w:left="24" w:leftChars="10" w:right="24" w:rightChars="10"/>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技术参数及</w:t>
            </w:r>
            <w:r>
              <w:rPr>
                <w:rFonts w:hint="eastAsia" w:ascii="宋体" w:hAnsi="宋体" w:eastAsia="宋体" w:cs="宋体"/>
                <w:b/>
                <w:color w:val="auto"/>
                <w:sz w:val="21"/>
                <w:szCs w:val="21"/>
                <w:highlight w:val="none"/>
                <w:lang w:val="en-US" w:eastAsia="zh-CN"/>
              </w:rPr>
              <w:t>功能</w:t>
            </w:r>
            <w:r>
              <w:rPr>
                <w:rFonts w:hint="eastAsia" w:ascii="宋体" w:hAnsi="宋体" w:eastAsia="宋体" w:cs="宋体"/>
                <w:b/>
                <w:color w:val="auto"/>
                <w:sz w:val="21"/>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64" w:type="pct"/>
            <w:vAlign w:val="center"/>
          </w:tcPr>
          <w:p>
            <w:pPr>
              <w:keepNext w:val="0"/>
              <w:keepLines w:val="0"/>
              <w:pageBreakBefore w:val="0"/>
              <w:widowControl w:val="0"/>
              <w:kinsoku/>
              <w:overflowPunct/>
              <w:autoSpaceDE/>
              <w:autoSpaceDN/>
              <w:bidi w:val="0"/>
              <w:adjustRightInd w:val="0"/>
              <w:snapToGrid w:val="0"/>
              <w:spacing w:line="360" w:lineRule="exact"/>
              <w:ind w:left="24" w:leftChars="10" w:right="24" w:rightChars="1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74" w:type="pct"/>
            <w:vAlign w:val="center"/>
          </w:tcPr>
          <w:p>
            <w:pPr>
              <w:keepNext w:val="0"/>
              <w:keepLines w:val="0"/>
              <w:pageBreakBefore w:val="0"/>
              <w:widowControl w:val="0"/>
              <w:kinsoku/>
              <w:overflowPunct/>
              <w:autoSpaceDE/>
              <w:autoSpaceDN/>
              <w:bidi w:val="0"/>
              <w:adjustRightInd w:val="0"/>
              <w:snapToGrid w:val="0"/>
              <w:spacing w:line="360" w:lineRule="exact"/>
              <w:ind w:left="24" w:leftChars="10" w:right="24" w:rightChars="1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工业物联训赛平台</w:t>
            </w:r>
          </w:p>
        </w:tc>
        <w:tc>
          <w:tcPr>
            <w:tcW w:w="3860" w:type="pct"/>
            <w:vAlign w:val="center"/>
          </w:tcPr>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支持多种协议：配置快速完成，支持OPC UA、MODBUS、MQTT、FOCASde等100多种以上工业通信协议的解析，实现数据的上传和下发。支持伙伴产品融合，通过融合伙伴产品可以支持更多的工业协议。</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实时数据存储及发布：可以处理基于时间序列的高并发、大数据量的物联网数据，具有高压缩、高性能、高可靠等特点。能满足生产过程状态分析、设备运维数据分析、告警数据实时计算等丰富的场景需求，为实现工业互联和智能制造提供强大的数据引擎。</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配置可扩展的规则引擎：通过规则引擎支撑数据处理问题，打通基于算法的优化控制、可解决数据分发问题，解决自动控制问题。主要对AIoT平台采集到的数据进行处理，并将处理结果发送至指定对象或服务，处理规则由规则引擎提供的内置组件搭建完成，可帮助用户进行较为常见的处理逻辑配置化编程，同时具有简单的JS编译功能，可实现较为复杂的逻辑编程。</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▲支持流式数据计算的规则编辑</w:t>
            </w:r>
            <w:r>
              <w:rPr>
                <w:rFonts w:hint="eastAsia" w:ascii="宋体" w:hAnsi="宋体" w:eastAsia="宋体" w:cs="宋体"/>
                <w:b/>
                <w:bCs/>
                <w:color w:val="auto"/>
                <w:sz w:val="21"/>
                <w:szCs w:val="21"/>
                <w:highlight w:val="none"/>
                <w:lang w:eastAsia="zh-CN"/>
              </w:rPr>
              <w:t>(提供相关功能截图证明材料)</w:t>
            </w:r>
            <w:r>
              <w:rPr>
                <w:rFonts w:hint="eastAsia" w:ascii="宋体" w:hAnsi="宋体" w:eastAsia="宋体" w:cs="宋体"/>
                <w:color w:val="auto"/>
                <w:sz w:val="21"/>
                <w:szCs w:val="21"/>
                <w:highlight w:val="none"/>
              </w:rPr>
              <w:t>。</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▲支持数据加工的规则编制</w:t>
            </w:r>
            <w:r>
              <w:rPr>
                <w:rFonts w:hint="eastAsia" w:ascii="宋体" w:hAnsi="宋体" w:eastAsia="宋体" w:cs="宋体"/>
                <w:b/>
                <w:bCs/>
                <w:color w:val="auto"/>
                <w:sz w:val="21"/>
                <w:szCs w:val="21"/>
                <w:highlight w:val="none"/>
                <w:lang w:eastAsia="zh-CN"/>
              </w:rPr>
              <w:t>(提供相关功能截图证明材料)</w:t>
            </w:r>
            <w:r>
              <w:rPr>
                <w:rFonts w:hint="eastAsia" w:ascii="宋体" w:hAnsi="宋体" w:eastAsia="宋体" w:cs="宋体"/>
                <w:color w:val="auto"/>
                <w:sz w:val="21"/>
                <w:szCs w:val="21"/>
                <w:highlight w:val="none"/>
              </w:rPr>
              <w:t>。</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▲支持消息队列数据的读取加工</w:t>
            </w:r>
            <w:r>
              <w:rPr>
                <w:rFonts w:hint="eastAsia" w:ascii="宋体" w:hAnsi="宋体" w:eastAsia="宋体" w:cs="宋体"/>
                <w:b/>
                <w:bCs/>
                <w:color w:val="auto"/>
                <w:sz w:val="21"/>
                <w:szCs w:val="21"/>
                <w:highlight w:val="none"/>
                <w:lang w:eastAsia="zh-CN"/>
              </w:rPr>
              <w:t>(提供相关功能截图证明材料)</w:t>
            </w:r>
            <w:r>
              <w:rPr>
                <w:rFonts w:hint="eastAsia" w:ascii="宋体" w:hAnsi="宋体" w:eastAsia="宋体" w:cs="宋体"/>
                <w:color w:val="auto"/>
                <w:sz w:val="21"/>
                <w:szCs w:val="21"/>
                <w:highlight w:val="none"/>
              </w:rPr>
              <w:t>。</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支持对第三方服务的RestfulAPI接口调用。</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支持拖拽的方式进行规则的灵活编辑组态。</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支持Rabbit MQ和MQTT通信方式。</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支持JavaScript函数编辑处理规则。</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支持2D/3D组态：基于HTML5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Canvas/WebGL/WebVR</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标准浏览器技术轻量、高效、易用跨平台特性，支持3D-max建模导入以及2D贴图方式快速构建3D可视化应用。</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 2D 矢量面板和图表的数据绑定，2D 可与 3D在三维空间无缝融合复用</w:t>
            </w:r>
            <w:r>
              <w:rPr>
                <w:rFonts w:hint="eastAsia" w:ascii="宋体" w:hAnsi="宋体" w:eastAsia="宋体" w:cs="宋体"/>
                <w:b/>
                <w:bCs/>
                <w:color w:val="auto"/>
                <w:sz w:val="21"/>
                <w:szCs w:val="21"/>
                <w:highlight w:val="none"/>
                <w:lang w:eastAsia="zh-CN"/>
              </w:rPr>
              <w:t>(提供相关功能截图证明材料)</w:t>
            </w:r>
            <w:r>
              <w:rPr>
                <w:rFonts w:hint="eastAsia" w:ascii="宋体" w:hAnsi="宋体" w:eastAsia="宋体" w:cs="宋体"/>
                <w:color w:val="auto"/>
                <w:sz w:val="21"/>
                <w:szCs w:val="21"/>
                <w:highlight w:val="none"/>
                <w:lang w:eastAsia="zh-CN"/>
              </w:rPr>
              <w:t>。</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支持2D矢量可自定义交互逻辑，可延伸到3D和VR 场景，无需二次开发交互逻辑。</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支持矢量图片，无需为不同视网膜分辨率下载不同图片。</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▲支持Web化2D设计器和3D设计器复用内容，并可将2D和3D场景在编辑器上互相嵌套</w:t>
            </w:r>
            <w:r>
              <w:rPr>
                <w:rFonts w:hint="eastAsia" w:ascii="宋体" w:hAnsi="宋体" w:eastAsia="宋体" w:cs="宋体"/>
                <w:b/>
                <w:bCs/>
                <w:color w:val="auto"/>
                <w:sz w:val="21"/>
                <w:szCs w:val="21"/>
                <w:highlight w:val="none"/>
                <w:lang w:eastAsia="zh-CN"/>
              </w:rPr>
              <w:t>(提供相关功能截图证明材料)</w:t>
            </w:r>
            <w:r>
              <w:rPr>
                <w:rFonts w:hint="eastAsia" w:ascii="宋体" w:hAnsi="宋体" w:eastAsia="宋体" w:cs="宋体"/>
                <w:color w:val="auto"/>
                <w:sz w:val="21"/>
                <w:szCs w:val="21"/>
                <w:highlight w:val="none"/>
              </w:rPr>
              <w:t>。</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支持多种可视化组态工具。</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支持按照分组进行编辑组态画面的管理。</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支持通过使用画面控件托拉拽的方式进行画面的构建，图元支持调整和任意组合。</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▲支持画面中不同图元与IoT采集位号的绑定设置以及图元多种属性的修改</w:t>
            </w:r>
            <w:r>
              <w:rPr>
                <w:rFonts w:hint="eastAsia" w:ascii="宋体" w:hAnsi="宋体" w:eastAsia="宋体" w:cs="宋体"/>
                <w:b/>
                <w:bCs/>
                <w:color w:val="auto"/>
                <w:sz w:val="21"/>
                <w:szCs w:val="21"/>
                <w:highlight w:val="none"/>
                <w:lang w:eastAsia="zh-CN"/>
              </w:rPr>
              <w:t>(提供相关功能截图证明材料)</w:t>
            </w:r>
            <w:r>
              <w:rPr>
                <w:rFonts w:hint="eastAsia" w:ascii="宋体" w:hAnsi="宋体" w:eastAsia="宋体" w:cs="宋体"/>
                <w:color w:val="auto"/>
                <w:sz w:val="21"/>
                <w:szCs w:val="21"/>
                <w:highlight w:val="none"/>
              </w:rPr>
              <w:t>。</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▲预置多种常用组件和行业组态图元方便用户进行选择</w:t>
            </w:r>
            <w:r>
              <w:rPr>
                <w:rFonts w:hint="eastAsia" w:ascii="宋体" w:hAnsi="宋体" w:eastAsia="宋体" w:cs="宋体"/>
                <w:b/>
                <w:bCs/>
                <w:color w:val="auto"/>
                <w:sz w:val="21"/>
                <w:szCs w:val="21"/>
                <w:highlight w:val="none"/>
                <w:lang w:eastAsia="zh-CN"/>
              </w:rPr>
              <w:t>(提供相关功能截图证明材料)</w:t>
            </w:r>
            <w:r>
              <w:rPr>
                <w:rFonts w:hint="eastAsia" w:ascii="宋体" w:hAnsi="宋体" w:eastAsia="宋体" w:cs="宋体"/>
                <w:color w:val="auto"/>
                <w:sz w:val="21"/>
                <w:szCs w:val="21"/>
                <w:highlight w:val="none"/>
              </w:rPr>
              <w:t>。</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▲支持编辑画面的矢量化调整，保证画面的清晰程度</w:t>
            </w:r>
            <w:r>
              <w:rPr>
                <w:rFonts w:hint="eastAsia" w:ascii="宋体" w:hAnsi="宋体" w:eastAsia="宋体" w:cs="宋体"/>
                <w:b/>
                <w:bCs/>
                <w:color w:val="auto"/>
                <w:sz w:val="21"/>
                <w:szCs w:val="21"/>
                <w:highlight w:val="none"/>
                <w:lang w:eastAsia="zh-CN"/>
              </w:rPr>
              <w:t>(提供相关功能截图证明材料)。</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支持多Y轴趋势控件展示数据历史曲线。</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在广域网中通过PC、移动智能终端、智能网关等设备登录此云平台；具备项目管理功能，提供定制化的项目中心集中管理；支持物联网SAAS项目的新建并支持授权API的自动生成功能；支持物联网云网关的配置，支持云网关的设备管理、编辑等功能。</w:t>
            </w:r>
          </w:p>
          <w:p>
            <w:pPr>
              <w:pStyle w:val="38"/>
              <w:keepNext w:val="0"/>
              <w:keepLines w:val="0"/>
              <w:pageBreakBefore w:val="0"/>
              <w:widowControl w:val="0"/>
              <w:numPr>
                <w:ilvl w:val="0"/>
                <w:numId w:val="0"/>
              </w:numPr>
              <w:kinsoku/>
              <w:overflowPunct/>
              <w:autoSpaceDE/>
              <w:autoSpaceDN/>
              <w:bidi w:val="0"/>
              <w:adjustRightInd w:val="0"/>
              <w:snapToGrid w:val="0"/>
              <w:ind w:left="24" w:leftChars="10" w:right="24" w:rightChars="1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工业互联网综合训赛箱</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将指示灯、电机、风扇、按钮接入PLC；PLC里有一套为不具备任何逻辑控制的程序，一套使用简化版的污水处理程序，将6个水池简化为3个水池。</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用电机模拟提升泵。</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用风扇模拟搅拌机。</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当程序里提升泵、搅拌机工作时，电机和风扇分别工作。</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三个指示灯代表三个水池的状态，正常情况下为绿色为正常，循环走下去，报警为红色闪烁。</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3个按钮用于安灯环境，每个水池搭配两个按钮，分别为正常和异常，和指示灯联动，和产线状态联动；</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3个按钮用于提升泵和搅拌机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电机和风扇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的联动，分别为正常、停机、异常，需要和设备联动，同时和产线装填联动。</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HMI画面：HMI上可以切换污水处理环境和无程序环境，HMI上展示污水处理场景，HMI上展示安灯环境，HMI上展示设备运维场景。</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考试箱具有的物料应有PLC*1、普通电机*1、小风扇*1、任意传感器*1、指示灯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双色*3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、按钮*6、HMI*1。</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PLC需要具备ModBus TCP协议、传感器需要具备ModBus RTU协议、HMI需要具备OPC UA</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协议，这三种通讯协议，设备分配为暂定，协议必须支持。</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PLC内部程序：PLC内部具有两套程序，并且可以自由切换，一套为不具备任何逻辑控制的，一套使用简化版的污水处理程序，将6个水池简化为3个水池。</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触摸屏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HMI</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：数量1件；显示屏尺寸：≥7</w:t>
            </w:r>
            <w:r>
              <w:rPr>
                <w:rFonts w:hint="eastAsia" w:ascii="宋体" w:hAnsi="宋体" w:eastAsia="宋体" w:cs="宋体"/>
                <w:color w:val="auto"/>
                <w:sz w:val="21"/>
                <w:szCs w:val="21"/>
                <w:highlight w:val="none"/>
                <w:lang w:val="en-US" w:eastAsia="zh-CN"/>
              </w:rPr>
              <w:t>英</w:t>
            </w:r>
            <w:r>
              <w:rPr>
                <w:rFonts w:hint="eastAsia" w:ascii="宋体" w:hAnsi="宋体" w:eastAsia="宋体" w:cs="宋体"/>
                <w:color w:val="auto"/>
                <w:sz w:val="21"/>
                <w:szCs w:val="21"/>
                <w:highlight w:val="none"/>
              </w:rPr>
              <w:t>寸；分辨率：≥800*480，频率：≥1GHZ；内存：≥512M；存储：≥4G；USB接口：≥2个。串行接口：≥3个，RS485接口数：≥2个</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RS232接口数：≥1个。Modbus TCP方式功能：A/B Key 安全机制，支持云端/手机端APP/微信小程序访问云控制，内置 Web API 功能，支持接入AIoT平台，支持 MQTT 协议。可接入数据库服务器 /ERP/MES 等系统，主动上报，支持百万级别终端并发网络支持云透传。可远程编程、上下载、固件升级、诊断、监控及调试 PLC 程序，支持边缘计算，可将实时数据、历史数据存入 MySQL、SQL Server 等数据库，并支持数据下发，支持基站 &amp;IP 定位、设备地图查看。可在手机和大屏幕上远程查看设备的地理位置，搭配实时报警跳动功能。</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训练模块：PLC数量1台，工作存储器空间：≥100 KB，供电电压：24VDC，数字量输入点数：≥8，数字量输出点数：≥8，外型：长：≤95，宽：≤40，高：≤65，脉冲输入：2路A/B相，4点200K，通讯接口：Modbus TCP通信协议、RS485、同一个485口可以同时，带不同协议不同波特率不同资料格式的产品，不用管第三方设备。功率：&lt;4.8W，拓展模块：≥15，拓展I/O点≥256。云功能：可通过免费云引擎对 PLC 远程编程、上下载及监控等。PLC功能需求：单机支持96路温控，支持 32 路增量 PID、32 路。自整定 PID、32 路模糊温度控制，可用AI寄存器直接访问模拟量输入，模拟量输入支持工程量转换、采样次数设定及零点修正。可用AQ 寄存器直接控制模拟量输出，模拟量输出支持工程量转换。</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传感器组件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温度传感器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：数量：1件，供电：DC24V，内置探头，输出：Modbus RTU方式，耐温：-20～100℃，防护等级：≥IP65，温度量程：0～100℃，温度显示分辨率：≤0.1℃。采集内容：通过PLC和网关均可独立采集当前检测温度的工程值。</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指示灯：双色指示灯：≤22MM的，24VDC。</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按钮组件：按钮：≥12MM。</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小风扇：电压：24VDC、R=6cm，转速：1200-2000。</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小电机：电压：24VDC，功率：10W，转速：50转/分钟，调速：是，正反转：是。</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24V电源：输入电压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90~264，输出电压：24VDC，额定电流6.5A，额定功率：150w。</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交换：长：≤90mm、宽：≤55mm、高≤25mm，5个10/100m自适应LAN口。</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串口：传输速度&gt;1Mbps，传输距离：RS-485端≥1200m、USB端≤5m，波特率：300bps-921.6kbps，传输接口：标准USB2.0、DB9针。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64" w:type="pct"/>
            <w:vAlign w:val="center"/>
          </w:tcPr>
          <w:p>
            <w:pPr>
              <w:keepNext w:val="0"/>
              <w:keepLines w:val="0"/>
              <w:pageBreakBefore w:val="0"/>
              <w:widowControl w:val="0"/>
              <w:kinsoku/>
              <w:overflowPunct/>
              <w:autoSpaceDE/>
              <w:autoSpaceDN/>
              <w:bidi w:val="0"/>
              <w:adjustRightInd w:val="0"/>
              <w:snapToGrid w:val="0"/>
              <w:spacing w:line="360" w:lineRule="exact"/>
              <w:ind w:left="24" w:leftChars="10" w:right="24" w:rightChars="10"/>
              <w:jc w:val="center"/>
              <w:textAlignment w:val="auto"/>
              <w:rPr>
                <w:rFonts w:hint="eastAsia" w:ascii="宋体" w:hAnsi="宋体" w:eastAsia="宋体" w:cs="宋体"/>
                <w:color w:val="auto"/>
                <w:sz w:val="21"/>
                <w:szCs w:val="21"/>
                <w:highlight w:val="none"/>
                <w:lang w:val="en-US" w:eastAsia="zh-CN"/>
              </w:rPr>
            </w:pPr>
            <w:bookmarkStart w:id="1142" w:name="_Toc31796"/>
            <w:r>
              <w:rPr>
                <w:rFonts w:hint="eastAsia" w:ascii="宋体" w:hAnsi="宋体" w:eastAsia="宋体" w:cs="宋体"/>
                <w:color w:val="auto"/>
                <w:sz w:val="21"/>
                <w:szCs w:val="21"/>
                <w:highlight w:val="none"/>
                <w:lang w:val="en-US" w:eastAsia="zh-CN"/>
              </w:rPr>
              <w:t>2</w:t>
            </w:r>
          </w:p>
        </w:tc>
        <w:tc>
          <w:tcPr>
            <w:tcW w:w="774" w:type="pct"/>
            <w:vAlign w:val="center"/>
          </w:tcPr>
          <w:p>
            <w:pPr>
              <w:keepNext w:val="0"/>
              <w:keepLines w:val="0"/>
              <w:pageBreakBefore w:val="0"/>
              <w:widowControl w:val="0"/>
              <w:kinsoku/>
              <w:overflowPunct/>
              <w:autoSpaceDE/>
              <w:autoSpaceDN/>
              <w:bidi w:val="0"/>
              <w:adjustRightInd w:val="0"/>
              <w:snapToGrid w:val="0"/>
              <w:spacing w:line="360" w:lineRule="exact"/>
              <w:ind w:left="24" w:leftChars="10" w:right="24" w:rightChars="10"/>
              <w:jc w:val="center"/>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eastAsia="zh-Hans"/>
              </w:rPr>
              <w:t>建筑智能化系统安装与调试实训平台</w:t>
            </w:r>
          </w:p>
        </w:tc>
        <w:tc>
          <w:tcPr>
            <w:tcW w:w="3860" w:type="pct"/>
            <w:vAlign w:val="center"/>
          </w:tcPr>
          <w:p>
            <w:pPr>
              <w:pStyle w:val="38"/>
              <w:keepNext w:val="0"/>
              <w:keepLines w:val="0"/>
              <w:pageBreakBefore w:val="0"/>
              <w:widowControl w:val="0"/>
              <w:numPr>
                <w:ilvl w:val="0"/>
                <w:numId w:val="0"/>
              </w:numPr>
              <w:kinsoku/>
              <w:overflowPunct/>
              <w:autoSpaceDE/>
              <w:autoSpaceDN/>
              <w:bidi w:val="0"/>
              <w:adjustRightInd w:val="0"/>
              <w:snapToGrid w:val="0"/>
              <w:ind w:left="24" w:leftChars="10" w:right="24" w:rightChars="1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技术性能</w:t>
            </w:r>
            <w:r>
              <w:rPr>
                <w:rFonts w:hint="eastAsia" w:ascii="宋体" w:hAnsi="宋体" w:eastAsia="宋体" w:cs="宋体"/>
                <w:b/>
                <w:bCs/>
                <w:color w:val="auto"/>
                <w:sz w:val="21"/>
                <w:szCs w:val="21"/>
                <w:highlight w:val="none"/>
                <w:lang w:val="en-US" w:eastAsia="zh-CN"/>
              </w:rPr>
              <w:t>要求</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输入电源：单相三线AC220V±10% 50Hz</w:t>
            </w:r>
            <w:r>
              <w:rPr>
                <w:rFonts w:hint="eastAsia" w:ascii="宋体" w:hAnsi="宋体" w:eastAsia="宋体" w:cs="宋体"/>
                <w:color w:val="auto"/>
                <w:sz w:val="21"/>
                <w:szCs w:val="21"/>
                <w:highlight w:val="none"/>
                <w:lang w:eastAsia="zh-CN"/>
              </w:rPr>
              <w:t>。</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工作环境：温度-10℃～40℃ 相对湿度≤85%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海拔≤4000m</w:t>
            </w:r>
            <w:r>
              <w:rPr>
                <w:rFonts w:hint="eastAsia" w:ascii="宋体" w:hAnsi="宋体" w:eastAsia="宋体" w:cs="宋体"/>
                <w:color w:val="auto"/>
                <w:sz w:val="21"/>
                <w:szCs w:val="21"/>
                <w:highlight w:val="none"/>
                <w:lang w:eastAsia="zh-CN"/>
              </w:rPr>
              <w:t>。</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装置容量：≤1.0kVA</w:t>
            </w:r>
            <w:r>
              <w:rPr>
                <w:rFonts w:hint="eastAsia" w:ascii="宋体" w:hAnsi="宋体" w:eastAsia="宋体" w:cs="宋体"/>
                <w:color w:val="auto"/>
                <w:sz w:val="21"/>
                <w:szCs w:val="21"/>
                <w:highlight w:val="none"/>
                <w:lang w:eastAsia="zh-CN"/>
              </w:rPr>
              <w:t>。</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外形尺寸：</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2.19m×0.76m×2.13m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长×宽×高</w:t>
            </w:r>
            <w:r>
              <w:rPr>
                <w:rFonts w:hint="eastAsia" w:ascii="宋体" w:hAnsi="宋体" w:eastAsia="宋体" w:cs="宋体"/>
                <w:color w:val="auto"/>
                <w:sz w:val="21"/>
                <w:szCs w:val="21"/>
                <w:highlight w:val="none"/>
                <w:lang w:eastAsia="zh-CN"/>
              </w:rPr>
              <w:t>)。</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安全保护：具有漏电压、漏电流保护</w:t>
            </w:r>
            <w:r>
              <w:rPr>
                <w:rFonts w:hint="eastAsia" w:ascii="宋体" w:hAnsi="宋体" w:eastAsia="宋体" w:cs="宋体"/>
                <w:color w:val="auto"/>
                <w:sz w:val="21"/>
                <w:szCs w:val="21"/>
                <w:highlight w:val="none"/>
                <w:lang w:eastAsia="zh-CN"/>
              </w:rPr>
              <w:t>。</w:t>
            </w:r>
          </w:p>
          <w:p>
            <w:pPr>
              <w:pStyle w:val="38"/>
              <w:keepNext w:val="0"/>
              <w:keepLines w:val="0"/>
              <w:pageBreakBefore w:val="0"/>
              <w:widowControl w:val="0"/>
              <w:numPr>
                <w:ilvl w:val="0"/>
                <w:numId w:val="0"/>
              </w:numPr>
              <w:kinsoku/>
              <w:overflowPunct/>
              <w:autoSpaceDE/>
              <w:autoSpaceDN/>
              <w:bidi w:val="0"/>
              <w:adjustRightInd w:val="0"/>
              <w:snapToGrid w:val="0"/>
              <w:ind w:left="24" w:leftChars="10" w:right="24" w:rightChars="1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结构与组成</w:t>
            </w:r>
            <w:r>
              <w:rPr>
                <w:rFonts w:hint="eastAsia" w:ascii="宋体" w:hAnsi="宋体" w:eastAsia="宋体" w:cs="宋体"/>
                <w:b/>
                <w:bCs/>
                <w:color w:val="auto"/>
                <w:sz w:val="21"/>
                <w:szCs w:val="21"/>
                <w:highlight w:val="none"/>
                <w:lang w:val="en-US" w:eastAsia="zh-CN"/>
              </w:rPr>
              <w:t>要求</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要求</w:t>
            </w:r>
            <w:r>
              <w:rPr>
                <w:rFonts w:hint="eastAsia" w:ascii="宋体" w:hAnsi="宋体" w:eastAsia="宋体" w:cs="宋体"/>
                <w:color w:val="auto"/>
                <w:sz w:val="21"/>
                <w:szCs w:val="21"/>
                <w:highlight w:val="none"/>
              </w:rPr>
              <w:t>平台在结构上采用工程安装机柜和双面网孔式安装墙连体设计，系统由对讲门禁及室内安防、消防报警联动、综合布线子系统组成。</w:t>
            </w:r>
          </w:p>
          <w:p>
            <w:pPr>
              <w:pStyle w:val="38"/>
              <w:keepNext w:val="0"/>
              <w:keepLines w:val="0"/>
              <w:pageBreakBefore w:val="0"/>
              <w:widowControl w:val="0"/>
              <w:numPr>
                <w:ilvl w:val="0"/>
                <w:numId w:val="0"/>
              </w:numPr>
              <w:kinsoku/>
              <w:overflowPunct/>
              <w:autoSpaceDE/>
              <w:autoSpaceDN/>
              <w:bidi w:val="0"/>
              <w:adjustRightInd w:val="0"/>
              <w:snapToGrid w:val="0"/>
              <w:ind w:left="24" w:leftChars="10" w:right="24" w:rightChars="1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三、配套运行软件</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▲停电应急处置模拟演练系统软件</w:t>
            </w:r>
            <w:r>
              <w:rPr>
                <w:rFonts w:hint="eastAsia" w:ascii="宋体" w:hAnsi="宋体" w:eastAsia="宋体" w:cs="宋体"/>
                <w:color w:val="auto"/>
                <w:sz w:val="21"/>
                <w:szCs w:val="21"/>
                <w:highlight w:val="none"/>
                <w:lang w:val="en-US" w:eastAsia="zh-CN"/>
              </w:rPr>
              <w:t>要求软件为正版软件，应具有加密狗</w:t>
            </w:r>
            <w:r>
              <w:rPr>
                <w:rFonts w:hint="eastAsia" w:ascii="宋体" w:hAnsi="宋体" w:eastAsia="宋体" w:cs="宋体"/>
                <w:b/>
                <w:bCs/>
                <w:color w:val="auto"/>
                <w:sz w:val="21"/>
                <w:szCs w:val="21"/>
                <w:highlight w:val="none"/>
                <w:lang w:val="en-US" w:eastAsia="zh-CN"/>
              </w:rPr>
              <w:t>(提供软件著作权证书、测评报告)。</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要求</w:t>
            </w:r>
            <w:r>
              <w:rPr>
                <w:rFonts w:hint="eastAsia" w:ascii="宋体" w:hAnsi="宋体" w:eastAsia="宋体" w:cs="宋体"/>
                <w:color w:val="auto"/>
                <w:sz w:val="21"/>
                <w:szCs w:val="21"/>
                <w:highlight w:val="none"/>
              </w:rPr>
              <w:t>软件采用Unity 3D技术仿真技术，界面生动美观、易学易用，可以提高教师教学和学生学习的兴趣</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kern w:val="0"/>
                <w:sz w:val="21"/>
                <w:szCs w:val="21"/>
                <w:highlight w:val="none"/>
              </w:rPr>
              <w:t>提供</w:t>
            </w:r>
            <w:r>
              <w:rPr>
                <w:rFonts w:hint="eastAsia" w:ascii="宋体" w:hAnsi="宋体" w:eastAsia="宋体" w:cs="宋体"/>
                <w:b/>
                <w:bCs/>
                <w:color w:val="auto"/>
                <w:kern w:val="0"/>
                <w:sz w:val="21"/>
                <w:szCs w:val="21"/>
                <w:highlight w:val="none"/>
                <w:lang w:val="en-US" w:eastAsia="zh-CN"/>
              </w:rPr>
              <w:t>第三方检测机构检测并</w:t>
            </w:r>
            <w:r>
              <w:rPr>
                <w:rFonts w:hint="eastAsia" w:ascii="宋体" w:hAnsi="宋体" w:eastAsia="宋体" w:cs="宋体"/>
                <w:b/>
                <w:bCs/>
                <w:color w:val="auto"/>
                <w:kern w:val="0"/>
                <w:sz w:val="21"/>
                <w:szCs w:val="21"/>
                <w:highlight w:val="none"/>
              </w:rPr>
              <w:t>出具的软件测评报告及软件产品评估证书</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▲软件可实现以下功能</w:t>
            </w:r>
            <w:r>
              <w:rPr>
                <w:rFonts w:hint="eastAsia" w:ascii="宋体" w:hAnsi="宋体" w:eastAsia="宋体" w:cs="宋体"/>
                <w:b/>
                <w:bCs/>
                <w:color w:val="auto"/>
                <w:sz w:val="21"/>
                <w:szCs w:val="21"/>
                <w:highlight w:val="none"/>
                <w:lang w:eastAsia="zh-CN"/>
              </w:rPr>
              <w:t>(提供相关功能截图证明材料)</w:t>
            </w:r>
          </w:p>
          <w:p>
            <w:pPr>
              <w:pStyle w:val="38"/>
              <w:keepNext w:val="0"/>
              <w:keepLines w:val="0"/>
              <w:pageBreakBefore w:val="0"/>
              <w:widowControl w:val="0"/>
              <w:numPr>
                <w:ilvl w:val="0"/>
                <w:numId w:val="0"/>
              </w:numPr>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直观显示操作前后设备的状态；</w:t>
            </w:r>
          </w:p>
          <w:p>
            <w:pPr>
              <w:pStyle w:val="38"/>
              <w:keepNext w:val="0"/>
              <w:keepLines w:val="0"/>
              <w:pageBreakBefore w:val="0"/>
              <w:widowControl w:val="0"/>
              <w:numPr>
                <w:ilvl w:val="0"/>
                <w:numId w:val="0"/>
              </w:numPr>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模拟操作完毕后，图形还原到操作前状态；</w:t>
            </w:r>
          </w:p>
          <w:p>
            <w:pPr>
              <w:pStyle w:val="38"/>
              <w:keepNext w:val="0"/>
              <w:keepLines w:val="0"/>
              <w:pageBreakBefore w:val="0"/>
              <w:widowControl w:val="0"/>
              <w:numPr>
                <w:ilvl w:val="0"/>
                <w:numId w:val="0"/>
              </w:numPr>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可以设置故障，用户选择需要操练的科目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不同的故障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pStyle w:val="38"/>
              <w:keepNext w:val="0"/>
              <w:keepLines w:val="0"/>
              <w:pageBreakBefore w:val="0"/>
              <w:widowControl w:val="0"/>
              <w:numPr>
                <w:ilvl w:val="0"/>
                <w:numId w:val="0"/>
              </w:numPr>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可以模拟应急操作，用户在图形界面上进行故障处理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模拟操作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，如果操作错误，系统自动提示正误；</w:t>
            </w:r>
          </w:p>
          <w:p>
            <w:pPr>
              <w:pStyle w:val="38"/>
              <w:keepNext w:val="0"/>
              <w:keepLines w:val="0"/>
              <w:pageBreakBefore w:val="0"/>
              <w:widowControl w:val="0"/>
              <w:numPr>
                <w:ilvl w:val="0"/>
                <w:numId w:val="0"/>
              </w:numPr>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系统自动生成预案，预设一些故障类型和应急处理操作步骤，在演练结束后输出正确的应急处置操作步骤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操作票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根据用户选择的故障类型，系统自动生成应急处置操作步骤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操作票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pStyle w:val="38"/>
              <w:keepNext w:val="0"/>
              <w:keepLines w:val="0"/>
              <w:pageBreakBefore w:val="0"/>
              <w:widowControl w:val="0"/>
              <w:numPr>
                <w:ilvl w:val="0"/>
                <w:numId w:val="0"/>
              </w:numPr>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智能开票，给正常运行时的操作任务自动开票；</w:t>
            </w:r>
          </w:p>
          <w:p>
            <w:pPr>
              <w:pStyle w:val="38"/>
              <w:keepNext w:val="0"/>
              <w:keepLines w:val="0"/>
              <w:pageBreakBefore w:val="0"/>
              <w:widowControl w:val="0"/>
              <w:numPr>
                <w:ilvl w:val="0"/>
                <w:numId w:val="0"/>
              </w:numPr>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人工开票，用户可以手动开票；</w:t>
            </w:r>
          </w:p>
          <w:p>
            <w:pPr>
              <w:pStyle w:val="38"/>
              <w:keepNext w:val="0"/>
              <w:keepLines w:val="0"/>
              <w:pageBreakBefore w:val="0"/>
              <w:widowControl w:val="0"/>
              <w:numPr>
                <w:ilvl w:val="0"/>
                <w:numId w:val="0"/>
              </w:numPr>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操作票维护，操作票预览及保存及打印。</w:t>
            </w:r>
          </w:p>
          <w:p>
            <w:pPr>
              <w:pStyle w:val="38"/>
              <w:keepNext w:val="0"/>
              <w:keepLines w:val="0"/>
              <w:pageBreakBefore w:val="0"/>
              <w:widowControl w:val="0"/>
              <w:numPr>
                <w:ilvl w:val="0"/>
                <w:numId w:val="0"/>
              </w:numPr>
              <w:kinsoku/>
              <w:overflowPunct/>
              <w:autoSpaceDE/>
              <w:autoSpaceDN/>
              <w:bidi w:val="0"/>
              <w:adjustRightInd w:val="0"/>
              <w:snapToGrid w:val="0"/>
              <w:ind w:left="24" w:leftChars="10" w:right="24" w:rightChars="1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配置</w:t>
            </w:r>
            <w:r>
              <w:rPr>
                <w:rFonts w:hint="eastAsia" w:ascii="宋体" w:hAnsi="宋体" w:eastAsia="宋体" w:cs="宋体"/>
                <w:b/>
                <w:bCs/>
                <w:color w:val="auto"/>
                <w:sz w:val="21"/>
                <w:szCs w:val="21"/>
                <w:highlight w:val="none"/>
                <w:lang w:val="en-US" w:eastAsia="zh-CN"/>
              </w:rPr>
              <w:t>要求</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结构要求</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≥2190mm×760mm×2130mm(长×宽×高)，要求配50mm×780mm安装布线网孔板8块，器件采用螺丝和膨胀尼龙配合安装。</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消防控制箱</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要求至少由DC24V/2A、24V继电器等。</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火灾报警联动系统</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要求包含火灾报警控制器、智能光电感烟探测器、智能电子差定温探测器、总线隔离器、编码手报按钮、编码单输入/单输出模块、编码消火栓报警按钮、火警讯响器、编码器、模拟消防泵、模拟排烟阀、模拟卷帘门等。</w:t>
            </w:r>
            <w:r>
              <w:rPr>
                <w:rFonts w:hint="eastAsia" w:ascii="宋体" w:hAnsi="宋体" w:eastAsia="宋体" w:cs="宋体"/>
                <w:color w:val="auto"/>
                <w:sz w:val="21"/>
                <w:szCs w:val="21"/>
                <w:highlight w:val="none"/>
                <w:lang w:val="en-US" w:eastAsia="zh-CN"/>
              </w:rPr>
              <w:tab/>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对讲门禁系统</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要求包含人脸识别门口机、触摸屏室内机、管理中心机、数字交换机、中心管理机、管理软件、支架等。</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综合布线系统要求包含信息模块、RJ45配线架、110100配线架、24口交换机、电话机、86底盒、网络接口面板等。</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型材电脑桌要求外形尺寸：长×宽×高≥625mm×600mm×1045mm。立柱采用3060铝型材，底盘框架采用3030铝型材设计。立柱前面用一体成型的L型冷轧钢支撑架加固，保证整体强度安全可靠。桌面采用12mm厚的实心抗贝特复合板材，边缘倒圆，防火防水防静电、耐腐蚀。配键盘抽屉，键盘抽屉底部配可旋转收缩的鼠标托盘，键盘抽屉上面有放置笔的凹槽，采用静音导轨，坚固可靠，推拉顺畅。配四只1.5寸带刹车万向脚轮。桌面板后面和底板后面带防护板</w:t>
            </w:r>
            <w:r>
              <w:rPr>
                <w:rFonts w:hint="eastAsia" w:ascii="宋体" w:hAnsi="宋体" w:eastAsia="宋体" w:cs="宋体"/>
                <w:b/>
                <w:bCs/>
                <w:strike w:val="0"/>
                <w:dstrike w:val="0"/>
                <w:color w:val="auto"/>
                <w:sz w:val="21"/>
                <w:szCs w:val="21"/>
                <w:highlight w:val="none"/>
                <w:lang w:val="en-US" w:eastAsia="zh-CN"/>
              </w:rPr>
              <w:t>【</w:t>
            </w:r>
            <w:r>
              <w:rPr>
                <w:rFonts w:hint="eastAsia" w:ascii="宋体" w:hAnsi="宋体" w:eastAsia="宋体" w:cs="宋体"/>
                <w:b/>
                <w:bCs/>
                <w:strike w:val="0"/>
                <w:color w:val="auto"/>
                <w:sz w:val="21"/>
                <w:szCs w:val="21"/>
                <w:highlight w:val="none"/>
                <w:lang w:val="en-US" w:eastAsia="zh-CN"/>
              </w:rPr>
              <w:t>提供第三方检测机构出具的检测(验)报告，检测内容包括但不限于金属喷漆(塑)涂层冲击强度(冲击高度400mm)，木制件表面贴面层耐污染性能(丙酮试验时间16h)≥3级，人造板件封边条表面胶合强度≥0.4MPa)</w:t>
            </w:r>
            <w:r>
              <w:rPr>
                <w:rFonts w:hint="eastAsia" w:ascii="宋体" w:hAnsi="宋体" w:eastAsia="宋体" w:cs="宋体"/>
                <w:b/>
                <w:bCs/>
                <w:strike w:val="0"/>
                <w:dstrike w:val="0"/>
                <w:color w:val="auto"/>
                <w:sz w:val="21"/>
                <w:szCs w:val="21"/>
                <w:highlight w:val="none"/>
                <w:lang w:val="en-US" w:eastAsia="zh-CN"/>
              </w:rPr>
              <w:t>】</w:t>
            </w:r>
            <w:r>
              <w:rPr>
                <w:rFonts w:hint="eastAsia" w:ascii="宋体" w:hAnsi="宋体" w:eastAsia="宋体" w:cs="宋体"/>
                <w:b/>
                <w:bCs/>
                <w:strike w:val="0"/>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配铝人字梯</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800mm×420mm×1280mm(长×宽×高)1个。</w:t>
            </w:r>
          </w:p>
          <w:p>
            <w:pPr>
              <w:pStyle w:val="38"/>
              <w:keepNext w:val="0"/>
              <w:keepLines w:val="0"/>
              <w:pageBreakBefore w:val="0"/>
              <w:widowControl w:val="0"/>
              <w:numPr>
                <w:ilvl w:val="0"/>
                <w:numId w:val="0"/>
              </w:numPr>
              <w:kinsoku/>
              <w:overflowPunct/>
              <w:autoSpaceDE/>
              <w:autoSpaceDN/>
              <w:bidi w:val="0"/>
              <w:adjustRightInd w:val="0"/>
              <w:snapToGrid w:val="0"/>
              <w:ind w:left="24" w:leftChars="10" w:right="24" w:rightChars="1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可完成实训</w:t>
            </w:r>
            <w:r>
              <w:rPr>
                <w:rFonts w:hint="eastAsia" w:ascii="宋体" w:hAnsi="宋体" w:eastAsia="宋体" w:cs="宋体"/>
                <w:b/>
                <w:bCs/>
                <w:color w:val="auto"/>
                <w:sz w:val="21"/>
                <w:szCs w:val="21"/>
                <w:highlight w:val="none"/>
              </w:rPr>
              <w:t>项目</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对讲门禁及室内安防系统安装、接线和调试</w:t>
            </w:r>
            <w:r>
              <w:rPr>
                <w:rFonts w:hint="eastAsia" w:ascii="宋体" w:hAnsi="宋体" w:eastAsia="宋体" w:cs="宋体"/>
                <w:color w:val="auto"/>
                <w:sz w:val="21"/>
                <w:szCs w:val="21"/>
                <w:highlight w:val="none"/>
                <w:lang w:eastAsia="zh-CN"/>
              </w:rPr>
              <w:t>。</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消防系统实训安装、接线和调试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综合布线系统实训安装、接线和调试</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64" w:type="pct"/>
            <w:vAlign w:val="center"/>
          </w:tcPr>
          <w:p>
            <w:pPr>
              <w:keepNext w:val="0"/>
              <w:keepLines w:val="0"/>
              <w:pageBreakBefore w:val="0"/>
              <w:widowControl w:val="0"/>
              <w:kinsoku/>
              <w:overflowPunct/>
              <w:autoSpaceDE/>
              <w:autoSpaceDN/>
              <w:bidi w:val="0"/>
              <w:adjustRightInd w:val="0"/>
              <w:snapToGrid w:val="0"/>
              <w:spacing w:line="360" w:lineRule="exact"/>
              <w:ind w:left="24" w:leftChars="10" w:right="24" w:rightChars="1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74" w:type="pct"/>
            <w:vAlign w:val="center"/>
          </w:tcPr>
          <w:p>
            <w:pPr>
              <w:keepNext w:val="0"/>
              <w:keepLines w:val="0"/>
              <w:pageBreakBefore w:val="0"/>
              <w:widowControl w:val="0"/>
              <w:kinsoku/>
              <w:overflowPunct/>
              <w:autoSpaceDE/>
              <w:autoSpaceDN/>
              <w:bidi w:val="0"/>
              <w:adjustRightInd w:val="0"/>
              <w:snapToGrid w:val="0"/>
              <w:spacing w:line="360" w:lineRule="exact"/>
              <w:ind w:left="24" w:leftChars="10" w:right="24" w:rightChars="1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机电一体化装配工作站</w:t>
            </w:r>
          </w:p>
        </w:tc>
        <w:tc>
          <w:tcPr>
            <w:tcW w:w="3860" w:type="pct"/>
            <w:vAlign w:val="center"/>
          </w:tcPr>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eastAsia="zh-Hans"/>
              </w:rPr>
              <w:t>装配桌</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Hans"/>
              </w:rPr>
              <w:t>2</w:t>
            </w:r>
            <w:r>
              <w:rPr>
                <w:rFonts w:hint="eastAsia" w:ascii="宋体" w:hAnsi="宋体" w:eastAsia="宋体" w:cs="宋体"/>
                <w:color w:val="auto"/>
                <w:sz w:val="21"/>
                <w:szCs w:val="21"/>
                <w:highlight w:val="none"/>
                <w:lang w:val="en-US" w:eastAsia="zh-Hans"/>
              </w:rPr>
              <w:t>个</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Hans"/>
              </w:rPr>
              <w:t>，材质：304不锈钢，类型：不锈钢工作台，尺寸：1800*750mm</w:t>
            </w:r>
            <w:r>
              <w:rPr>
                <w:rFonts w:hint="eastAsia" w:ascii="宋体" w:hAnsi="宋体" w:eastAsia="宋体" w:cs="宋体"/>
                <w:color w:val="auto"/>
                <w:sz w:val="21"/>
                <w:szCs w:val="21"/>
                <w:highlight w:val="none"/>
                <w:lang w:eastAsia="zh-CN"/>
              </w:rPr>
              <w:t>。</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Hans"/>
              </w:rPr>
              <w:t>货架</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Hans"/>
              </w:rPr>
              <w:t>个</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长度：2000mm，宽度：60mm，高度2000mm，层数：4，承重</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Hans"/>
              </w:rPr>
              <w:t>300kg</w:t>
            </w:r>
            <w:r>
              <w:rPr>
                <w:rFonts w:hint="eastAsia" w:ascii="宋体" w:hAnsi="宋体" w:eastAsia="宋体" w:cs="宋体"/>
                <w:color w:val="auto"/>
                <w:sz w:val="21"/>
                <w:szCs w:val="21"/>
                <w:highlight w:val="none"/>
                <w:lang w:val="en-US" w:eastAsia="zh-CN"/>
              </w:rPr>
              <w:t>，颜色：白色。</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Hans"/>
              </w:rPr>
              <w:t>抽屉式零件柜</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抽屉</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lang w:val="en-US" w:eastAsia="zh-Hans"/>
              </w:rPr>
              <w:t>尺寸</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Hans"/>
              </w:rPr>
              <w:t>195</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lang w:val="en-US" w:eastAsia="zh-Hans"/>
              </w:rPr>
              <w:t>*96</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lang w:val="en-US" w:eastAsia="zh-Hans"/>
              </w:rPr>
              <w:t>*47</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抽屉数</w:t>
            </w:r>
            <w:r>
              <w:rPr>
                <w:rFonts w:hint="eastAsia" w:ascii="宋体" w:hAnsi="宋体" w:eastAsia="宋体" w:cs="宋体"/>
                <w:color w:val="auto"/>
                <w:sz w:val="21"/>
                <w:szCs w:val="21"/>
                <w:highlight w:val="none"/>
                <w:lang w:eastAsia="zh-Hans"/>
              </w:rPr>
              <w:t>75</w:t>
            </w:r>
            <w:r>
              <w:rPr>
                <w:rFonts w:hint="eastAsia" w:ascii="宋体" w:hAnsi="宋体" w:eastAsia="宋体" w:cs="宋体"/>
                <w:color w:val="auto"/>
                <w:sz w:val="21"/>
                <w:szCs w:val="21"/>
                <w:highlight w:val="none"/>
                <w:lang w:val="en-US" w:eastAsia="zh-Hans"/>
              </w:rPr>
              <w:t>个</w:t>
            </w:r>
            <w:r>
              <w:rPr>
                <w:rFonts w:hint="eastAsia" w:ascii="宋体" w:hAnsi="宋体" w:eastAsia="宋体" w:cs="宋体"/>
                <w:color w:val="auto"/>
                <w:sz w:val="21"/>
                <w:szCs w:val="21"/>
                <w:highlight w:val="none"/>
                <w:lang w:eastAsia="zh-Hans"/>
              </w:rPr>
              <w:t>，柜体钣金厚度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Hans"/>
              </w:rPr>
              <w:t>3mm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抽屉颜色：透明。</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Hans"/>
              </w:rPr>
              <w:t>抽屉式零件柜</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抽屉</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lang w:val="en-US" w:eastAsia="zh-Hans"/>
              </w:rPr>
              <w:t>尺寸</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Hans"/>
              </w:rPr>
              <w:t>212</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lang w:val="en-US" w:eastAsia="zh-Hans"/>
              </w:rPr>
              <w:t>*115</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lang w:val="en-US" w:eastAsia="zh-Hans"/>
              </w:rPr>
              <w:t>*65</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抽屉数</w:t>
            </w:r>
            <w:r>
              <w:rPr>
                <w:rFonts w:hint="eastAsia" w:ascii="宋体" w:hAnsi="宋体" w:eastAsia="宋体" w:cs="宋体"/>
                <w:color w:val="auto"/>
                <w:sz w:val="21"/>
                <w:szCs w:val="21"/>
                <w:highlight w:val="none"/>
                <w:lang w:eastAsia="zh-Hans"/>
              </w:rPr>
              <w:t>45</w:t>
            </w:r>
            <w:r>
              <w:rPr>
                <w:rFonts w:hint="eastAsia" w:ascii="宋体" w:hAnsi="宋体" w:eastAsia="宋体" w:cs="宋体"/>
                <w:color w:val="auto"/>
                <w:sz w:val="21"/>
                <w:szCs w:val="21"/>
                <w:highlight w:val="none"/>
                <w:lang w:val="en-US" w:eastAsia="zh-Hans"/>
              </w:rPr>
              <w:t>个</w:t>
            </w:r>
            <w:r>
              <w:rPr>
                <w:rFonts w:hint="eastAsia" w:ascii="宋体" w:hAnsi="宋体" w:eastAsia="宋体" w:cs="宋体"/>
                <w:color w:val="auto"/>
                <w:sz w:val="21"/>
                <w:szCs w:val="21"/>
                <w:highlight w:val="none"/>
                <w:lang w:eastAsia="zh-Hans"/>
              </w:rPr>
              <w:t>，柜体钣金厚度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Hans"/>
              </w:rPr>
              <w:t>3mm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抽屉颜色：透明。</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Hans"/>
              </w:rPr>
              <w:t>铝合金切割机</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CN"/>
              </w:rPr>
              <w:t>电压：220V，额定功率：≥2680W，空载转速：4500r/min，切割角度：45°～-45°，配置：夹紧装置 120齿铝锯片*2。</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桌面</w:t>
            </w:r>
            <w:r>
              <w:rPr>
                <w:rFonts w:hint="eastAsia" w:ascii="宋体" w:hAnsi="宋体" w:eastAsia="宋体" w:cs="宋体"/>
                <w:color w:val="auto"/>
                <w:sz w:val="21"/>
                <w:szCs w:val="21"/>
                <w:highlight w:val="none"/>
                <w:lang w:val="en-US" w:eastAsia="zh-Hans"/>
              </w:rPr>
              <w:t>多功能钻铣床</w:t>
            </w:r>
            <w:r>
              <w:rPr>
                <w:rFonts w:hint="eastAsia" w:ascii="宋体" w:hAnsi="宋体" w:eastAsia="宋体" w:cs="宋体"/>
                <w:color w:val="auto"/>
                <w:sz w:val="21"/>
                <w:szCs w:val="21"/>
                <w:highlight w:val="none"/>
                <w:lang w:eastAsia="zh-Hans"/>
              </w:rPr>
              <w:t>，电机</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Hans"/>
              </w:rPr>
              <w:t>220V单项，最大大钻孔直径</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Hans"/>
              </w:rPr>
              <w:t>45mm，最大大面铣刀直径</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Hans"/>
              </w:rPr>
              <w:t>80mm，最大大立铣刀直径</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Hans"/>
              </w:rPr>
              <w:t>32mm，主轴端至工作台最大距离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Hans"/>
              </w:rPr>
              <w:t>450mm，主轴轴线至立柱表面最大小距离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Hans"/>
              </w:rPr>
              <w:t>203.5mm，主轴行程</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Hans"/>
              </w:rPr>
              <w:t>130mm，主轴锥孔</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Hans"/>
              </w:rPr>
              <w:t>MT4，主轴转速级数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Hans"/>
              </w:rPr>
              <w:t>12，主轴转速范围</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Hans"/>
              </w:rPr>
              <w:t>50Hz 80～2080 rpm</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Hans"/>
              </w:rPr>
              <w:t>60Hz</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Hans"/>
              </w:rPr>
              <w:t>100～2500 rpm，主轴箱回转角度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Hans"/>
              </w:rPr>
              <w:t>水平方向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Hans"/>
              </w:rPr>
              <w:t>360°，工作台面积</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Hans"/>
              </w:rPr>
              <w:t>800mm×240mm，工作台前后行程</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Hans"/>
              </w:rPr>
              <w:t>175mm，工作台左右行程</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Hans"/>
              </w:rPr>
              <w:t>500mm，电机功率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Hans"/>
              </w:rPr>
              <w:t>1.5KW</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Hans"/>
              </w:rPr>
              <w:t>附加功能</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Hans"/>
              </w:rPr>
              <w:t>自动走刀器+光栅尺+工作柜。</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Hans"/>
              </w:rPr>
              <w:t>铣床配件包</w:t>
            </w:r>
            <w:r>
              <w:rPr>
                <w:rFonts w:hint="eastAsia" w:ascii="宋体" w:hAnsi="宋体" w:eastAsia="宋体" w:cs="宋体"/>
                <w:color w:val="auto"/>
                <w:sz w:val="21"/>
                <w:szCs w:val="21"/>
                <w:highlight w:val="none"/>
                <w:lang w:eastAsia="zh-Hans"/>
              </w:rPr>
              <w:t>，刀柄</w:t>
            </w:r>
            <w:r>
              <w:rPr>
                <w:rFonts w:hint="eastAsia" w:ascii="宋体" w:hAnsi="宋体" w:eastAsia="宋体" w:cs="宋体"/>
                <w:color w:val="auto"/>
                <w:sz w:val="21"/>
                <w:szCs w:val="21"/>
                <w:highlight w:val="none"/>
                <w:lang w:val="en-US" w:eastAsia="zh-CN"/>
              </w:rPr>
              <w:t>2支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主轴锥度：R8</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适用夹头：ER25， </w:t>
            </w:r>
            <w:r>
              <w:rPr>
                <w:rFonts w:hint="eastAsia" w:ascii="宋体" w:hAnsi="宋体" w:eastAsia="宋体" w:cs="宋体"/>
                <w:color w:val="auto"/>
                <w:sz w:val="21"/>
                <w:szCs w:val="21"/>
                <w:highlight w:val="none"/>
                <w:lang w:eastAsia="zh-CN"/>
              </w:rPr>
              <w:t>螺纹标准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7/16-20UNF细牙，材质：40Cr)，ER弹性夹头</w:t>
            </w:r>
            <w:r>
              <w:rPr>
                <w:rFonts w:hint="eastAsia" w:ascii="宋体" w:hAnsi="宋体" w:eastAsia="宋体" w:cs="宋体"/>
                <w:color w:val="auto"/>
                <w:sz w:val="21"/>
                <w:szCs w:val="21"/>
                <w:highlight w:val="none"/>
                <w:lang w:val="en-US" w:eastAsia="zh-CN"/>
              </w:rPr>
              <w:t>2套(型号：ER25，直径：3</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CN"/>
              </w:rPr>
              <w:t>16mm， 精度：0.01mm，材质：65Mn)，组合压板(型号：M12，材质：S45C，阶梯垫铁：24个，阶梯压板：12个，T型螺母：12个，连接螺母：8个，法兰螺母：12个，双端螺栓：48个)，一体式自紧钻夹头(主轴锥度：R8， 适用钻头尺寸：0~16mm，螺纹标准：7/16-20UNF细牙，材质：20CrMnTi)，ER扳手(适用刀柄：ER25，类型：勾头(C型)， 材质：铸钢)，铣床刀柄2套(主轴锥度：MT4，适用夹头：ER25，配件：ER25夹头3</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CN"/>
              </w:rPr>
              <w:t>16mm)，平口钳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Hans"/>
              </w:rPr>
              <w:t>规格</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Hans"/>
              </w:rPr>
              <w:t>4寸，精度：0.003mm，材料</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Hans"/>
              </w:rPr>
              <w:t>20C</w:t>
            </w:r>
            <w:r>
              <w:rPr>
                <w:rFonts w:hint="eastAsia" w:ascii="宋体" w:hAnsi="宋体" w:eastAsia="宋体" w:cs="宋体"/>
                <w:color w:val="auto"/>
                <w:sz w:val="21"/>
                <w:szCs w:val="21"/>
                <w:highlight w:val="none"/>
                <w:lang w:val="en-US" w:eastAsia="zh-CN"/>
              </w:rPr>
              <w:t>o</w:t>
            </w:r>
            <w:r>
              <w:rPr>
                <w:rFonts w:hint="eastAsia" w:ascii="宋体" w:hAnsi="宋体" w:eastAsia="宋体" w:cs="宋体"/>
                <w:color w:val="auto"/>
                <w:sz w:val="21"/>
                <w:szCs w:val="21"/>
                <w:highlight w:val="none"/>
                <w:lang w:eastAsia="zh-Hans"/>
              </w:rPr>
              <w:t>MnTi，硬度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Hans"/>
              </w:rPr>
              <w:t>58～62HRC</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Hans"/>
              </w:rPr>
              <w:t>配件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Hans"/>
              </w:rPr>
              <w:t>扳手1把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铣刀(类型：55度钨钢铣刀4刃，是否涂层：涂层。</w:t>
            </w:r>
          </w:p>
          <w:p>
            <w:pPr>
              <w:pStyle w:val="38"/>
              <w:keepNext w:val="0"/>
              <w:keepLines w:val="0"/>
              <w:pageBreakBefore w:val="0"/>
              <w:widowControl w:val="0"/>
              <w:numPr>
                <w:ilvl w:val="0"/>
                <w:numId w:val="0"/>
              </w:numPr>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数量：每个规格2支，</w:t>
            </w:r>
          </w:p>
          <w:p>
            <w:pPr>
              <w:pStyle w:val="38"/>
              <w:keepNext w:val="0"/>
              <w:keepLines w:val="0"/>
              <w:pageBreakBefore w:val="0"/>
              <w:widowControl w:val="0"/>
              <w:numPr>
                <w:ilvl w:val="0"/>
                <w:numId w:val="0"/>
              </w:numPr>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规格：Ф1*3*D4*50、Ф1.5*4*D4*50、Ф2*5*D4*50、Ф2.5*7*D4*50、Ф3*8*D3*50、Ф3*8*D4*50、Ф4*12*D4*50、Ф5*13*D5*50、Ф5*20*D5*75、Ф6*15*D6*50、Ф6*24*D6*75、Ф8*24*D8*60、Ф8*30*D8*75、Ф8*35*D8*100、Ф10*30*D10*75、Ф10*40*100、Ф12*35*D12*75、Ф12*45*100、Ф16*45*D16*100。</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Hans"/>
              </w:rPr>
              <w:t>电动手钻</w:t>
            </w:r>
            <w:r>
              <w:rPr>
                <w:rFonts w:hint="eastAsia" w:ascii="宋体" w:hAnsi="宋体" w:eastAsia="宋体" w:cs="宋体"/>
                <w:color w:val="auto"/>
                <w:sz w:val="21"/>
                <w:szCs w:val="21"/>
                <w:highlight w:val="none"/>
                <w:lang w:val="en-US" w:eastAsia="zh-CN"/>
              </w:rPr>
              <w:t>2套</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CN"/>
              </w:rPr>
              <w:t>类型：锂电平钻，电压：12V，扭矩：30N.m，电机结构：无刷电机，扭力调节：≥20档，续航：≥60min，最高转速：≥1350r/min，配件：锂电池2个+充电器1个+披头及套筒1套</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eastAsia="zh-Hans"/>
              </w:rPr>
              <w:t>角磨机</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CN"/>
              </w:rPr>
              <w:t>类型：锂电</w:t>
            </w:r>
            <w:r>
              <w:rPr>
                <w:rFonts w:hint="eastAsia" w:ascii="宋体" w:hAnsi="宋体" w:eastAsia="宋体" w:cs="宋体"/>
                <w:color w:val="auto"/>
                <w:sz w:val="21"/>
                <w:szCs w:val="21"/>
                <w:highlight w:val="none"/>
                <w:lang w:val="en-US" w:eastAsia="zh-Hans"/>
              </w:rPr>
              <w:t>角磨机</w:t>
            </w:r>
            <w:r>
              <w:rPr>
                <w:rFonts w:hint="eastAsia" w:ascii="宋体" w:hAnsi="宋体" w:eastAsia="宋体" w:cs="宋体"/>
                <w:color w:val="auto"/>
                <w:sz w:val="21"/>
                <w:szCs w:val="21"/>
                <w:highlight w:val="none"/>
                <w:lang w:val="en-US" w:eastAsia="zh-CN"/>
              </w:rPr>
              <w:t>，电压：42V，电机结构：无刷电机，扭力调节：≥20档，续航：≥40min，最高转速：≥11000r/min，配件：锂电池2个+充电器1个+切割片10个+砂轮片3个+百叶轮1个。</w:t>
            </w:r>
            <w:r>
              <w:rPr>
                <w:rFonts w:hint="eastAsia" w:ascii="宋体" w:hAnsi="宋体" w:eastAsia="宋体" w:cs="宋体"/>
                <w:color w:val="auto"/>
                <w:sz w:val="21"/>
                <w:szCs w:val="21"/>
                <w:highlight w:val="none"/>
                <w:lang w:val="en-US" w:eastAsia="zh-Hans"/>
              </w:rPr>
              <w:t>空压机</w:t>
            </w:r>
            <w:r>
              <w:rPr>
                <w:rFonts w:hint="eastAsia" w:ascii="宋体" w:hAnsi="宋体" w:eastAsia="宋体" w:cs="宋体"/>
                <w:color w:val="auto"/>
                <w:sz w:val="21"/>
                <w:szCs w:val="21"/>
                <w:highlight w:val="none"/>
                <w:lang w:eastAsia="zh-Hans"/>
              </w:rPr>
              <w:t>，材质：铸铁，压力：0.8mpa，工作排量：280L/min</w:t>
            </w:r>
            <w:r>
              <w:rPr>
                <w:rFonts w:hint="eastAsia" w:ascii="宋体" w:hAnsi="宋体" w:eastAsia="宋体" w:cs="宋体"/>
                <w:color w:val="auto"/>
                <w:sz w:val="21"/>
                <w:szCs w:val="21"/>
                <w:highlight w:val="none"/>
                <w:lang w:val="en-US" w:eastAsia="zh-CN"/>
              </w:rPr>
              <w:t>，电压：220V，最高转速：≥2800r/min。</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全新 5层</w:t>
            </w:r>
            <w:r>
              <w:rPr>
                <w:rFonts w:hint="eastAsia" w:ascii="宋体" w:hAnsi="宋体" w:eastAsia="宋体" w:cs="宋体"/>
                <w:color w:val="auto"/>
                <w:sz w:val="21"/>
                <w:szCs w:val="21"/>
                <w:highlight w:val="none"/>
                <w:lang w:val="en-US" w:eastAsia="zh-CN"/>
              </w:rPr>
              <w:t>KNX配</w:t>
            </w:r>
            <w:r>
              <w:rPr>
                <w:rFonts w:hint="eastAsia" w:ascii="宋体" w:hAnsi="宋体" w:eastAsia="宋体" w:cs="宋体"/>
                <w:color w:val="auto"/>
                <w:sz w:val="21"/>
                <w:szCs w:val="21"/>
                <w:highlight w:val="none"/>
              </w:rPr>
              <w:t>电箱</w:t>
            </w:r>
            <w:r>
              <w:rPr>
                <w:rFonts w:hint="eastAsia" w:ascii="宋体" w:hAnsi="宋体" w:eastAsia="宋体" w:cs="宋体"/>
                <w:color w:val="auto"/>
                <w:sz w:val="21"/>
                <w:szCs w:val="21"/>
                <w:highlight w:val="none"/>
                <w:lang w:val="en-US" w:eastAsia="zh-CN"/>
              </w:rPr>
              <w:t>(包含</w:t>
            </w:r>
            <w:r>
              <w:rPr>
                <w:rFonts w:hint="eastAsia" w:ascii="宋体" w:hAnsi="宋体" w:eastAsia="宋体" w:cs="宋体"/>
                <w:color w:val="auto"/>
                <w:sz w:val="21"/>
                <w:szCs w:val="21"/>
                <w:highlight w:val="none"/>
              </w:rPr>
              <w:t>1个主箱体，4根支架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1个盲盖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4个模块盖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1个KNX温控面板，1个8键控制面板，1个通用调光模块)。</w:t>
            </w:r>
          </w:p>
          <w:p>
            <w:pPr>
              <w:pStyle w:val="38"/>
              <w:keepNext w:val="0"/>
              <w:keepLines w:val="0"/>
              <w:pageBreakBefore w:val="0"/>
              <w:widowControl w:val="0"/>
              <w:numPr>
                <w:ilvl w:val="0"/>
                <w:numId w:val="0"/>
              </w:numPr>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工业智能网关5组：</w:t>
            </w:r>
          </w:p>
          <w:p>
            <w:pPr>
              <w:pStyle w:val="38"/>
              <w:keepNext w:val="0"/>
              <w:keepLines w:val="0"/>
              <w:pageBreakBefore w:val="0"/>
              <w:widowControl w:val="0"/>
              <w:numPr>
                <w:ilvl w:val="0"/>
                <w:numId w:val="0"/>
              </w:numPr>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支持七模全网通4G、</w:t>
            </w:r>
            <w:r>
              <w:rPr>
                <w:rFonts w:hint="eastAsia" w:ascii="宋体" w:hAnsi="宋体" w:eastAsia="宋体" w:cs="宋体"/>
                <w:color w:val="auto"/>
                <w:sz w:val="21"/>
                <w:szCs w:val="21"/>
                <w:highlight w:val="none"/>
                <w:lang w:val="en-US" w:eastAsia="zh-CN"/>
              </w:rPr>
              <w:t>WIFI、有线网络、LORA</w:t>
            </w:r>
            <w:r>
              <w:rPr>
                <w:rFonts w:hint="eastAsia" w:ascii="宋体" w:hAnsi="宋体" w:eastAsia="宋体" w:cs="宋体"/>
                <w:color w:val="auto"/>
                <w:sz w:val="21"/>
                <w:szCs w:val="21"/>
                <w:highlight w:val="none"/>
              </w:rPr>
              <w:t>等多种上网方式</w:t>
            </w:r>
            <w:r>
              <w:rPr>
                <w:rFonts w:hint="eastAsia" w:ascii="宋体" w:hAnsi="宋体" w:eastAsia="宋体" w:cs="宋体"/>
                <w:color w:val="auto"/>
                <w:sz w:val="21"/>
                <w:szCs w:val="21"/>
                <w:highlight w:val="none"/>
                <w:lang w:val="en-US" w:eastAsia="zh-CN"/>
              </w:rPr>
              <w:t>可选</w:t>
            </w:r>
            <w:r>
              <w:rPr>
                <w:rFonts w:hint="eastAsia" w:ascii="宋体" w:hAnsi="宋体" w:eastAsia="宋体" w:cs="宋体"/>
                <w:color w:val="auto"/>
                <w:sz w:val="21"/>
                <w:szCs w:val="21"/>
                <w:highlight w:val="none"/>
              </w:rPr>
              <w:t>。嵌入式CPU主频</w:t>
            </w:r>
            <w:r>
              <w:rPr>
                <w:rFonts w:hint="eastAsia" w:ascii="宋体" w:hAnsi="宋体" w:eastAsia="宋体" w:cs="宋体"/>
                <w:color w:val="auto"/>
                <w:sz w:val="21"/>
                <w:szCs w:val="21"/>
                <w:highlight w:val="none"/>
                <w:lang w:val="en-US" w:eastAsia="zh-CN"/>
              </w:rPr>
              <w:t>不小于</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0MHZ，内存</w:t>
            </w:r>
            <w:r>
              <w:rPr>
                <w:rFonts w:hint="eastAsia" w:ascii="宋体" w:hAnsi="宋体" w:eastAsia="宋体" w:cs="宋体"/>
                <w:color w:val="auto"/>
                <w:sz w:val="21"/>
                <w:szCs w:val="21"/>
                <w:highlight w:val="none"/>
                <w:lang w:val="en-US" w:eastAsia="zh-CN"/>
              </w:rPr>
              <w:t>不小于128MB，</w:t>
            </w:r>
            <w:r>
              <w:rPr>
                <w:rFonts w:hint="eastAsia" w:ascii="宋体" w:hAnsi="宋体" w:eastAsia="宋体" w:cs="宋体"/>
                <w:color w:val="auto"/>
                <w:sz w:val="21"/>
                <w:szCs w:val="21"/>
                <w:highlight w:val="none"/>
              </w:rPr>
              <w:t>工业级设计、6V~35V宽压设计，-20℃</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rPr>
              <w:t>70℃宽温设计。</w:t>
            </w:r>
          </w:p>
          <w:p>
            <w:pPr>
              <w:pStyle w:val="38"/>
              <w:keepNext w:val="0"/>
              <w:keepLines w:val="0"/>
              <w:pageBreakBefore w:val="0"/>
              <w:widowControl w:val="0"/>
              <w:numPr>
                <w:ilvl w:val="0"/>
                <w:numId w:val="0"/>
              </w:numPr>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个</w:t>
            </w:r>
            <w:r>
              <w:rPr>
                <w:rFonts w:hint="eastAsia" w:ascii="宋体" w:hAnsi="宋体" w:eastAsia="宋体" w:cs="宋体"/>
                <w:color w:val="auto"/>
                <w:sz w:val="21"/>
                <w:szCs w:val="21"/>
                <w:highlight w:val="none"/>
                <w:lang w:val="en-US" w:eastAsia="zh-CN"/>
              </w:rPr>
              <w:t>RJ45</w:t>
            </w:r>
            <w:r>
              <w:rPr>
                <w:rFonts w:hint="eastAsia" w:ascii="宋体" w:hAnsi="宋体" w:eastAsia="宋体" w:cs="宋体"/>
                <w:color w:val="auto"/>
                <w:sz w:val="21"/>
                <w:szCs w:val="21"/>
                <w:highlight w:val="none"/>
              </w:rPr>
              <w:t>网口和</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个</w:t>
            </w:r>
            <w:r>
              <w:rPr>
                <w:rFonts w:hint="eastAsia" w:ascii="宋体" w:hAnsi="宋体" w:eastAsia="宋体" w:cs="宋体"/>
                <w:color w:val="auto"/>
                <w:sz w:val="21"/>
                <w:szCs w:val="21"/>
                <w:highlight w:val="none"/>
                <w:lang w:val="en-US" w:eastAsia="zh-CN"/>
              </w:rPr>
              <w:t>485</w:t>
            </w:r>
            <w:r>
              <w:rPr>
                <w:rFonts w:hint="eastAsia" w:ascii="宋体" w:hAnsi="宋体" w:eastAsia="宋体" w:cs="宋体"/>
                <w:color w:val="auto"/>
                <w:sz w:val="21"/>
                <w:szCs w:val="21"/>
                <w:highlight w:val="none"/>
              </w:rPr>
              <w:t>串口，</w:t>
            </w:r>
            <w:r>
              <w:rPr>
                <w:rFonts w:hint="eastAsia" w:ascii="宋体" w:hAnsi="宋体" w:eastAsia="宋体" w:cs="宋体"/>
                <w:color w:val="auto"/>
                <w:sz w:val="21"/>
                <w:szCs w:val="21"/>
                <w:highlight w:val="none"/>
                <w:lang w:val="en-US" w:eastAsia="zh-CN"/>
              </w:rPr>
              <w:t>同时</w:t>
            </w:r>
            <w:r>
              <w:rPr>
                <w:rFonts w:hint="eastAsia" w:ascii="宋体" w:hAnsi="宋体" w:eastAsia="宋体" w:cs="宋体"/>
                <w:color w:val="auto"/>
                <w:sz w:val="21"/>
                <w:szCs w:val="21"/>
                <w:highlight w:val="none"/>
              </w:rPr>
              <w:t>采集网口和串口数据。</w:t>
            </w:r>
            <w:r>
              <w:rPr>
                <w:rFonts w:hint="eastAsia" w:ascii="宋体" w:hAnsi="宋体" w:eastAsia="宋体" w:cs="宋体"/>
                <w:color w:val="auto"/>
                <w:sz w:val="21"/>
                <w:szCs w:val="21"/>
                <w:highlight w:val="none"/>
                <w:lang w:val="en-US" w:eastAsia="zh-CN"/>
              </w:rPr>
              <w:t>支持跨网段访问，网段隔离功能，</w:t>
            </w:r>
            <w:r>
              <w:rPr>
                <w:rFonts w:hint="eastAsia" w:ascii="宋体" w:hAnsi="宋体" w:eastAsia="宋体" w:cs="宋体"/>
                <w:color w:val="auto"/>
                <w:sz w:val="21"/>
                <w:szCs w:val="21"/>
                <w:highlight w:val="none"/>
              </w:rPr>
              <w:t>网关LAN口支持多个网段IP</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LAN1 LAN2 WiFi</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IP为LAN网段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可以互通</w:t>
            </w:r>
            <w:r>
              <w:rPr>
                <w:rFonts w:hint="eastAsia" w:ascii="宋体" w:hAnsi="宋体" w:eastAsia="宋体" w:cs="宋体"/>
                <w:color w:val="auto"/>
                <w:sz w:val="21"/>
                <w:szCs w:val="21"/>
                <w:highlight w:val="none"/>
                <w:lang w:val="en-US" w:eastAsia="zh-CN"/>
              </w:rPr>
              <w:t>。</w:t>
            </w:r>
          </w:p>
          <w:p>
            <w:pPr>
              <w:pStyle w:val="38"/>
              <w:keepNext w:val="0"/>
              <w:keepLines w:val="0"/>
              <w:pageBreakBefore w:val="0"/>
              <w:widowControl w:val="0"/>
              <w:numPr>
                <w:ilvl w:val="0"/>
                <w:numId w:val="0"/>
              </w:numPr>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(3)支持8G的EMMC断网续传数据存储，IO接口带8AI、4DI、4RO。</w:t>
            </w:r>
          </w:p>
          <w:p>
            <w:pPr>
              <w:pStyle w:val="38"/>
              <w:keepNext w:val="0"/>
              <w:keepLines w:val="0"/>
              <w:pageBreakBefore w:val="0"/>
              <w:widowControl w:val="0"/>
              <w:numPr>
                <w:ilvl w:val="0"/>
                <w:numId w:val="0"/>
              </w:numPr>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w:t>
            </w:r>
            <w:r>
              <w:rPr>
                <w:rFonts w:hint="eastAsia" w:ascii="宋体" w:hAnsi="宋体" w:eastAsia="宋体" w:cs="宋体"/>
                <w:color w:val="auto"/>
                <w:sz w:val="21"/>
                <w:szCs w:val="21"/>
                <w:highlight w:val="none"/>
                <w:lang w:val="en-US" w:eastAsia="zh-CN"/>
              </w:rPr>
              <w:t>各种</w:t>
            </w:r>
            <w:r>
              <w:rPr>
                <w:rFonts w:hint="eastAsia" w:ascii="宋体" w:hAnsi="宋体" w:eastAsia="宋体" w:cs="宋体"/>
                <w:color w:val="auto"/>
                <w:sz w:val="21"/>
                <w:szCs w:val="21"/>
                <w:highlight w:val="none"/>
              </w:rPr>
              <w:t>PLC和各种仪器仪表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DTL645-97/07、CJ188、modbus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的数据采集</w:t>
            </w:r>
            <w:r>
              <w:rPr>
                <w:rFonts w:hint="eastAsia" w:ascii="宋体" w:hAnsi="宋体" w:eastAsia="宋体" w:cs="宋体"/>
                <w:color w:val="auto"/>
                <w:sz w:val="21"/>
                <w:szCs w:val="21"/>
                <w:highlight w:val="none"/>
                <w:lang w:val="en-US" w:eastAsia="zh-CN"/>
              </w:rPr>
              <w:t>以及104规约等协议或者透传，支持将以上的协议转成modbus tcp或者mqtt对接上位机</w:t>
            </w:r>
            <w:r>
              <w:rPr>
                <w:rFonts w:hint="eastAsia" w:ascii="宋体" w:hAnsi="宋体" w:eastAsia="宋体" w:cs="宋体"/>
                <w:color w:val="auto"/>
                <w:sz w:val="21"/>
                <w:szCs w:val="21"/>
                <w:highlight w:val="none"/>
              </w:rPr>
              <w:t>。</w:t>
            </w:r>
          </w:p>
          <w:p>
            <w:pPr>
              <w:pStyle w:val="38"/>
              <w:keepNext w:val="0"/>
              <w:keepLines w:val="0"/>
              <w:pageBreakBefore w:val="0"/>
              <w:widowControl w:val="0"/>
              <w:numPr>
                <w:ilvl w:val="0"/>
                <w:numId w:val="0"/>
              </w:numPr>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支持数据报警功能、数据过滤和数据分组采集</w:t>
            </w:r>
            <w:r>
              <w:rPr>
                <w:rFonts w:hint="eastAsia" w:ascii="宋体" w:hAnsi="宋体" w:eastAsia="宋体" w:cs="宋体"/>
                <w:color w:val="auto"/>
                <w:sz w:val="21"/>
                <w:szCs w:val="21"/>
                <w:highlight w:val="none"/>
                <w:lang w:val="en-US" w:eastAsia="zh-CN"/>
              </w:rPr>
              <w:t>功能、多主题等功能</w:t>
            </w:r>
          </w:p>
          <w:p>
            <w:pPr>
              <w:pStyle w:val="38"/>
              <w:keepNext w:val="0"/>
              <w:keepLines w:val="0"/>
              <w:pageBreakBefore w:val="0"/>
              <w:widowControl w:val="0"/>
              <w:numPr>
                <w:ilvl w:val="0"/>
                <w:numId w:val="0"/>
              </w:numPr>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支持一个网关</w:t>
            </w:r>
            <w:r>
              <w:rPr>
                <w:rFonts w:hint="eastAsia" w:ascii="宋体" w:hAnsi="宋体" w:eastAsia="宋体" w:cs="宋体"/>
                <w:color w:val="auto"/>
                <w:sz w:val="21"/>
                <w:szCs w:val="21"/>
                <w:highlight w:val="none"/>
                <w:lang w:val="en-US" w:eastAsia="zh-CN"/>
              </w:rPr>
              <w:t>同时</w:t>
            </w:r>
            <w:r>
              <w:rPr>
                <w:rFonts w:hint="eastAsia" w:ascii="宋体" w:hAnsi="宋体" w:eastAsia="宋体" w:cs="宋体"/>
                <w:color w:val="auto"/>
                <w:sz w:val="21"/>
                <w:szCs w:val="21"/>
                <w:highlight w:val="none"/>
              </w:rPr>
              <w:t>对接多台设备、支持</w:t>
            </w:r>
            <w:r>
              <w:rPr>
                <w:rFonts w:hint="eastAsia" w:ascii="宋体" w:hAnsi="宋体" w:eastAsia="宋体" w:cs="宋体"/>
                <w:color w:val="auto"/>
                <w:sz w:val="21"/>
                <w:szCs w:val="21"/>
                <w:highlight w:val="none"/>
                <w:lang w:val="en-US" w:eastAsia="zh-CN"/>
              </w:rPr>
              <w:t>每个</w:t>
            </w:r>
            <w:r>
              <w:rPr>
                <w:rFonts w:hint="eastAsia" w:ascii="宋体" w:hAnsi="宋体" w:eastAsia="宋体" w:cs="宋体"/>
                <w:color w:val="auto"/>
                <w:sz w:val="21"/>
                <w:szCs w:val="21"/>
                <w:highlight w:val="none"/>
              </w:rPr>
              <w:t>设备有不同采集频率</w:t>
            </w:r>
            <w:r>
              <w:rPr>
                <w:rFonts w:hint="eastAsia" w:ascii="宋体" w:hAnsi="宋体" w:eastAsia="宋体" w:cs="宋体"/>
                <w:color w:val="auto"/>
                <w:sz w:val="21"/>
                <w:szCs w:val="21"/>
                <w:highlight w:val="none"/>
                <w:lang w:val="en-US" w:eastAsia="zh-CN"/>
              </w:rPr>
              <w:t>云端交互采用</w:t>
            </w:r>
            <w:r>
              <w:rPr>
                <w:rFonts w:hint="eastAsia" w:ascii="宋体" w:hAnsi="宋体" w:eastAsia="宋体" w:cs="宋体"/>
                <w:color w:val="auto"/>
                <w:sz w:val="21"/>
                <w:szCs w:val="21"/>
                <w:highlight w:val="none"/>
              </w:rPr>
              <w:t>MQTT协议和JSON格式数据报文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支持自定义主题支</w:t>
            </w:r>
            <w:r>
              <w:rPr>
                <w:rFonts w:hint="eastAsia" w:ascii="宋体" w:hAnsi="宋体" w:eastAsia="宋体" w:cs="宋体"/>
                <w:color w:val="auto"/>
                <w:sz w:val="21"/>
                <w:szCs w:val="21"/>
                <w:highlight w:val="none"/>
              </w:rPr>
              <w:t>持断点续传功能和链路自愈功能</w:t>
            </w:r>
            <w:r>
              <w:rPr>
                <w:rFonts w:hint="eastAsia" w:ascii="宋体" w:hAnsi="宋体" w:eastAsia="宋体" w:cs="宋体"/>
                <w:color w:val="auto"/>
                <w:sz w:val="21"/>
                <w:szCs w:val="21"/>
                <w:highlight w:val="none"/>
                <w:lang w:eastAsia="zh-CN"/>
              </w:rPr>
              <w:t>。</w:t>
            </w:r>
          </w:p>
          <w:p>
            <w:pPr>
              <w:pStyle w:val="38"/>
              <w:keepNext w:val="0"/>
              <w:keepLines w:val="0"/>
              <w:pageBreakBefore w:val="0"/>
              <w:widowControl w:val="0"/>
              <w:numPr>
                <w:ilvl w:val="0"/>
                <w:numId w:val="0"/>
              </w:numPr>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支持多中心接入，</w:t>
            </w:r>
            <w:r>
              <w:rPr>
                <w:rFonts w:hint="eastAsia" w:ascii="宋体" w:hAnsi="宋体" w:eastAsia="宋体" w:cs="宋体"/>
                <w:color w:val="auto"/>
                <w:sz w:val="21"/>
                <w:szCs w:val="21"/>
                <w:highlight w:val="none"/>
                <w:lang w:val="en-US" w:eastAsia="zh-CN"/>
              </w:rPr>
              <w:t>可以实现数据同时接入到多个数据中心，可以支持同时接入阿里云物模型、百度云物模型、华为云物模型，物通博联平台，支持HJ212协议，以及自主搭建平台等可选。</w:t>
            </w:r>
          </w:p>
          <w:p>
            <w:pPr>
              <w:pStyle w:val="38"/>
              <w:keepNext w:val="0"/>
              <w:keepLines w:val="0"/>
              <w:pageBreakBefore w:val="0"/>
              <w:widowControl w:val="0"/>
              <w:numPr>
                <w:ilvl w:val="0"/>
                <w:numId w:val="0"/>
              </w:numPr>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(8)导轨安装。</w:t>
            </w:r>
          </w:p>
          <w:p>
            <w:pPr>
              <w:pStyle w:val="38"/>
              <w:keepNext w:val="0"/>
              <w:keepLines w:val="0"/>
              <w:pageBreakBefore w:val="0"/>
              <w:widowControl w:val="0"/>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Hans"/>
              </w:rPr>
              <w:t>工具配件包</w:t>
            </w:r>
          </w:p>
          <w:p>
            <w:pPr>
              <w:pStyle w:val="38"/>
              <w:keepNext w:val="0"/>
              <w:keepLines w:val="0"/>
              <w:pageBreakBefore w:val="0"/>
              <w:widowControl w:val="0"/>
              <w:numPr>
                <w:ilvl w:val="0"/>
                <w:numId w:val="0"/>
              </w:numPr>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(1)铜锤(长度：320mm，材料：99%紫铜+胡桃木，重量：2磅)，橡胶锤(长度：286mm、锤头直径：45mm)，梅花开口两用扳手2套(材质：铬钒合金钢，规格：8~24mm 17支)。</w:t>
            </w:r>
          </w:p>
          <w:p>
            <w:pPr>
              <w:pStyle w:val="38"/>
              <w:keepNext w:val="0"/>
              <w:keepLines w:val="0"/>
              <w:pageBreakBefore w:val="0"/>
              <w:widowControl w:val="0"/>
              <w:numPr>
                <w:ilvl w:val="0"/>
                <w:numId w:val="0"/>
              </w:numPr>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(2)内六角扳手3套(材质：S2，特性：带磁+球头+加特长)。</w:t>
            </w:r>
          </w:p>
          <w:p>
            <w:pPr>
              <w:pStyle w:val="38"/>
              <w:keepNext w:val="0"/>
              <w:keepLines w:val="0"/>
              <w:pageBreakBefore w:val="0"/>
              <w:widowControl w:val="0"/>
              <w:numPr>
                <w:ilvl w:val="0"/>
                <w:numId w:val="0"/>
              </w:numPr>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(3)螺丝刀(类型：十字/一字，尺寸：2-6mm 12件)。</w:t>
            </w:r>
          </w:p>
          <w:p>
            <w:pPr>
              <w:pStyle w:val="38"/>
              <w:keepNext w:val="0"/>
              <w:keepLines w:val="0"/>
              <w:pageBreakBefore w:val="0"/>
              <w:widowControl w:val="0"/>
              <w:numPr>
                <w:ilvl w:val="0"/>
                <w:numId w:val="0"/>
              </w:numPr>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(4)游标卡尺(类型：电子数显卡尺，规格：0-300mm硅硼超速芯片)。</w:t>
            </w:r>
          </w:p>
          <w:p>
            <w:pPr>
              <w:pStyle w:val="38"/>
              <w:keepNext w:val="0"/>
              <w:keepLines w:val="0"/>
              <w:pageBreakBefore w:val="0"/>
              <w:widowControl w:val="0"/>
              <w:numPr>
                <w:ilvl w:val="0"/>
                <w:numId w:val="0"/>
              </w:numPr>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(5)钳子套装：(类型：多功能钳，规格：7寸钢+7寸尖+7寸斜 3把)。</w:t>
            </w:r>
          </w:p>
          <w:p>
            <w:pPr>
              <w:pStyle w:val="38"/>
              <w:keepNext w:val="0"/>
              <w:keepLines w:val="0"/>
              <w:pageBreakBefore w:val="0"/>
              <w:widowControl w:val="0"/>
              <w:numPr>
                <w:ilvl w:val="0"/>
                <w:numId w:val="0"/>
              </w:numPr>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(6)钻攻一体复合丝锥套装3套(材质：含钴高速钢，规格：M3-M10  8件套)。</w:t>
            </w:r>
          </w:p>
          <w:p>
            <w:pPr>
              <w:pStyle w:val="38"/>
              <w:keepNext w:val="0"/>
              <w:keepLines w:val="0"/>
              <w:pageBreakBefore w:val="0"/>
              <w:widowControl w:val="0"/>
              <w:numPr>
                <w:ilvl w:val="0"/>
                <w:numId w:val="0"/>
              </w:numPr>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(7)麻花钻头套装3套(材质：含钴高速钢，规格：M2-M10底孔钻头+Ø2-Ø10  18件套)。</w:t>
            </w:r>
          </w:p>
          <w:p>
            <w:pPr>
              <w:pStyle w:val="38"/>
              <w:keepNext w:val="0"/>
              <w:keepLines w:val="0"/>
              <w:pageBreakBefore w:val="0"/>
              <w:widowControl w:val="0"/>
              <w:numPr>
                <w:ilvl w:val="0"/>
                <w:numId w:val="0"/>
              </w:numPr>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(8)电钻专用丝锥套装3套(材质：含钴高速钢，规格：M3-M8  6件套)。</w:t>
            </w:r>
          </w:p>
          <w:p>
            <w:pPr>
              <w:pStyle w:val="38"/>
              <w:keepNext w:val="0"/>
              <w:keepLines w:val="0"/>
              <w:pageBreakBefore w:val="0"/>
              <w:widowControl w:val="0"/>
              <w:numPr>
                <w:ilvl w:val="0"/>
                <w:numId w:val="0"/>
              </w:numPr>
              <w:kinsoku/>
              <w:overflowPunct/>
              <w:autoSpaceDE/>
              <w:autoSpaceDN/>
              <w:bidi w:val="0"/>
              <w:adjustRightInd w:val="0"/>
              <w:snapToGrid w:val="0"/>
              <w:ind w:left="24" w:leftChars="10" w:right="24"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(9)旋转锉刀5套：(规格：3*6，类型：双槽底刃，套装：什锦10件套)万向台虎钳：(类型：吸盘式+夹持式各一套)。</w:t>
            </w:r>
          </w:p>
        </w:tc>
      </w:tr>
      <w:bookmarkEnd w:id="1135"/>
      <w:bookmarkEnd w:id="1142"/>
    </w:tbl>
    <w:p>
      <w:pPr>
        <w:pStyle w:val="34"/>
        <w:keepNext w:val="0"/>
        <w:keepLines w:val="0"/>
        <w:pageBreakBefore w:val="0"/>
        <w:widowControl w:val="0"/>
        <w:kinsoku/>
        <w:overflowPunct/>
        <w:autoSpaceDE/>
        <w:autoSpaceDN/>
        <w:bidi w:val="0"/>
        <w:spacing w:line="520" w:lineRule="exact"/>
        <w:ind w:firstLine="482"/>
        <w:textAlignment w:val="auto"/>
        <w:rPr>
          <w:color w:val="auto"/>
          <w:highlight w:val="none"/>
        </w:rPr>
      </w:pPr>
      <w:bookmarkStart w:id="1143" w:name="_Toc18026"/>
      <w:r>
        <w:rPr>
          <w:rFonts w:hint="eastAsia"/>
          <w:color w:val="auto"/>
          <w:highlight w:val="none"/>
          <w:lang w:val="en-US" w:eastAsia="zh-CN"/>
        </w:rPr>
        <w:t>技术服务水平</w:t>
      </w:r>
      <w:bookmarkEnd w:id="1143"/>
    </w:p>
    <w:p>
      <w:pPr>
        <w:pStyle w:val="49"/>
        <w:keepNext w:val="0"/>
        <w:keepLines w:val="0"/>
        <w:pageBreakBefore w:val="0"/>
        <w:widowControl w:val="0"/>
        <w:kinsoku/>
        <w:overflowPunct/>
        <w:autoSpaceDE/>
        <w:autoSpaceDN/>
        <w:bidi w:val="0"/>
        <w:spacing w:line="520" w:lineRule="exact"/>
        <w:ind w:firstLine="482"/>
        <w:textAlignment w:val="auto"/>
        <w:rPr>
          <w:rFonts w:asciiTheme="minorEastAsia" w:hAnsiTheme="minorEastAsia" w:eastAsiaTheme="minorEastAsia" w:cstheme="minorEastAsia"/>
          <w:color w:val="auto"/>
          <w:highlight w:val="none"/>
        </w:rPr>
      </w:pPr>
      <w:bookmarkStart w:id="1144" w:name="_Toc29385"/>
      <w:r>
        <w:rPr>
          <w:rFonts w:hint="eastAsia" w:asciiTheme="minorEastAsia" w:hAnsiTheme="minorEastAsia" w:eastAsiaTheme="minorEastAsia" w:cstheme="minorEastAsia"/>
          <w:color w:val="auto"/>
          <w:highlight w:val="none"/>
          <w:lang w:val="en-US" w:eastAsia="zh-CN"/>
        </w:rPr>
        <w:t>服务水平</w:t>
      </w:r>
      <w:bookmarkEnd w:id="1144"/>
    </w:p>
    <w:p>
      <w:pPr>
        <w:pStyle w:val="27"/>
        <w:keepNext w:val="0"/>
        <w:keepLines w:val="0"/>
        <w:pageBreakBefore w:val="0"/>
        <w:widowControl w:val="0"/>
        <w:numPr>
          <w:ilvl w:val="4"/>
          <w:numId w:val="0"/>
        </w:numPr>
        <w:kinsoku/>
        <w:overflowPunct/>
        <w:autoSpaceDE/>
        <w:autoSpaceDN/>
        <w:bidi w:val="0"/>
        <w:adjustRightInd/>
        <w:snapToGrid/>
        <w:spacing w:before="0" w:after="0" w:line="520" w:lineRule="exact"/>
        <w:ind w:firstLine="480" w:firstLineChars="200"/>
        <w:textAlignment w:val="auto"/>
        <w:outlineLvl w:val="9"/>
        <w:rPr>
          <w:rFonts w:hint="default" w:asciiTheme="minorEastAsia" w:hAnsiTheme="minorEastAsia" w:eastAsiaTheme="minorEastAsia" w:cstheme="minorEastAsia"/>
          <w:b w:val="0"/>
          <w:bCs/>
          <w:color w:val="auto"/>
          <w:szCs w:val="24"/>
          <w:highlight w:val="none"/>
          <w:lang w:val="en-US" w:eastAsia="zh-CN"/>
        </w:rPr>
      </w:pPr>
      <w:r>
        <w:rPr>
          <w:rFonts w:hint="eastAsia" w:asciiTheme="minorEastAsia" w:hAnsiTheme="minorEastAsia" w:eastAsiaTheme="minorEastAsia" w:cstheme="minorEastAsia"/>
          <w:b w:val="0"/>
          <w:bCs/>
          <w:color w:val="auto"/>
          <w:szCs w:val="24"/>
          <w:highlight w:val="none"/>
          <w:lang w:val="en-US" w:eastAsia="zh-CN"/>
        </w:rPr>
        <w:t>1.项目实施方案</w:t>
      </w:r>
    </w:p>
    <w:p>
      <w:pPr>
        <w:pStyle w:val="27"/>
        <w:keepNext w:val="0"/>
        <w:keepLines w:val="0"/>
        <w:pageBreakBefore w:val="0"/>
        <w:widowControl w:val="0"/>
        <w:numPr>
          <w:ilvl w:val="4"/>
          <w:numId w:val="0"/>
        </w:numPr>
        <w:kinsoku/>
        <w:overflowPunct/>
        <w:autoSpaceDE/>
        <w:autoSpaceDN/>
        <w:bidi w:val="0"/>
        <w:adjustRightInd/>
        <w:snapToGrid/>
        <w:spacing w:before="0" w:after="0" w:line="520" w:lineRule="exact"/>
        <w:ind w:firstLine="480" w:firstLineChars="200"/>
        <w:textAlignment w:val="auto"/>
        <w:outlineLvl w:val="9"/>
        <w:rPr>
          <w:rFonts w:hint="eastAsia" w:asciiTheme="minorEastAsia" w:hAnsiTheme="minorEastAsia" w:eastAsiaTheme="minorEastAsia" w:cstheme="minorEastAsia"/>
          <w:b w:val="0"/>
          <w:bCs/>
          <w:color w:val="auto"/>
          <w:szCs w:val="24"/>
          <w:highlight w:val="none"/>
          <w:lang w:val="en-US" w:eastAsia="zh-CN"/>
        </w:rPr>
      </w:pPr>
      <w:r>
        <w:rPr>
          <w:rFonts w:hint="eastAsia" w:asciiTheme="minorEastAsia" w:hAnsiTheme="minorEastAsia" w:eastAsiaTheme="minorEastAsia" w:cstheme="minorEastAsia"/>
          <w:b w:val="0"/>
          <w:bCs/>
          <w:color w:val="auto"/>
          <w:szCs w:val="24"/>
          <w:highlight w:val="none"/>
          <w:lang w:val="en-US" w:eastAsia="zh-CN"/>
        </w:rPr>
        <w:t>包括①项目总体计划、②项目进度保障、③应急处理措施、④项目培训方案。</w:t>
      </w:r>
    </w:p>
    <w:p>
      <w:pPr>
        <w:pStyle w:val="27"/>
        <w:keepNext w:val="0"/>
        <w:keepLines w:val="0"/>
        <w:pageBreakBefore w:val="0"/>
        <w:widowControl w:val="0"/>
        <w:numPr>
          <w:ilvl w:val="4"/>
          <w:numId w:val="0"/>
        </w:numPr>
        <w:kinsoku/>
        <w:overflowPunct/>
        <w:autoSpaceDE/>
        <w:autoSpaceDN/>
        <w:bidi w:val="0"/>
        <w:adjustRightInd/>
        <w:snapToGrid/>
        <w:spacing w:before="0" w:after="0" w:line="520" w:lineRule="exact"/>
        <w:ind w:firstLine="480" w:firstLineChars="200"/>
        <w:textAlignment w:val="auto"/>
        <w:outlineLvl w:val="9"/>
        <w:rPr>
          <w:rFonts w:hint="default" w:asciiTheme="minorEastAsia" w:hAnsiTheme="minorEastAsia" w:eastAsiaTheme="minorEastAsia" w:cstheme="minorEastAsia"/>
          <w:b w:val="0"/>
          <w:bCs/>
          <w:color w:val="auto"/>
          <w:szCs w:val="24"/>
          <w:highlight w:val="none"/>
          <w:lang w:val="en-US"/>
        </w:rPr>
      </w:pPr>
      <w:r>
        <w:rPr>
          <w:rFonts w:hint="eastAsia" w:asciiTheme="minorEastAsia" w:hAnsiTheme="minorEastAsia" w:eastAsiaTheme="minorEastAsia" w:cstheme="minorEastAsia"/>
          <w:b w:val="0"/>
          <w:bCs/>
          <w:color w:val="auto"/>
          <w:szCs w:val="24"/>
          <w:highlight w:val="none"/>
          <w:lang w:val="en-US" w:eastAsia="zh-CN"/>
        </w:rPr>
        <w:t>2.售后服务方案</w:t>
      </w:r>
    </w:p>
    <w:p>
      <w:pPr>
        <w:pStyle w:val="27"/>
        <w:keepNext w:val="0"/>
        <w:keepLines w:val="0"/>
        <w:pageBreakBefore w:val="0"/>
        <w:widowControl w:val="0"/>
        <w:numPr>
          <w:ilvl w:val="4"/>
          <w:numId w:val="0"/>
        </w:numPr>
        <w:kinsoku/>
        <w:overflowPunct/>
        <w:autoSpaceDE/>
        <w:autoSpaceDN/>
        <w:bidi w:val="0"/>
        <w:adjustRightInd/>
        <w:snapToGrid/>
        <w:spacing w:before="0" w:after="0" w:line="520" w:lineRule="exact"/>
        <w:ind w:firstLine="480" w:firstLineChars="200"/>
        <w:textAlignment w:val="auto"/>
        <w:outlineLvl w:val="9"/>
        <w:rPr>
          <w:rFonts w:hint="eastAsia" w:ascii="宋体" w:hAnsi="宋体" w:eastAsia="宋体" w:cs="宋体"/>
          <w:b w:val="0"/>
          <w:bCs/>
          <w:color w:val="auto"/>
          <w:szCs w:val="24"/>
          <w:highlight w:val="none"/>
        </w:rPr>
      </w:pPr>
      <w:bookmarkStart w:id="1145" w:name="_Toc10213"/>
      <w:bookmarkStart w:id="1146" w:name="_Toc13961"/>
      <w:r>
        <w:rPr>
          <w:rFonts w:hint="eastAsia" w:ascii="宋体" w:hAnsi="宋体" w:eastAsia="宋体" w:cs="宋体"/>
          <w:b w:val="0"/>
          <w:bCs/>
          <w:color w:val="auto"/>
          <w:szCs w:val="24"/>
          <w:highlight w:val="none"/>
          <w:lang w:val="en-US" w:eastAsia="zh-CN"/>
        </w:rPr>
        <w:t>包含①售后服务人员、②售后服务承诺、③售后服务到场时间、④售后应急保障措施</w:t>
      </w:r>
      <w:r>
        <w:rPr>
          <w:rFonts w:hint="eastAsia" w:ascii="宋体" w:hAnsi="宋体" w:eastAsia="宋体" w:cs="宋体"/>
          <w:b w:val="0"/>
          <w:bCs/>
          <w:color w:val="auto"/>
          <w:szCs w:val="24"/>
          <w:highlight w:val="none"/>
        </w:rPr>
        <w:t>。</w:t>
      </w:r>
    </w:p>
    <w:p>
      <w:pPr>
        <w:pStyle w:val="11"/>
        <w:keepNext w:val="0"/>
        <w:keepLines w:val="0"/>
        <w:pageBreakBefore w:val="0"/>
        <w:widowControl w:val="0"/>
        <w:kinsoku/>
        <w:overflowPunct/>
        <w:autoSpaceDE/>
        <w:autoSpaceDN/>
        <w:bidi w:val="0"/>
        <w:adjustRightInd/>
        <w:snapToGrid/>
        <w:spacing w:after="0" w:line="520" w:lineRule="exact"/>
        <w:ind w:firstLine="48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注：(1)以上内容满足要求是指①内容与项目技术服务需求吻合、层次细化，有具体详细的阐述；②阐述从实际出发，切合项目背景、项目需求以及市场供应情况发现问题并提出合理化专业技术建议或者解决方案；③内容符合国家、地方、行业标准、行业惯例以及项目特点。④内容清楚明了、表述规范、含义准确。</w:t>
      </w:r>
    </w:p>
    <w:p>
      <w:pPr>
        <w:pStyle w:val="11"/>
        <w:keepNext w:val="0"/>
        <w:keepLines w:val="0"/>
        <w:pageBreakBefore w:val="0"/>
        <w:widowControl w:val="0"/>
        <w:kinsoku/>
        <w:overflowPunct/>
        <w:autoSpaceDE/>
        <w:autoSpaceDN/>
        <w:bidi w:val="0"/>
        <w:adjustRightInd/>
        <w:snapToGrid/>
        <w:spacing w:after="0" w:line="52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(2)存在不足是指①内容生搬硬造，阐述存在逻辑错误，前后矛盾；②</w:t>
      </w:r>
      <w:r>
        <w:rPr>
          <w:rFonts w:hint="eastAsia" w:ascii="宋体" w:hAnsi="宋体" w:eastAsia="宋体" w:cs="宋体"/>
          <w:b/>
          <w:bCs/>
          <w:color w:val="auto"/>
          <w:highlight w:val="none"/>
        </w:rPr>
        <w:t>涉及内容无重点，</w:t>
      </w:r>
      <w:r>
        <w:rPr>
          <w:rFonts w:hint="eastAsia" w:ascii="宋体" w:hAnsi="宋体" w:eastAsia="宋体" w:cs="宋体"/>
          <w:b/>
          <w:bCs/>
          <w:color w:val="auto"/>
          <w:highlight w:val="none"/>
          <w:lang w:val="en-US" w:eastAsia="zh-CN"/>
        </w:rPr>
        <w:t>未</w:t>
      </w:r>
      <w:r>
        <w:rPr>
          <w:rFonts w:hint="eastAsia" w:ascii="宋体" w:hAnsi="宋体" w:eastAsia="宋体" w:cs="宋体"/>
          <w:b/>
          <w:bCs/>
          <w:color w:val="auto"/>
          <w:highlight w:val="none"/>
        </w:rPr>
        <w:t>能体现出本项目的特点</w:t>
      </w:r>
      <w:r>
        <w:rPr>
          <w:rFonts w:hint="eastAsia" w:ascii="宋体" w:hAnsi="宋体" w:eastAsia="宋体" w:cs="宋体"/>
          <w:b/>
          <w:bCs/>
          <w:color w:val="auto"/>
          <w:highlight w:val="none"/>
          <w:lang w:val="en-US" w:eastAsia="zh-CN"/>
        </w:rPr>
        <w:t>或</w:t>
      </w:r>
      <w:r>
        <w:rPr>
          <w:rFonts w:hint="eastAsia" w:ascii="宋体" w:hAnsi="宋体" w:eastAsia="宋体" w:cs="宋体"/>
          <w:b/>
          <w:bCs/>
          <w:color w:val="auto"/>
          <w:highlight w:val="none"/>
        </w:rPr>
        <w:t>与实际</w:t>
      </w:r>
      <w:r>
        <w:rPr>
          <w:rFonts w:hint="eastAsia" w:ascii="宋体" w:hAnsi="宋体" w:eastAsia="宋体" w:cs="宋体"/>
          <w:b/>
          <w:bCs/>
          <w:color w:val="auto"/>
          <w:highlight w:val="none"/>
          <w:lang w:val="en-US" w:eastAsia="zh-CN"/>
        </w:rPr>
        <w:t>需求</w:t>
      </w:r>
      <w:r>
        <w:rPr>
          <w:rFonts w:hint="eastAsia" w:ascii="宋体" w:hAnsi="宋体" w:eastAsia="宋体" w:cs="宋体"/>
          <w:b/>
          <w:bCs/>
          <w:color w:val="auto"/>
          <w:highlight w:val="none"/>
        </w:rPr>
        <w:t>不完全相符</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③语言错误或存在歧义，项目名称、实施地点、政策、规范标准与本项目不一致等情形</w:t>
      </w:r>
    </w:p>
    <w:p>
      <w:pPr>
        <w:pStyle w:val="49"/>
        <w:keepNext w:val="0"/>
        <w:keepLines w:val="0"/>
        <w:pageBreakBefore w:val="0"/>
        <w:widowControl w:val="0"/>
        <w:kinsoku/>
        <w:overflowPunct/>
        <w:autoSpaceDE/>
        <w:autoSpaceDN/>
        <w:bidi w:val="0"/>
        <w:spacing w:line="520" w:lineRule="exact"/>
        <w:ind w:firstLine="482"/>
        <w:textAlignment w:val="auto"/>
        <w:rPr>
          <w:rFonts w:asciiTheme="minorEastAsia" w:hAnsiTheme="minorEastAsia" w:eastAsiaTheme="minorEastAsia" w:cstheme="minorEastAsia"/>
          <w:color w:val="auto"/>
          <w:highlight w:val="none"/>
        </w:rPr>
      </w:pPr>
      <w:bookmarkStart w:id="1147" w:name="_Toc23222"/>
      <w:r>
        <w:rPr>
          <w:rFonts w:hint="eastAsia" w:asciiTheme="minorEastAsia" w:hAnsiTheme="minorEastAsia" w:eastAsiaTheme="minorEastAsia" w:cstheme="minorEastAsia"/>
          <w:color w:val="auto"/>
          <w:highlight w:val="none"/>
        </w:rPr>
        <w:t>履约</w:t>
      </w:r>
      <w:bookmarkEnd w:id="1145"/>
      <w:bookmarkEnd w:id="1146"/>
      <w:r>
        <w:rPr>
          <w:rFonts w:hint="eastAsia" w:asciiTheme="minorEastAsia" w:hAnsiTheme="minorEastAsia" w:eastAsiaTheme="minorEastAsia" w:cstheme="minorEastAsia"/>
          <w:color w:val="auto"/>
          <w:highlight w:val="none"/>
          <w:lang w:val="en-US" w:eastAsia="zh-CN"/>
        </w:rPr>
        <w:t>能力</w:t>
      </w:r>
      <w:bookmarkEnd w:id="1147"/>
    </w:p>
    <w:p>
      <w:pPr>
        <w:pStyle w:val="27"/>
        <w:keepNext w:val="0"/>
        <w:keepLines w:val="0"/>
        <w:pageBreakBefore w:val="0"/>
        <w:widowControl w:val="0"/>
        <w:numPr>
          <w:ilvl w:val="4"/>
          <w:numId w:val="0"/>
        </w:numPr>
        <w:kinsoku/>
        <w:overflowPunct/>
        <w:autoSpaceDE/>
        <w:autoSpaceDN/>
        <w:bidi w:val="0"/>
        <w:adjustRightInd/>
        <w:snapToGrid/>
        <w:spacing w:before="0" w:after="0" w:line="520" w:lineRule="exact"/>
        <w:ind w:firstLine="480" w:firstLineChars="200"/>
        <w:textAlignment w:val="auto"/>
        <w:outlineLvl w:val="9"/>
        <w:rPr>
          <w:rFonts w:hint="eastAsia" w:asciiTheme="minorEastAsia" w:hAnsiTheme="minorEastAsia" w:eastAsiaTheme="minorEastAsia" w:cstheme="minorEastAsia"/>
          <w:b w:val="0"/>
          <w:bCs/>
          <w:color w:val="auto"/>
          <w:szCs w:val="24"/>
          <w:highlight w:val="none"/>
        </w:rPr>
      </w:pPr>
      <w:r>
        <w:rPr>
          <w:rFonts w:hint="eastAsia" w:asciiTheme="minorEastAsia" w:hAnsiTheme="minorEastAsia" w:eastAsiaTheme="minorEastAsia" w:cstheme="minorEastAsia"/>
          <w:b w:val="0"/>
          <w:bCs/>
          <w:color w:val="auto"/>
          <w:szCs w:val="24"/>
          <w:highlight w:val="none"/>
          <w:lang w:val="en-US" w:eastAsia="zh-CN"/>
        </w:rPr>
        <w:t>1.履约经验：</w:t>
      </w:r>
      <w:r>
        <w:rPr>
          <w:rFonts w:hint="eastAsia" w:asciiTheme="minorEastAsia" w:hAnsiTheme="minorEastAsia" w:eastAsiaTheme="minorEastAsia" w:cstheme="minorEastAsia"/>
          <w:b w:val="0"/>
          <w:bCs/>
          <w:color w:val="auto"/>
          <w:szCs w:val="24"/>
          <w:highlight w:val="none"/>
        </w:rPr>
        <w:t>投标人自20</w:t>
      </w:r>
      <w:r>
        <w:rPr>
          <w:rFonts w:hint="eastAsia" w:asciiTheme="minorEastAsia" w:hAnsiTheme="minorEastAsia" w:eastAsiaTheme="minorEastAsia" w:cstheme="minorEastAsia"/>
          <w:b w:val="0"/>
          <w:bCs/>
          <w:color w:val="auto"/>
          <w:szCs w:val="24"/>
          <w:highlight w:val="none"/>
          <w:lang w:val="en-US" w:eastAsia="zh-CN"/>
        </w:rPr>
        <w:t>19</w:t>
      </w:r>
      <w:r>
        <w:rPr>
          <w:rFonts w:hint="eastAsia" w:asciiTheme="minorEastAsia" w:hAnsiTheme="minorEastAsia" w:eastAsiaTheme="minorEastAsia" w:cstheme="minorEastAsia"/>
          <w:b w:val="0"/>
          <w:bCs/>
          <w:color w:val="auto"/>
          <w:szCs w:val="24"/>
          <w:highlight w:val="none"/>
        </w:rPr>
        <w:t>年1月1日</w:t>
      </w:r>
      <w:r>
        <w:rPr>
          <w:rFonts w:hint="eastAsia" w:asciiTheme="minorEastAsia" w:hAnsiTheme="minorEastAsia" w:eastAsiaTheme="minorEastAsia" w:cstheme="minorEastAsia"/>
          <w:b w:val="0"/>
          <w:bCs/>
          <w:color w:val="auto"/>
          <w:szCs w:val="24"/>
          <w:highlight w:val="none"/>
          <w:lang w:eastAsia="zh-CN"/>
        </w:rPr>
        <w:t>(</w:t>
      </w:r>
      <w:r>
        <w:rPr>
          <w:rFonts w:hint="eastAsia" w:asciiTheme="minorEastAsia" w:hAnsiTheme="minorEastAsia" w:eastAsiaTheme="minorEastAsia" w:cstheme="minorEastAsia"/>
          <w:b w:val="0"/>
          <w:bCs/>
          <w:color w:val="auto"/>
          <w:szCs w:val="24"/>
          <w:highlight w:val="none"/>
        </w:rPr>
        <w:t>含1日</w:t>
      </w:r>
      <w:r>
        <w:rPr>
          <w:rFonts w:hint="eastAsia" w:asciiTheme="minorEastAsia" w:hAnsiTheme="minorEastAsia" w:eastAsiaTheme="minorEastAsia" w:cstheme="minorEastAsia"/>
          <w:b w:val="0"/>
          <w:bCs/>
          <w:color w:val="auto"/>
          <w:szCs w:val="24"/>
          <w:highlight w:val="none"/>
          <w:lang w:eastAsia="zh-CN"/>
        </w:rPr>
        <w:t>)</w:t>
      </w:r>
      <w:r>
        <w:rPr>
          <w:rFonts w:hint="eastAsia" w:asciiTheme="minorEastAsia" w:hAnsiTheme="minorEastAsia" w:eastAsiaTheme="minorEastAsia" w:cstheme="minorEastAsia"/>
          <w:b w:val="0"/>
          <w:bCs/>
          <w:color w:val="auto"/>
          <w:szCs w:val="24"/>
          <w:highlight w:val="none"/>
        </w:rPr>
        <w:t>以来具有类似项目履约经验</w:t>
      </w:r>
      <w:r>
        <w:rPr>
          <w:rFonts w:hint="eastAsia" w:asciiTheme="minorEastAsia" w:hAnsiTheme="minorEastAsia" w:eastAsiaTheme="minorEastAsia" w:cstheme="minorEastAsia"/>
          <w:b w:val="0"/>
          <w:bCs/>
          <w:color w:val="auto"/>
          <w:szCs w:val="24"/>
          <w:highlight w:val="none"/>
          <w:lang w:val="en-US" w:eastAsia="zh-CN"/>
        </w:rPr>
        <w:t>(</w:t>
      </w:r>
      <w:r>
        <w:rPr>
          <w:rFonts w:hint="eastAsia" w:asciiTheme="minorEastAsia" w:hAnsiTheme="minorEastAsia" w:eastAsiaTheme="minorEastAsia" w:cstheme="minorEastAsia"/>
          <w:b w:val="0"/>
          <w:bCs/>
          <w:color w:val="auto"/>
          <w:szCs w:val="24"/>
          <w:highlight w:val="none"/>
        </w:rPr>
        <w:t>提供合同复印件并加盖投标人公章</w:t>
      </w:r>
      <w:r>
        <w:rPr>
          <w:rFonts w:hint="eastAsia" w:asciiTheme="minorEastAsia" w:hAnsiTheme="minorEastAsia" w:eastAsiaTheme="minorEastAsia" w:cstheme="minorEastAsia"/>
          <w:b w:val="0"/>
          <w:bCs/>
          <w:color w:val="auto"/>
          <w:szCs w:val="24"/>
          <w:highlight w:val="none"/>
          <w:lang w:val="en-US" w:eastAsia="zh-CN"/>
        </w:rPr>
        <w:t>)</w:t>
      </w:r>
      <w:r>
        <w:rPr>
          <w:rFonts w:hint="eastAsia" w:asciiTheme="minorEastAsia" w:hAnsiTheme="minorEastAsia" w:eastAsiaTheme="minorEastAsia" w:cstheme="minorEastAsia"/>
          <w:b w:val="0"/>
          <w:bCs/>
          <w:color w:val="auto"/>
          <w:szCs w:val="24"/>
          <w:highlight w:val="none"/>
        </w:rPr>
        <w:t>。</w:t>
      </w:r>
    </w:p>
    <w:p>
      <w:pPr>
        <w:pStyle w:val="27"/>
        <w:keepNext w:val="0"/>
        <w:keepLines w:val="0"/>
        <w:pageBreakBefore w:val="0"/>
        <w:widowControl w:val="0"/>
        <w:numPr>
          <w:ilvl w:val="4"/>
          <w:numId w:val="0"/>
        </w:numPr>
        <w:kinsoku/>
        <w:overflowPunct/>
        <w:autoSpaceDE/>
        <w:autoSpaceDN/>
        <w:bidi w:val="0"/>
        <w:adjustRightInd/>
        <w:snapToGrid/>
        <w:spacing w:before="0" w:after="0" w:line="520" w:lineRule="exact"/>
        <w:ind w:firstLine="480" w:firstLineChars="200"/>
        <w:textAlignment w:val="auto"/>
        <w:outlineLvl w:val="9"/>
        <w:rPr>
          <w:rFonts w:hint="eastAsia" w:asciiTheme="minorEastAsia" w:hAnsiTheme="minorEastAsia" w:eastAsiaTheme="minorEastAsia" w:cstheme="minorEastAsia"/>
          <w:b w:val="0"/>
          <w:bCs/>
          <w:color w:val="auto"/>
          <w:szCs w:val="24"/>
          <w:highlight w:val="none"/>
        </w:rPr>
      </w:pPr>
      <w:r>
        <w:rPr>
          <w:rFonts w:hint="eastAsia" w:asciiTheme="minorEastAsia" w:hAnsiTheme="minorEastAsia" w:eastAsiaTheme="minorEastAsia" w:cstheme="minorEastAsia"/>
          <w:b w:val="0"/>
          <w:bCs/>
          <w:color w:val="auto"/>
          <w:szCs w:val="24"/>
          <w:highlight w:val="none"/>
          <w:lang w:val="en-US" w:eastAsia="zh-CN"/>
        </w:rPr>
        <w:t>2.质保要求：投标人在满足售后服务一年的基础上，增加售后服务期限(根据评标标准要求提供相关承诺)</w:t>
      </w:r>
      <w:r>
        <w:rPr>
          <w:rFonts w:hint="eastAsia" w:asciiTheme="minorEastAsia" w:hAnsiTheme="minorEastAsia" w:eastAsiaTheme="minorEastAsia" w:cstheme="minorEastAsia"/>
          <w:b w:val="0"/>
          <w:bCs/>
          <w:color w:val="auto"/>
          <w:szCs w:val="24"/>
          <w:highlight w:val="none"/>
        </w:rPr>
        <w:t>。</w:t>
      </w:r>
    </w:p>
    <w:p>
      <w:pPr>
        <w:pStyle w:val="47"/>
        <w:keepNext w:val="0"/>
        <w:keepLines w:val="0"/>
        <w:pageBreakBefore w:val="0"/>
        <w:widowControl w:val="0"/>
        <w:kinsoku/>
        <w:overflowPunct/>
        <w:autoSpaceDE/>
        <w:autoSpaceDN/>
        <w:bidi w:val="0"/>
        <w:spacing w:line="520" w:lineRule="exact"/>
        <w:ind w:firstLine="482"/>
        <w:textAlignment w:val="auto"/>
        <w:rPr>
          <w:color w:val="auto"/>
          <w:highlight w:val="none"/>
        </w:rPr>
      </w:pPr>
      <w:r>
        <w:rPr>
          <w:rFonts w:hint="eastAsia"/>
          <w:color w:val="auto"/>
          <w:highlight w:val="none"/>
        </w:rPr>
        <w:t>注：</w:t>
      </w:r>
      <w:r>
        <w:rPr>
          <w:rFonts w:hint="eastAsia"/>
          <w:color w:val="auto"/>
          <w:highlight w:val="none"/>
          <w:lang w:val="en-US" w:eastAsia="zh-CN"/>
        </w:rPr>
        <w:t>(1)</w:t>
      </w:r>
      <w:r>
        <w:rPr>
          <w:rFonts w:hint="eastAsia"/>
          <w:color w:val="auto"/>
          <w:highlight w:val="none"/>
        </w:rPr>
        <w:t>供应商应当根据本项目实际情况提供真实、客观的证明材料。</w:t>
      </w:r>
    </w:p>
    <w:p>
      <w:pPr>
        <w:pStyle w:val="47"/>
        <w:keepNext w:val="0"/>
        <w:keepLines w:val="0"/>
        <w:pageBreakBefore w:val="0"/>
        <w:widowControl w:val="0"/>
        <w:kinsoku/>
        <w:overflowPunct/>
        <w:autoSpaceDE/>
        <w:autoSpaceDN/>
        <w:bidi w:val="0"/>
        <w:spacing w:line="520" w:lineRule="exact"/>
        <w:ind w:firstLine="482"/>
        <w:textAlignment w:val="auto"/>
        <w:rPr>
          <w:color w:val="auto"/>
          <w:highlight w:val="none"/>
        </w:rPr>
      </w:pPr>
      <w:r>
        <w:rPr>
          <w:rFonts w:hint="eastAsia"/>
          <w:color w:val="auto"/>
          <w:highlight w:val="none"/>
          <w:lang w:val="en-US" w:eastAsia="zh-CN"/>
        </w:rPr>
        <w:t>(2)</w:t>
      </w:r>
      <w:r>
        <w:rPr>
          <w:rFonts w:hint="eastAsia"/>
          <w:color w:val="auto"/>
          <w:highlight w:val="none"/>
        </w:rPr>
        <w:t>供应商应当保证所提交的所有材料的真实性，若提交虚假材料谋取中标的，将上报</w:t>
      </w:r>
      <w:r>
        <w:rPr>
          <w:rFonts w:hint="eastAsia"/>
          <w:color w:val="auto"/>
          <w:highlight w:val="none"/>
          <w:lang w:val="en-US" w:eastAsia="zh-CN"/>
        </w:rPr>
        <w:t>相关</w:t>
      </w:r>
      <w:r>
        <w:rPr>
          <w:rFonts w:hint="eastAsia"/>
          <w:color w:val="auto"/>
          <w:highlight w:val="none"/>
        </w:rPr>
        <w:t>监管部门依法处理。</w:t>
      </w:r>
    </w:p>
    <w:p>
      <w:pPr>
        <w:pStyle w:val="11"/>
        <w:keepNext w:val="0"/>
        <w:keepLines w:val="0"/>
        <w:pageBreakBefore w:val="0"/>
        <w:widowControl w:val="0"/>
        <w:kinsoku/>
        <w:overflowPunct/>
        <w:autoSpaceDE/>
        <w:autoSpaceDN/>
        <w:bidi w:val="0"/>
        <w:adjustRightInd/>
        <w:snapToGrid/>
        <w:spacing w:after="0" w:line="520" w:lineRule="exact"/>
        <w:ind w:firstLine="480" w:firstLineChars="200"/>
        <w:textAlignment w:val="auto"/>
        <w:rPr>
          <w:rFonts w:hint="eastAsia"/>
          <w:b/>
          <w:bCs/>
          <w:color w:val="auto"/>
          <w:highlight w:val="none"/>
        </w:rPr>
      </w:pPr>
      <w:r>
        <w:rPr>
          <w:rFonts w:hint="eastAsia"/>
          <w:color w:val="auto"/>
          <w:highlight w:val="none"/>
          <w:lang w:val="en-US" w:eastAsia="zh-CN"/>
        </w:rPr>
        <w:t>(3)</w:t>
      </w:r>
      <w:r>
        <w:rPr>
          <w:rFonts w:hint="eastAsia"/>
          <w:b/>
          <w:bCs/>
          <w:color w:val="auto"/>
          <w:highlight w:val="none"/>
        </w:rPr>
        <w:t>投标人根据项目的实际需求和具体情况实事求是地编制投标文件，能具体量化，具有可行性及便于监督考核，不得违反法律、法规规定，不得夸大其词和空口许诺。</w:t>
      </w:r>
    </w:p>
    <w:p>
      <w:pPr>
        <w:pStyle w:val="34"/>
        <w:keepNext w:val="0"/>
        <w:keepLines w:val="0"/>
        <w:pageBreakBefore w:val="0"/>
        <w:widowControl w:val="0"/>
        <w:kinsoku/>
        <w:overflowPunct/>
        <w:autoSpaceDE/>
        <w:autoSpaceDN/>
        <w:bidi w:val="0"/>
        <w:spacing w:line="520" w:lineRule="exact"/>
        <w:ind w:firstLine="482"/>
        <w:textAlignment w:val="auto"/>
        <w:rPr>
          <w:color w:val="auto"/>
          <w:highlight w:val="none"/>
        </w:rPr>
      </w:pPr>
      <w:bookmarkStart w:id="1148" w:name="_Toc24129"/>
      <w:bookmarkStart w:id="1149" w:name="_Toc19909"/>
      <w:bookmarkStart w:id="1150" w:name="_Toc11652"/>
      <w:r>
        <w:rPr>
          <w:rFonts w:hint="eastAsia"/>
          <w:color w:val="auto"/>
          <w:highlight w:val="none"/>
        </w:rPr>
        <w:t>★商务要求</w:t>
      </w:r>
      <w:bookmarkEnd w:id="1148"/>
      <w:bookmarkEnd w:id="1149"/>
      <w:bookmarkEnd w:id="1150"/>
    </w:p>
    <w:p>
      <w:pPr>
        <w:pStyle w:val="49"/>
        <w:keepNext w:val="0"/>
        <w:keepLines w:val="0"/>
        <w:pageBreakBefore w:val="0"/>
        <w:widowControl w:val="0"/>
        <w:kinsoku/>
        <w:overflowPunct/>
        <w:autoSpaceDE/>
        <w:autoSpaceDN/>
        <w:bidi w:val="0"/>
        <w:spacing w:line="520" w:lineRule="exact"/>
        <w:ind w:firstLine="482"/>
        <w:textAlignment w:val="auto"/>
        <w:rPr>
          <w:rFonts w:asciiTheme="minorEastAsia" w:hAnsiTheme="minorEastAsia" w:eastAsiaTheme="minorEastAsia" w:cstheme="minorEastAsia"/>
          <w:color w:val="auto"/>
          <w:highlight w:val="none"/>
        </w:rPr>
      </w:pPr>
      <w:bookmarkStart w:id="1151" w:name="_Toc24648"/>
      <w:bookmarkStart w:id="1152" w:name="_Toc17112"/>
      <w:bookmarkStart w:id="1153" w:name="_Toc4968"/>
      <w:bookmarkStart w:id="1154" w:name="_Toc17790"/>
      <w:bookmarkStart w:id="1155" w:name="_Toc566"/>
      <w:r>
        <w:rPr>
          <w:rFonts w:hint="eastAsia" w:asciiTheme="minorEastAsia" w:hAnsiTheme="minorEastAsia" w:eastAsiaTheme="minorEastAsia" w:cstheme="minorEastAsia"/>
          <w:color w:val="auto"/>
          <w:highlight w:val="none"/>
        </w:rPr>
        <w:t>履约时间和地点</w:t>
      </w:r>
      <w:bookmarkEnd w:id="1151"/>
      <w:bookmarkEnd w:id="1152"/>
      <w:bookmarkEnd w:id="1153"/>
      <w:bookmarkEnd w:id="1154"/>
      <w:bookmarkEnd w:id="1155"/>
    </w:p>
    <w:p>
      <w:pPr>
        <w:pStyle w:val="28"/>
        <w:keepNext w:val="0"/>
        <w:keepLines w:val="0"/>
        <w:pageBreakBefore w:val="0"/>
        <w:widowControl w:val="0"/>
        <w:numPr>
          <w:ilvl w:val="0"/>
          <w:numId w:val="29"/>
        </w:numPr>
        <w:tabs>
          <w:tab w:val="left" w:pos="420"/>
        </w:tabs>
        <w:kinsoku/>
        <w:overflowPunct/>
        <w:autoSpaceDE/>
        <w:autoSpaceDN/>
        <w:bidi w:val="0"/>
        <w:spacing w:line="520" w:lineRule="exact"/>
        <w:ind w:firstLine="480" w:firstLineChars="200"/>
        <w:textAlignment w:val="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履约时间：</w:t>
      </w:r>
      <w:r>
        <w:rPr>
          <w:rFonts w:hint="eastAsia" w:asciiTheme="minorEastAsia" w:hAnsiTheme="minorEastAsia" w:eastAsiaTheme="minorEastAsia" w:cstheme="minorEastAsia"/>
          <w:bCs/>
          <w:color w:val="auto"/>
          <w:sz w:val="24"/>
          <w:szCs w:val="24"/>
          <w:highlight w:val="none"/>
          <w:lang w:val="en-US" w:eastAsia="zh-CN"/>
        </w:rPr>
        <w:t>合同签订之日起30个日历天(含法定节假日和试运行)内，在采购人指定交货地点完成</w:t>
      </w:r>
      <w:r>
        <w:rPr>
          <w:rFonts w:hint="eastAsia" w:asciiTheme="minorEastAsia" w:hAnsiTheme="minorEastAsia" w:eastAsiaTheme="minorEastAsia" w:cstheme="minorEastAsia"/>
          <w:bCs/>
          <w:color w:val="auto"/>
          <w:sz w:val="24"/>
          <w:szCs w:val="24"/>
          <w:highlight w:val="none"/>
        </w:rPr>
        <w:t>成都市技师学院工业机器人数字化虚拟仿真实训基地设备</w:t>
      </w:r>
      <w:r>
        <w:rPr>
          <w:rFonts w:hint="eastAsia" w:asciiTheme="minorEastAsia" w:hAnsiTheme="minorEastAsia" w:eastAsiaTheme="minorEastAsia" w:cstheme="minorEastAsia"/>
          <w:bCs/>
          <w:color w:val="auto"/>
          <w:sz w:val="24"/>
          <w:szCs w:val="24"/>
          <w:highlight w:val="none"/>
          <w:lang w:eastAsia="zh-CN"/>
        </w:rPr>
        <w:t>采购项目</w:t>
      </w:r>
      <w:r>
        <w:rPr>
          <w:rFonts w:hint="eastAsia" w:asciiTheme="minorEastAsia" w:hAnsiTheme="minorEastAsia" w:eastAsiaTheme="minorEastAsia" w:cstheme="minorEastAsia"/>
          <w:bCs/>
          <w:color w:val="auto"/>
          <w:sz w:val="24"/>
          <w:szCs w:val="24"/>
          <w:highlight w:val="none"/>
          <w:lang w:val="en-US" w:eastAsia="zh-CN"/>
        </w:rPr>
        <w:t>的送货、安装、调试、试运行、培训</w:t>
      </w:r>
      <w:r>
        <w:rPr>
          <w:rFonts w:hint="eastAsia" w:asciiTheme="minorEastAsia" w:hAnsiTheme="minorEastAsia" w:eastAsiaTheme="minorEastAsia" w:cstheme="minorEastAsia"/>
          <w:bCs/>
          <w:color w:val="auto"/>
          <w:sz w:val="24"/>
          <w:szCs w:val="24"/>
          <w:highlight w:val="none"/>
        </w:rPr>
        <w:t>等工作。</w:t>
      </w:r>
    </w:p>
    <w:p>
      <w:pPr>
        <w:pStyle w:val="28"/>
        <w:keepNext w:val="0"/>
        <w:keepLines w:val="0"/>
        <w:pageBreakBefore w:val="0"/>
        <w:widowControl w:val="0"/>
        <w:numPr>
          <w:ilvl w:val="0"/>
          <w:numId w:val="29"/>
        </w:numPr>
        <w:tabs>
          <w:tab w:val="left" w:pos="420"/>
        </w:tabs>
        <w:kinsoku/>
        <w:overflowPunct/>
        <w:autoSpaceDE/>
        <w:autoSpaceDN/>
        <w:bidi w:val="0"/>
        <w:spacing w:line="52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履约地点：成都市郫都区港通北三路1899号。</w:t>
      </w:r>
    </w:p>
    <w:p>
      <w:pPr>
        <w:pStyle w:val="49"/>
        <w:keepNext w:val="0"/>
        <w:keepLines w:val="0"/>
        <w:pageBreakBefore w:val="0"/>
        <w:widowControl w:val="0"/>
        <w:kinsoku/>
        <w:overflowPunct/>
        <w:autoSpaceDE/>
        <w:autoSpaceDN/>
        <w:bidi w:val="0"/>
        <w:spacing w:line="520" w:lineRule="exact"/>
        <w:ind w:firstLine="482"/>
        <w:textAlignment w:val="auto"/>
        <w:rPr>
          <w:rFonts w:asciiTheme="minorEastAsia" w:hAnsiTheme="minorEastAsia" w:eastAsiaTheme="minorEastAsia" w:cstheme="minorEastAsia"/>
          <w:bCs/>
          <w:color w:val="auto"/>
          <w:highlight w:val="none"/>
        </w:rPr>
      </w:pPr>
      <w:bookmarkStart w:id="1156" w:name="_Toc636"/>
      <w:bookmarkStart w:id="1157" w:name="_Toc28016"/>
      <w:bookmarkStart w:id="1158" w:name="_Toc9634"/>
      <w:bookmarkStart w:id="1159" w:name="_Toc9088"/>
      <w:bookmarkStart w:id="1160" w:name="_Toc19194"/>
      <w:r>
        <w:rPr>
          <w:rFonts w:hint="eastAsia" w:asciiTheme="minorEastAsia" w:hAnsiTheme="minorEastAsia" w:eastAsiaTheme="minorEastAsia" w:cstheme="minorEastAsia"/>
          <w:bCs/>
          <w:color w:val="auto"/>
          <w:highlight w:val="none"/>
        </w:rPr>
        <w:t>合同价款及支付方式</w:t>
      </w:r>
      <w:bookmarkEnd w:id="1156"/>
      <w:bookmarkEnd w:id="1157"/>
      <w:bookmarkEnd w:id="1158"/>
      <w:bookmarkEnd w:id="1159"/>
    </w:p>
    <w:p>
      <w:pPr>
        <w:keepNext w:val="0"/>
        <w:keepLines w:val="0"/>
        <w:pageBreakBefore w:val="0"/>
        <w:widowControl w:val="0"/>
        <w:numPr>
          <w:ilvl w:val="0"/>
          <w:numId w:val="30"/>
        </w:numPr>
        <w:kinsoku/>
        <w:wordWrap w:val="0"/>
        <w:overflowPunct/>
        <w:autoSpaceDE/>
        <w:autoSpaceDN/>
        <w:bidi w:val="0"/>
        <w:spacing w:line="520" w:lineRule="exact"/>
        <w:ind w:left="0" w:firstLine="480" w:firstLineChars="20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合同价款</w:t>
      </w:r>
    </w:p>
    <w:p>
      <w:pPr>
        <w:keepNext w:val="0"/>
        <w:keepLines w:val="0"/>
        <w:pageBreakBefore w:val="0"/>
        <w:widowControl w:val="0"/>
        <w:kinsoku/>
        <w:wordWrap w:val="0"/>
        <w:overflowPunct/>
        <w:autoSpaceDE/>
        <w:autoSpaceDN/>
        <w:bidi w:val="0"/>
        <w:spacing w:line="520" w:lineRule="exact"/>
        <w:ind w:firstLine="480" w:firstLineChars="20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合同总价为固定包干价，</w:t>
      </w:r>
      <w:r>
        <w:rPr>
          <w:rFonts w:hint="eastAsia" w:asciiTheme="minorEastAsia" w:hAnsiTheme="minorEastAsia" w:eastAsiaTheme="minorEastAsia" w:cstheme="minorEastAsia"/>
          <w:color w:val="auto"/>
          <w:highlight w:val="none"/>
          <w:lang w:eastAsia="zh-CN"/>
        </w:rPr>
        <w:t>包括但不限于成都市技师学院工业机器人数字化虚拟仿真实训基地设备的供货、包装、运输、安装、调试、检测、</w:t>
      </w:r>
      <w:r>
        <w:rPr>
          <w:rFonts w:hint="eastAsia" w:asciiTheme="minorEastAsia" w:hAnsiTheme="minorEastAsia" w:eastAsiaTheme="minorEastAsia" w:cstheme="minorEastAsia"/>
          <w:color w:val="auto"/>
          <w:highlight w:val="none"/>
          <w:lang w:val="en-US" w:eastAsia="zh-CN"/>
        </w:rPr>
        <w:t>售后服务、</w:t>
      </w:r>
      <w:r>
        <w:rPr>
          <w:rFonts w:hint="eastAsia" w:asciiTheme="minorEastAsia" w:hAnsiTheme="minorEastAsia" w:eastAsiaTheme="minorEastAsia" w:cstheme="minorEastAsia"/>
          <w:color w:val="auto"/>
          <w:highlight w:val="none"/>
          <w:lang w:eastAsia="zh-CN"/>
        </w:rPr>
        <w:t>税费等与完成本项目有关的所有费用。本项目执行期间合同总价不变，</w:t>
      </w:r>
      <w:r>
        <w:rPr>
          <w:rFonts w:hint="eastAsia" w:asciiTheme="minorEastAsia" w:hAnsiTheme="minorEastAsia" w:eastAsiaTheme="minorEastAsia" w:cstheme="minorEastAsia"/>
          <w:color w:val="auto"/>
          <w:highlight w:val="none"/>
          <w:lang w:val="en-US" w:eastAsia="zh-CN"/>
        </w:rPr>
        <w:t>采购人</w:t>
      </w:r>
      <w:r>
        <w:rPr>
          <w:rFonts w:hint="eastAsia" w:asciiTheme="minorEastAsia" w:hAnsiTheme="minorEastAsia" w:eastAsiaTheme="minorEastAsia" w:cstheme="minorEastAsia"/>
          <w:color w:val="auto"/>
          <w:highlight w:val="none"/>
          <w:lang w:eastAsia="zh-CN"/>
        </w:rPr>
        <w:t>无须另向投标人支付本合同规定之外的其他任何费用。</w:t>
      </w:r>
    </w:p>
    <w:p>
      <w:pPr>
        <w:keepNext w:val="0"/>
        <w:keepLines w:val="0"/>
        <w:pageBreakBefore w:val="0"/>
        <w:widowControl w:val="0"/>
        <w:numPr>
          <w:ilvl w:val="0"/>
          <w:numId w:val="30"/>
        </w:numPr>
        <w:kinsoku/>
        <w:wordWrap w:val="0"/>
        <w:overflowPunct/>
        <w:autoSpaceDE/>
        <w:autoSpaceDN/>
        <w:bidi w:val="0"/>
        <w:spacing w:line="520" w:lineRule="exact"/>
        <w:ind w:left="0" w:firstLine="480" w:firstLineChars="20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支付方式</w:t>
      </w:r>
    </w:p>
    <w:p>
      <w:pPr>
        <w:keepNext w:val="0"/>
        <w:keepLines w:val="0"/>
        <w:pageBreakBefore w:val="0"/>
        <w:widowControl w:val="0"/>
        <w:kinsoku/>
        <w:wordWrap w:val="0"/>
        <w:overflowPunct/>
        <w:autoSpaceDE/>
        <w:autoSpaceDN/>
        <w:bidi w:val="0"/>
        <w:spacing w:line="520" w:lineRule="exact"/>
        <w:ind w:firstLine="480" w:firstLineChars="20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2.1资金支付方式为一次性向银行转账支付；</w:t>
      </w:r>
      <w:r>
        <w:rPr>
          <w:rFonts w:hint="eastAsia" w:asciiTheme="minorEastAsia" w:hAnsiTheme="minorEastAsia" w:eastAsiaTheme="minorEastAsia" w:cstheme="minorEastAsia"/>
          <w:color w:val="auto"/>
          <w:highlight w:val="none"/>
          <w:lang w:val="en-US" w:eastAsia="zh-CN"/>
        </w:rPr>
        <w:t>投标人</w:t>
      </w:r>
      <w:r>
        <w:rPr>
          <w:rFonts w:hint="eastAsia" w:asciiTheme="minorEastAsia" w:hAnsiTheme="minorEastAsia" w:eastAsiaTheme="minorEastAsia" w:cstheme="minorEastAsia"/>
          <w:color w:val="auto"/>
          <w:highlight w:val="none"/>
        </w:rPr>
        <w:t>将</w:t>
      </w:r>
      <w:r>
        <w:rPr>
          <w:rFonts w:hint="eastAsia" w:asciiTheme="minorEastAsia" w:hAnsiTheme="minorEastAsia" w:eastAsiaTheme="minorEastAsia" w:cstheme="minorEastAsia"/>
          <w:color w:val="auto"/>
          <w:highlight w:val="none"/>
          <w:lang w:eastAsia="zh-CN"/>
        </w:rPr>
        <w:t>成都市技师学院工业机器人数字化虚拟仿真实训基地设备</w:t>
      </w:r>
      <w:r>
        <w:rPr>
          <w:rFonts w:hint="eastAsia" w:asciiTheme="minorEastAsia" w:hAnsiTheme="minorEastAsia" w:eastAsiaTheme="minorEastAsia" w:cstheme="minorEastAsia"/>
          <w:color w:val="auto"/>
          <w:highlight w:val="none"/>
        </w:rPr>
        <w:t>运输到</w:t>
      </w:r>
      <w:r>
        <w:rPr>
          <w:rFonts w:hint="eastAsia" w:asciiTheme="minorEastAsia" w:hAnsiTheme="minorEastAsia" w:eastAsiaTheme="minorEastAsia" w:cstheme="minorEastAsia"/>
          <w:color w:val="auto"/>
          <w:highlight w:val="none"/>
          <w:lang w:eastAsia="zh-CN"/>
        </w:rPr>
        <w:t>采购人</w:t>
      </w:r>
      <w:r>
        <w:rPr>
          <w:rFonts w:hint="eastAsia" w:asciiTheme="minorEastAsia" w:hAnsiTheme="minorEastAsia" w:eastAsiaTheme="minorEastAsia" w:cstheme="minorEastAsia"/>
          <w:color w:val="auto"/>
          <w:highlight w:val="none"/>
        </w:rPr>
        <w:t>指定地点，安装、调试</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且</w:t>
      </w:r>
      <w:r>
        <w:rPr>
          <w:rFonts w:hint="eastAsia" w:asciiTheme="minorEastAsia" w:hAnsiTheme="minorEastAsia" w:eastAsiaTheme="minorEastAsia" w:cstheme="minorEastAsia"/>
          <w:color w:val="auto"/>
          <w:highlight w:val="none"/>
          <w:lang w:val="en-US" w:eastAsia="zh-CN"/>
        </w:rPr>
        <w:t>设备</w:t>
      </w:r>
      <w:r>
        <w:rPr>
          <w:rFonts w:hint="eastAsia" w:asciiTheme="minorEastAsia" w:hAnsiTheme="minorEastAsia" w:eastAsiaTheme="minorEastAsia" w:cstheme="minorEastAsia"/>
          <w:color w:val="auto"/>
          <w:highlight w:val="none"/>
        </w:rPr>
        <w:t>经</w:t>
      </w:r>
      <w:r>
        <w:rPr>
          <w:rFonts w:hint="eastAsia" w:asciiTheme="minorEastAsia" w:hAnsiTheme="minorEastAsia" w:eastAsiaTheme="minorEastAsia" w:cstheme="minorEastAsia"/>
          <w:color w:val="auto"/>
          <w:highlight w:val="none"/>
          <w:lang w:eastAsia="zh-CN"/>
        </w:rPr>
        <w:t>采购人</w:t>
      </w:r>
      <w:r>
        <w:rPr>
          <w:rFonts w:hint="eastAsia" w:asciiTheme="minorEastAsia" w:hAnsiTheme="minorEastAsia" w:eastAsiaTheme="minorEastAsia" w:cstheme="minorEastAsia"/>
          <w:color w:val="auto"/>
          <w:highlight w:val="none"/>
          <w:lang w:val="en-US" w:eastAsia="zh-CN"/>
        </w:rPr>
        <w:t>终</w:t>
      </w:r>
      <w:r>
        <w:rPr>
          <w:rFonts w:hint="eastAsia" w:asciiTheme="minorEastAsia" w:hAnsiTheme="minorEastAsia" w:eastAsiaTheme="minorEastAsia" w:cstheme="minorEastAsia"/>
          <w:color w:val="auto"/>
          <w:highlight w:val="none"/>
        </w:rPr>
        <w:t>验合格后</w:t>
      </w:r>
      <w:r>
        <w:rPr>
          <w:rFonts w:hint="eastAsia" w:asciiTheme="minorEastAsia" w:hAnsiTheme="minorEastAsia" w:eastAsiaTheme="minorEastAsia" w:cstheme="minorEastAsia"/>
          <w:color w:val="auto"/>
          <w:highlight w:val="none"/>
          <w:lang w:eastAsia="zh-CN"/>
        </w:rPr>
        <w:t>，自采购人收到投标人提供的符合采购人财务要求且合法有效完整的等额完税发票之日起15个日历天内支付</w:t>
      </w:r>
      <w:r>
        <w:rPr>
          <w:rFonts w:hint="eastAsia" w:asciiTheme="minorEastAsia" w:hAnsiTheme="minorEastAsia" w:eastAsiaTheme="minorEastAsia" w:cstheme="minorEastAsia"/>
          <w:color w:val="auto"/>
          <w:highlight w:val="none"/>
          <w:lang w:val="en-US" w:eastAsia="zh-CN"/>
        </w:rPr>
        <w:t>合同</w:t>
      </w:r>
      <w:r>
        <w:rPr>
          <w:rFonts w:hint="eastAsia" w:asciiTheme="minorEastAsia" w:hAnsiTheme="minorEastAsia" w:eastAsiaTheme="minorEastAsia" w:cstheme="minorEastAsia"/>
          <w:color w:val="auto"/>
          <w:highlight w:val="none"/>
          <w:lang w:val="en-US" w:eastAsia="zh-Hans"/>
        </w:rPr>
        <w:t>总金额的百分之百的</w:t>
      </w:r>
      <w:r>
        <w:rPr>
          <w:rFonts w:hint="eastAsia" w:asciiTheme="minorEastAsia" w:hAnsiTheme="minorEastAsia" w:eastAsiaTheme="minorEastAsia" w:cstheme="minorEastAsia"/>
          <w:color w:val="auto"/>
          <w:highlight w:val="none"/>
          <w:lang w:val="en-US" w:eastAsia="zh-CN"/>
        </w:rPr>
        <w:t>货款</w:t>
      </w:r>
      <w:r>
        <w:rPr>
          <w:rFonts w:hint="eastAsia" w:asciiTheme="minorEastAsia" w:hAnsiTheme="minorEastAsia" w:eastAsiaTheme="minorEastAsia" w:cstheme="minorEastAsia"/>
          <w:color w:val="auto"/>
          <w:highlight w:val="none"/>
          <w:lang w:eastAsia="zh-CN"/>
        </w:rPr>
        <w:t>；若收到投标人发票之日早于验收合格之日，则自验收合格之日起15个日历天内支付</w:t>
      </w:r>
      <w:r>
        <w:rPr>
          <w:rFonts w:hint="eastAsia" w:asciiTheme="minorEastAsia" w:hAnsiTheme="minorEastAsia" w:eastAsiaTheme="minorEastAsia" w:cstheme="minorEastAsia"/>
          <w:color w:val="auto"/>
          <w:highlight w:val="none"/>
        </w:rPr>
        <w:t>。</w:t>
      </w:r>
    </w:p>
    <w:p>
      <w:pPr>
        <w:keepNext w:val="0"/>
        <w:keepLines w:val="0"/>
        <w:pageBreakBefore w:val="0"/>
        <w:widowControl w:val="0"/>
        <w:kinsoku/>
        <w:wordWrap w:val="0"/>
        <w:overflowPunct/>
        <w:autoSpaceDE/>
        <w:autoSpaceDN/>
        <w:bidi w:val="0"/>
        <w:spacing w:line="520" w:lineRule="exact"/>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w:t>
      </w:r>
      <w:r>
        <w:rPr>
          <w:rFonts w:hint="eastAsia" w:asciiTheme="minorEastAsia" w:hAnsiTheme="minorEastAsia" w:eastAsiaTheme="minorEastAsia" w:cstheme="minorEastAsia"/>
          <w:color w:val="auto"/>
          <w:highlight w:val="none"/>
          <w:lang w:eastAsia="zh-CN"/>
        </w:rPr>
        <w:t>投标人未提供增值税发票（普票），或发票经国税网验审不合格的，或者投标人提供的发票不满足采购人财务要求的，采购人有权拒付且不承担任何逾期付款的责任</w:t>
      </w:r>
      <w:r>
        <w:rPr>
          <w:rFonts w:hint="eastAsia" w:asciiTheme="minorEastAsia" w:hAnsiTheme="minorEastAsia" w:eastAsiaTheme="minorEastAsia" w:cstheme="minorEastAsia"/>
          <w:color w:val="auto"/>
          <w:highlight w:val="none"/>
        </w:rPr>
        <w:t>。</w:t>
      </w:r>
    </w:p>
    <w:p>
      <w:pPr>
        <w:keepNext w:val="0"/>
        <w:keepLines w:val="0"/>
        <w:pageBreakBefore w:val="0"/>
        <w:widowControl w:val="0"/>
        <w:kinsoku/>
        <w:wordWrap w:val="0"/>
        <w:overflowPunct/>
        <w:autoSpaceDE/>
        <w:autoSpaceDN/>
        <w:bidi w:val="0"/>
        <w:spacing w:line="520" w:lineRule="exact"/>
        <w:ind w:firstLine="480" w:firstLineChars="20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2.3中标人保证提供的银行账户信息真实有效，如果中标人账户信息更改，需要在</w:t>
      </w:r>
      <w:r>
        <w:rPr>
          <w:rFonts w:hint="eastAsia" w:asciiTheme="minorEastAsia" w:hAnsiTheme="minorEastAsia" w:eastAsiaTheme="minorEastAsia" w:cstheme="minorEastAsia"/>
          <w:color w:val="auto"/>
          <w:highlight w:val="none"/>
          <w:lang w:val="en-US" w:eastAsia="zh-CN"/>
        </w:rPr>
        <w:t>采购人</w:t>
      </w:r>
      <w:r>
        <w:rPr>
          <w:rFonts w:hint="eastAsia" w:asciiTheme="minorEastAsia" w:hAnsiTheme="minorEastAsia" w:eastAsiaTheme="minorEastAsia" w:cstheme="minorEastAsia"/>
          <w:color w:val="auto"/>
          <w:highlight w:val="none"/>
        </w:rPr>
        <w:t>付款前</w:t>
      </w: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rPr>
        <w:t>个日历天内告知采购人</w:t>
      </w:r>
      <w:r>
        <w:rPr>
          <w:rFonts w:asciiTheme="minorEastAsia" w:hAnsiTheme="minorEastAsia" w:eastAsiaTheme="minorEastAsia" w:cstheme="minorEastAsia"/>
          <w:color w:val="auto"/>
          <w:highlight w:val="none"/>
        </w:rPr>
        <w:t>(原则上</w:t>
      </w:r>
      <w:r>
        <w:rPr>
          <w:rFonts w:hint="eastAsia" w:asciiTheme="minorEastAsia" w:hAnsiTheme="minorEastAsia" w:eastAsiaTheme="minorEastAsia" w:cstheme="minorEastAsia"/>
          <w:color w:val="auto"/>
          <w:highlight w:val="none"/>
          <w:lang w:val="en-US" w:eastAsia="zh-CN"/>
        </w:rPr>
        <w:t>采购人</w:t>
      </w:r>
      <w:r>
        <w:rPr>
          <w:rFonts w:asciiTheme="minorEastAsia" w:hAnsiTheme="minorEastAsia" w:eastAsiaTheme="minorEastAsia" w:cstheme="minorEastAsia"/>
          <w:color w:val="auto"/>
          <w:highlight w:val="none"/>
        </w:rPr>
        <w:t>不同意账户信息更改)</w:t>
      </w:r>
      <w:r>
        <w:rPr>
          <w:rFonts w:hint="eastAsia" w:asciiTheme="minorEastAsia" w:hAnsiTheme="minorEastAsia" w:eastAsiaTheme="minorEastAsia" w:cstheme="minorEastAsia"/>
          <w:color w:val="auto"/>
          <w:highlight w:val="none"/>
        </w:rPr>
        <w:t>，若因中标人原因导致</w:t>
      </w:r>
      <w:r>
        <w:rPr>
          <w:rFonts w:hint="eastAsia" w:asciiTheme="minorEastAsia" w:hAnsiTheme="minorEastAsia" w:eastAsiaTheme="minorEastAsia" w:cstheme="minorEastAsia"/>
          <w:color w:val="auto"/>
          <w:highlight w:val="none"/>
          <w:lang w:val="en-US" w:eastAsia="zh-CN"/>
        </w:rPr>
        <w:t>采购人</w:t>
      </w:r>
      <w:r>
        <w:rPr>
          <w:rFonts w:hint="eastAsia" w:asciiTheme="minorEastAsia" w:hAnsiTheme="minorEastAsia" w:eastAsiaTheme="minorEastAsia" w:cstheme="minorEastAsia"/>
          <w:color w:val="auto"/>
          <w:highlight w:val="none"/>
        </w:rPr>
        <w:t>无法付款或错误付款，后果由中标人自行承担。</w:t>
      </w:r>
    </w:p>
    <w:p>
      <w:pPr>
        <w:pStyle w:val="49"/>
        <w:keepNext w:val="0"/>
        <w:keepLines w:val="0"/>
        <w:pageBreakBefore w:val="0"/>
        <w:widowControl w:val="0"/>
        <w:kinsoku/>
        <w:overflowPunct/>
        <w:autoSpaceDE/>
        <w:autoSpaceDN/>
        <w:bidi w:val="0"/>
        <w:spacing w:line="520" w:lineRule="exact"/>
        <w:ind w:firstLine="482"/>
        <w:textAlignment w:val="auto"/>
        <w:rPr>
          <w:rFonts w:asciiTheme="minorEastAsia" w:hAnsiTheme="minorEastAsia" w:eastAsiaTheme="minorEastAsia" w:cstheme="minorEastAsia"/>
          <w:bCs/>
          <w:color w:val="auto"/>
          <w:highlight w:val="none"/>
        </w:rPr>
      </w:pPr>
      <w:bookmarkStart w:id="1161" w:name="_Toc20902"/>
      <w:bookmarkStart w:id="1162" w:name="_Toc24339"/>
      <w:bookmarkStart w:id="1163" w:name="_Toc14800"/>
      <w:bookmarkStart w:id="1164" w:name="_Toc19888"/>
      <w:r>
        <w:rPr>
          <w:rFonts w:hint="eastAsia" w:asciiTheme="minorEastAsia" w:hAnsiTheme="minorEastAsia" w:eastAsiaTheme="minorEastAsia" w:cstheme="minorEastAsia"/>
          <w:bCs/>
          <w:color w:val="auto"/>
          <w:highlight w:val="none"/>
        </w:rPr>
        <w:t>质量及供货渠道要求</w:t>
      </w:r>
      <w:bookmarkEnd w:id="1161"/>
      <w:bookmarkEnd w:id="1162"/>
      <w:bookmarkEnd w:id="1163"/>
      <w:bookmarkEnd w:id="1164"/>
    </w:p>
    <w:p>
      <w:pPr>
        <w:pStyle w:val="63"/>
        <w:keepNext w:val="0"/>
        <w:keepLines w:val="0"/>
        <w:pageBreakBefore w:val="0"/>
        <w:widowControl w:val="0"/>
        <w:numPr>
          <w:ilvl w:val="0"/>
          <w:numId w:val="31"/>
        </w:numPr>
        <w:kinsoku/>
        <w:overflowPunct/>
        <w:autoSpaceDE/>
        <w:autoSpaceDN/>
        <w:bidi w:val="0"/>
        <w:adjustRightInd/>
        <w:snapToGrid/>
        <w:spacing w:line="520" w:lineRule="exact"/>
        <w:ind w:left="0" w:firstLine="48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投标人</w:t>
      </w:r>
      <w:r>
        <w:rPr>
          <w:rFonts w:hint="eastAsia" w:asciiTheme="minorEastAsia" w:hAnsiTheme="minorEastAsia" w:eastAsiaTheme="minorEastAsia" w:cstheme="minorEastAsia"/>
          <w:color w:val="auto"/>
          <w:highlight w:val="none"/>
        </w:rPr>
        <w:t>应保证</w:t>
      </w:r>
      <w:r>
        <w:rPr>
          <w:rFonts w:hint="eastAsia" w:asciiTheme="minorEastAsia" w:hAnsiTheme="minorEastAsia" w:eastAsiaTheme="minorEastAsia" w:cstheme="minorEastAsia"/>
          <w:color w:val="auto"/>
          <w:highlight w:val="none"/>
          <w:lang w:eastAsia="zh-CN"/>
        </w:rPr>
        <w:t>成都市技师学院工业机器人数字化虚拟仿真实训基地设备</w:t>
      </w:r>
      <w:r>
        <w:rPr>
          <w:rFonts w:hint="eastAsia" w:asciiTheme="minorEastAsia" w:hAnsiTheme="minorEastAsia" w:eastAsiaTheme="minorEastAsia" w:cstheme="minorEastAsia"/>
          <w:color w:val="auto"/>
          <w:highlight w:val="none"/>
        </w:rPr>
        <w:t>（含零部件、配件等）是全新、未使用过的原装合格正品，表面无划伤、无碰撞痕迹。</w:t>
      </w:r>
    </w:p>
    <w:p>
      <w:pPr>
        <w:pStyle w:val="63"/>
        <w:keepNext w:val="0"/>
        <w:keepLines w:val="0"/>
        <w:pageBreakBefore w:val="0"/>
        <w:widowControl w:val="0"/>
        <w:numPr>
          <w:ilvl w:val="0"/>
          <w:numId w:val="31"/>
        </w:numPr>
        <w:kinsoku/>
        <w:overflowPunct/>
        <w:autoSpaceDE/>
        <w:autoSpaceDN/>
        <w:bidi w:val="0"/>
        <w:adjustRightInd/>
        <w:snapToGrid/>
        <w:spacing w:line="520" w:lineRule="exact"/>
        <w:ind w:left="0" w:firstLine="48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投标人</w:t>
      </w:r>
      <w:r>
        <w:rPr>
          <w:rFonts w:hint="eastAsia" w:asciiTheme="minorEastAsia" w:hAnsiTheme="minorEastAsia" w:eastAsiaTheme="minorEastAsia" w:cstheme="minorEastAsia"/>
          <w:color w:val="auto"/>
          <w:highlight w:val="none"/>
        </w:rPr>
        <w:t>提供的</w:t>
      </w:r>
      <w:r>
        <w:rPr>
          <w:rFonts w:hint="eastAsia" w:asciiTheme="minorEastAsia" w:hAnsiTheme="minorEastAsia" w:eastAsiaTheme="minorEastAsia" w:cstheme="minorEastAsia"/>
          <w:color w:val="auto"/>
          <w:highlight w:val="none"/>
          <w:lang w:eastAsia="zh-CN"/>
        </w:rPr>
        <w:t>成都市技师学院工业机器人虚拟仿真实训基地设备</w:t>
      </w:r>
      <w:r>
        <w:rPr>
          <w:rFonts w:hint="eastAsia" w:asciiTheme="minorEastAsia" w:hAnsiTheme="minorEastAsia" w:eastAsiaTheme="minorEastAsia" w:cstheme="minorEastAsia"/>
          <w:color w:val="auto"/>
          <w:highlight w:val="none"/>
        </w:rPr>
        <w:t>必须符合国家(行业)标准。如果</w:t>
      </w:r>
      <w:r>
        <w:rPr>
          <w:rFonts w:hint="eastAsia" w:asciiTheme="minorEastAsia" w:hAnsiTheme="minorEastAsia" w:eastAsiaTheme="minorEastAsia" w:cstheme="minorEastAsia"/>
          <w:color w:val="auto"/>
          <w:highlight w:val="none"/>
          <w:lang w:val="en-US" w:eastAsia="zh-CN"/>
        </w:rPr>
        <w:t>投标人</w:t>
      </w:r>
      <w:r>
        <w:rPr>
          <w:rFonts w:hint="eastAsia" w:asciiTheme="minorEastAsia" w:hAnsiTheme="minorEastAsia" w:eastAsiaTheme="minorEastAsia" w:cstheme="minorEastAsia"/>
          <w:color w:val="auto"/>
          <w:highlight w:val="none"/>
        </w:rPr>
        <w:t>提供的</w:t>
      </w:r>
      <w:r>
        <w:rPr>
          <w:rFonts w:hint="eastAsia" w:asciiTheme="minorEastAsia" w:hAnsiTheme="minorEastAsia" w:eastAsiaTheme="minorEastAsia" w:cstheme="minorEastAsia"/>
          <w:color w:val="auto"/>
          <w:highlight w:val="none"/>
          <w:lang w:eastAsia="zh-CN"/>
        </w:rPr>
        <w:t>成都市技师学院工业机器人数字化虚拟仿真实训基地设备</w:t>
      </w:r>
      <w:r>
        <w:rPr>
          <w:rFonts w:hint="eastAsia" w:asciiTheme="minorEastAsia" w:hAnsiTheme="minorEastAsia" w:eastAsiaTheme="minorEastAsia" w:cstheme="minorEastAsia"/>
          <w:color w:val="auto"/>
          <w:highlight w:val="none"/>
        </w:rPr>
        <w:t>的技术要求（功能和质量要求</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与</w:t>
      </w:r>
      <w:r>
        <w:rPr>
          <w:rFonts w:hint="eastAsia" w:asciiTheme="minorEastAsia" w:hAnsiTheme="minorEastAsia" w:eastAsiaTheme="minorEastAsia" w:cstheme="minorEastAsia"/>
          <w:color w:val="auto"/>
          <w:highlight w:val="none"/>
          <w:lang w:val="en-US" w:eastAsia="zh-CN"/>
        </w:rPr>
        <w:t>招标</w:t>
      </w:r>
      <w:r>
        <w:rPr>
          <w:rFonts w:hint="eastAsia" w:asciiTheme="minorEastAsia" w:hAnsiTheme="minorEastAsia" w:eastAsiaTheme="minorEastAsia" w:cstheme="minorEastAsia"/>
          <w:color w:val="auto"/>
          <w:highlight w:val="none"/>
        </w:rPr>
        <w:t>文件和</w:t>
      </w:r>
      <w:r>
        <w:rPr>
          <w:rFonts w:hint="eastAsia" w:asciiTheme="minorEastAsia" w:hAnsiTheme="minorEastAsia" w:eastAsiaTheme="minorEastAsia" w:cstheme="minorEastAsia"/>
          <w:color w:val="auto"/>
          <w:highlight w:val="none"/>
          <w:lang w:val="en-US" w:eastAsia="zh-CN"/>
        </w:rPr>
        <w:t>投标人</w:t>
      </w:r>
      <w:r>
        <w:rPr>
          <w:rFonts w:hint="eastAsia" w:asciiTheme="minorEastAsia" w:hAnsiTheme="minorEastAsia" w:eastAsiaTheme="minorEastAsia" w:cstheme="minorEastAsia"/>
          <w:color w:val="auto"/>
          <w:highlight w:val="none"/>
        </w:rPr>
        <w:t>的</w:t>
      </w:r>
      <w:r>
        <w:rPr>
          <w:rFonts w:hint="eastAsia" w:asciiTheme="minorEastAsia" w:hAnsiTheme="minorEastAsia" w:eastAsiaTheme="minorEastAsia" w:cstheme="minorEastAsia"/>
          <w:color w:val="auto"/>
          <w:highlight w:val="none"/>
          <w:lang w:eastAsia="zh-CN"/>
        </w:rPr>
        <w:t>投标文件</w:t>
      </w:r>
      <w:r>
        <w:rPr>
          <w:rFonts w:hint="eastAsia" w:asciiTheme="minorEastAsia" w:hAnsiTheme="minorEastAsia" w:eastAsiaTheme="minorEastAsia" w:cstheme="minorEastAsia"/>
          <w:color w:val="auto"/>
          <w:highlight w:val="none"/>
        </w:rPr>
        <w:t>不符，或证实产品是有缺陷的，包括潜在的缺陷或使用不符合要求的产品等，</w:t>
      </w:r>
      <w:r>
        <w:rPr>
          <w:rFonts w:hint="eastAsia" w:asciiTheme="minorEastAsia" w:hAnsiTheme="minorEastAsia" w:eastAsiaTheme="minorEastAsia" w:cstheme="minorEastAsia"/>
          <w:color w:val="auto"/>
          <w:highlight w:val="none"/>
          <w:lang w:val="en-US" w:eastAsia="zh-CN"/>
        </w:rPr>
        <w:t>投标人</w:t>
      </w:r>
      <w:r>
        <w:rPr>
          <w:rFonts w:hint="eastAsia" w:asciiTheme="minorEastAsia" w:hAnsiTheme="minorEastAsia" w:eastAsiaTheme="minorEastAsia" w:cstheme="minorEastAsia"/>
          <w:color w:val="auto"/>
          <w:highlight w:val="none"/>
        </w:rPr>
        <w:t>应在接到</w:t>
      </w:r>
      <w:r>
        <w:rPr>
          <w:rFonts w:hint="eastAsia" w:asciiTheme="minorEastAsia" w:hAnsiTheme="minorEastAsia" w:eastAsiaTheme="minorEastAsia" w:cstheme="minorEastAsia"/>
          <w:color w:val="auto"/>
          <w:highlight w:val="none"/>
          <w:lang w:eastAsia="zh-CN"/>
        </w:rPr>
        <w:t>采购人</w:t>
      </w:r>
      <w:r>
        <w:rPr>
          <w:rFonts w:hint="eastAsia" w:asciiTheme="minorEastAsia" w:hAnsiTheme="minorEastAsia" w:eastAsiaTheme="minorEastAsia" w:cstheme="minorEastAsia"/>
          <w:color w:val="auto"/>
          <w:highlight w:val="none"/>
        </w:rPr>
        <w:t>书面通知后1</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日历日内完成换货，因换货产生的费用由</w:t>
      </w:r>
      <w:r>
        <w:rPr>
          <w:rFonts w:hint="eastAsia" w:asciiTheme="minorEastAsia" w:hAnsiTheme="minorEastAsia" w:eastAsiaTheme="minorEastAsia" w:cstheme="minorEastAsia"/>
          <w:color w:val="auto"/>
          <w:highlight w:val="none"/>
          <w:lang w:val="en-US" w:eastAsia="zh-CN"/>
        </w:rPr>
        <w:t>投标人</w:t>
      </w:r>
      <w:r>
        <w:rPr>
          <w:rFonts w:hint="eastAsia" w:asciiTheme="minorEastAsia" w:hAnsiTheme="minorEastAsia" w:eastAsiaTheme="minorEastAsia" w:cstheme="minorEastAsia"/>
          <w:color w:val="auto"/>
          <w:highlight w:val="none"/>
        </w:rPr>
        <w:t>承担。如因不合格产品给</w:t>
      </w:r>
      <w:r>
        <w:rPr>
          <w:rFonts w:hint="eastAsia" w:asciiTheme="minorEastAsia" w:hAnsiTheme="minorEastAsia" w:eastAsiaTheme="minorEastAsia" w:cstheme="minorEastAsia"/>
          <w:color w:val="auto"/>
          <w:highlight w:val="none"/>
          <w:lang w:eastAsia="zh-CN"/>
        </w:rPr>
        <w:t>采购人</w:t>
      </w:r>
      <w:r>
        <w:rPr>
          <w:rFonts w:hint="eastAsia" w:asciiTheme="minorEastAsia" w:hAnsiTheme="minorEastAsia" w:eastAsiaTheme="minorEastAsia" w:cstheme="minorEastAsia"/>
          <w:color w:val="auto"/>
          <w:highlight w:val="none"/>
        </w:rPr>
        <w:t>造成损失，</w:t>
      </w:r>
      <w:r>
        <w:rPr>
          <w:rFonts w:hint="eastAsia" w:asciiTheme="minorEastAsia" w:hAnsiTheme="minorEastAsia" w:eastAsiaTheme="minorEastAsia" w:cstheme="minorEastAsia"/>
          <w:color w:val="auto"/>
          <w:highlight w:val="none"/>
          <w:lang w:val="en-US" w:eastAsia="zh-CN"/>
        </w:rPr>
        <w:t>投标人</w:t>
      </w:r>
      <w:r>
        <w:rPr>
          <w:rFonts w:hint="eastAsia" w:asciiTheme="minorEastAsia" w:hAnsiTheme="minorEastAsia" w:eastAsiaTheme="minorEastAsia" w:cstheme="minorEastAsia"/>
          <w:color w:val="auto"/>
          <w:highlight w:val="none"/>
        </w:rPr>
        <w:t>还应承担赔偿责任。</w:t>
      </w:r>
    </w:p>
    <w:p>
      <w:pPr>
        <w:pStyle w:val="63"/>
        <w:keepNext w:val="0"/>
        <w:keepLines w:val="0"/>
        <w:pageBreakBefore w:val="0"/>
        <w:widowControl w:val="0"/>
        <w:numPr>
          <w:ilvl w:val="0"/>
          <w:numId w:val="31"/>
        </w:numPr>
        <w:kinsoku/>
        <w:overflowPunct/>
        <w:autoSpaceDE/>
        <w:autoSpaceDN/>
        <w:bidi w:val="0"/>
        <w:adjustRightInd/>
        <w:snapToGrid/>
        <w:spacing w:line="520" w:lineRule="exact"/>
        <w:ind w:left="0" w:firstLine="480"/>
        <w:jc w:val="both"/>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投标人</w:t>
      </w:r>
      <w:r>
        <w:rPr>
          <w:rFonts w:hint="eastAsia" w:asciiTheme="minorEastAsia" w:hAnsiTheme="minorEastAsia" w:eastAsiaTheme="minorEastAsia" w:cstheme="minorEastAsia"/>
          <w:color w:val="auto"/>
          <w:highlight w:val="none"/>
        </w:rPr>
        <w:t>提供采购需求的</w:t>
      </w:r>
      <w:r>
        <w:rPr>
          <w:rFonts w:hint="eastAsia" w:asciiTheme="minorEastAsia" w:hAnsiTheme="minorEastAsia" w:eastAsiaTheme="minorEastAsia" w:cstheme="minorEastAsia"/>
          <w:color w:val="auto"/>
          <w:highlight w:val="none"/>
          <w:lang w:val="en-US" w:eastAsia="zh-CN"/>
        </w:rPr>
        <w:t>设备</w:t>
      </w:r>
      <w:r>
        <w:rPr>
          <w:rFonts w:hint="eastAsia" w:asciiTheme="minorEastAsia" w:hAnsiTheme="minorEastAsia" w:eastAsiaTheme="minorEastAsia" w:cstheme="minorEastAsia"/>
          <w:color w:val="auto"/>
          <w:highlight w:val="none"/>
        </w:rPr>
        <w:t>须满足招标要求所有功能，如因不满足招标需求功能给</w:t>
      </w:r>
      <w:r>
        <w:rPr>
          <w:rFonts w:hint="eastAsia" w:asciiTheme="minorEastAsia" w:hAnsiTheme="minorEastAsia" w:eastAsiaTheme="minorEastAsia" w:cstheme="minorEastAsia"/>
          <w:color w:val="auto"/>
          <w:highlight w:val="none"/>
          <w:lang w:eastAsia="zh-CN"/>
        </w:rPr>
        <w:t>采购人</w:t>
      </w:r>
      <w:r>
        <w:rPr>
          <w:rFonts w:hint="eastAsia" w:asciiTheme="minorEastAsia" w:hAnsiTheme="minorEastAsia" w:eastAsiaTheme="minorEastAsia" w:cstheme="minorEastAsia"/>
          <w:color w:val="auto"/>
          <w:highlight w:val="none"/>
        </w:rPr>
        <w:t>造成的损失，由</w:t>
      </w:r>
      <w:r>
        <w:rPr>
          <w:rFonts w:hint="eastAsia" w:asciiTheme="minorEastAsia" w:hAnsiTheme="minorEastAsia" w:eastAsiaTheme="minorEastAsia" w:cstheme="minorEastAsia"/>
          <w:color w:val="auto"/>
          <w:highlight w:val="none"/>
          <w:lang w:eastAsia="zh-CN"/>
        </w:rPr>
        <w:t>投标人</w:t>
      </w:r>
      <w:r>
        <w:rPr>
          <w:rFonts w:hint="eastAsia" w:asciiTheme="minorEastAsia" w:hAnsiTheme="minorEastAsia" w:eastAsiaTheme="minorEastAsia" w:cstheme="minorEastAsia"/>
          <w:color w:val="auto"/>
          <w:highlight w:val="none"/>
          <w:lang w:val="en-US" w:eastAsia="zh-CN"/>
        </w:rPr>
        <w:t>赔偿采购人全部损失</w:t>
      </w:r>
      <w:r>
        <w:rPr>
          <w:rFonts w:hint="eastAsia" w:asciiTheme="minorEastAsia" w:hAnsiTheme="minorEastAsia" w:eastAsiaTheme="minorEastAsia" w:cstheme="minorEastAsia"/>
          <w:color w:val="auto"/>
          <w:highlight w:val="none"/>
        </w:rPr>
        <w:t>。</w:t>
      </w:r>
    </w:p>
    <w:p>
      <w:pPr>
        <w:pStyle w:val="49"/>
        <w:keepNext w:val="0"/>
        <w:keepLines w:val="0"/>
        <w:pageBreakBefore w:val="0"/>
        <w:widowControl w:val="0"/>
        <w:kinsoku/>
        <w:overflowPunct/>
        <w:autoSpaceDE/>
        <w:autoSpaceDN/>
        <w:bidi w:val="0"/>
        <w:spacing w:line="520" w:lineRule="exact"/>
        <w:ind w:firstLine="482"/>
        <w:textAlignment w:val="auto"/>
        <w:rPr>
          <w:rFonts w:asciiTheme="minorEastAsia" w:hAnsiTheme="minorEastAsia" w:eastAsiaTheme="minorEastAsia" w:cstheme="minorEastAsia"/>
          <w:bCs/>
          <w:color w:val="auto"/>
          <w:highlight w:val="none"/>
        </w:rPr>
      </w:pPr>
      <w:bookmarkStart w:id="1165" w:name="_Toc12329"/>
      <w:bookmarkStart w:id="1166" w:name="_Toc28403"/>
      <w:bookmarkStart w:id="1167" w:name="_Toc21587"/>
      <w:bookmarkStart w:id="1168" w:name="_Toc4790"/>
      <w:r>
        <w:rPr>
          <w:rFonts w:hint="eastAsia" w:asciiTheme="minorEastAsia" w:hAnsiTheme="minorEastAsia" w:eastAsiaTheme="minorEastAsia" w:cstheme="minorEastAsia"/>
          <w:bCs/>
          <w:color w:val="auto"/>
          <w:highlight w:val="none"/>
        </w:rPr>
        <w:t>包装和运输</w:t>
      </w:r>
      <w:bookmarkEnd w:id="1160"/>
      <w:bookmarkEnd w:id="1165"/>
      <w:r>
        <w:rPr>
          <w:rFonts w:hint="eastAsia" w:cs="宋体"/>
          <w:b/>
          <w:bCs/>
          <w:color w:val="auto"/>
          <w:highlight w:val="none"/>
        </w:rPr>
        <w:t>要求</w:t>
      </w:r>
      <w:bookmarkEnd w:id="1166"/>
      <w:bookmarkEnd w:id="1167"/>
      <w:bookmarkEnd w:id="1168"/>
    </w:p>
    <w:p>
      <w:pPr>
        <w:pStyle w:val="63"/>
        <w:keepNext w:val="0"/>
        <w:keepLines w:val="0"/>
        <w:pageBreakBefore w:val="0"/>
        <w:widowControl w:val="0"/>
        <w:numPr>
          <w:ilvl w:val="0"/>
          <w:numId w:val="32"/>
        </w:numPr>
        <w:kinsoku/>
        <w:overflowPunct/>
        <w:autoSpaceDE/>
        <w:autoSpaceDN/>
        <w:bidi w:val="0"/>
        <w:adjustRightInd/>
        <w:snapToGrid/>
        <w:spacing w:line="520" w:lineRule="exact"/>
        <w:ind w:left="0" w:firstLine="48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投标人</w:t>
      </w:r>
      <w:r>
        <w:rPr>
          <w:rFonts w:hint="eastAsia" w:asciiTheme="minorEastAsia" w:hAnsiTheme="minorEastAsia" w:eastAsiaTheme="minorEastAsia" w:cstheme="minorEastAsia"/>
          <w:color w:val="auto"/>
          <w:highlight w:val="none"/>
        </w:rPr>
        <w:t>为本项目实施涉及的商品包装和快递包装，均符合财政部等三部门联合印发商品包装和快递包装政府采购需求标准</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试行</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财办库〔2020〕123号</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的要求。该包装应适应于远距离运输、防潮、防震、防锈和防野蛮装卸，以确保货物安全无损运抵指定地点。货物在运输途中毁损灭失的风险均由</w:t>
      </w:r>
      <w:r>
        <w:rPr>
          <w:rFonts w:hint="eastAsia" w:asciiTheme="minorEastAsia" w:hAnsiTheme="minorEastAsia" w:eastAsiaTheme="minorEastAsia" w:cstheme="minorEastAsia"/>
          <w:color w:val="auto"/>
          <w:highlight w:val="none"/>
          <w:lang w:val="en-US" w:eastAsia="zh-CN"/>
        </w:rPr>
        <w:t>投标人</w:t>
      </w:r>
      <w:r>
        <w:rPr>
          <w:rFonts w:hint="eastAsia" w:asciiTheme="minorEastAsia" w:hAnsiTheme="minorEastAsia" w:eastAsiaTheme="minorEastAsia" w:cstheme="minorEastAsia"/>
          <w:color w:val="auto"/>
          <w:highlight w:val="none"/>
        </w:rPr>
        <w:t>承担。</w:t>
      </w:r>
    </w:p>
    <w:p>
      <w:pPr>
        <w:pStyle w:val="63"/>
        <w:keepNext w:val="0"/>
        <w:keepLines w:val="0"/>
        <w:pageBreakBefore w:val="0"/>
        <w:widowControl w:val="0"/>
        <w:numPr>
          <w:ilvl w:val="0"/>
          <w:numId w:val="32"/>
        </w:numPr>
        <w:kinsoku/>
        <w:overflowPunct/>
        <w:autoSpaceDE/>
        <w:autoSpaceDN/>
        <w:bidi w:val="0"/>
        <w:adjustRightInd/>
        <w:snapToGrid/>
        <w:spacing w:line="520" w:lineRule="exact"/>
        <w:ind w:left="0" w:firstLine="480"/>
        <w:jc w:val="both"/>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包装方式为木架包装，</w:t>
      </w:r>
      <w:r>
        <w:rPr>
          <w:rFonts w:hint="eastAsia" w:asciiTheme="minorEastAsia" w:hAnsiTheme="minorEastAsia" w:eastAsiaTheme="minorEastAsia" w:cstheme="minorEastAsia"/>
          <w:color w:val="auto"/>
          <w:highlight w:val="none"/>
        </w:rPr>
        <w:t>每一包装单元内应附详细的装箱单和质量合格凭证。由于包装不善所引起的货物损失均由</w:t>
      </w:r>
      <w:r>
        <w:rPr>
          <w:rFonts w:hint="eastAsia" w:asciiTheme="minorEastAsia" w:hAnsiTheme="minorEastAsia" w:eastAsiaTheme="minorEastAsia" w:cstheme="minorEastAsia"/>
          <w:color w:val="auto"/>
          <w:highlight w:val="none"/>
          <w:lang w:eastAsia="zh-CN"/>
        </w:rPr>
        <w:t>投标人</w:t>
      </w:r>
      <w:r>
        <w:rPr>
          <w:rFonts w:hint="eastAsia" w:asciiTheme="minorEastAsia" w:hAnsiTheme="minorEastAsia" w:eastAsiaTheme="minorEastAsia" w:cstheme="minorEastAsia"/>
          <w:color w:val="auto"/>
          <w:highlight w:val="none"/>
        </w:rPr>
        <w:t>承担。</w:t>
      </w:r>
    </w:p>
    <w:p>
      <w:pPr>
        <w:pStyle w:val="49"/>
        <w:keepNext w:val="0"/>
        <w:keepLines w:val="0"/>
        <w:pageBreakBefore w:val="0"/>
        <w:widowControl w:val="0"/>
        <w:kinsoku/>
        <w:overflowPunct/>
        <w:autoSpaceDE/>
        <w:autoSpaceDN/>
        <w:bidi w:val="0"/>
        <w:spacing w:line="520" w:lineRule="exact"/>
        <w:ind w:firstLine="482"/>
        <w:textAlignment w:val="auto"/>
        <w:rPr>
          <w:rFonts w:asciiTheme="minorEastAsia" w:hAnsiTheme="minorEastAsia" w:eastAsiaTheme="minorEastAsia" w:cstheme="minorEastAsia"/>
          <w:bCs/>
          <w:color w:val="auto"/>
          <w:highlight w:val="none"/>
        </w:rPr>
      </w:pPr>
      <w:bookmarkStart w:id="1169" w:name="_Toc16550"/>
      <w:bookmarkStart w:id="1170" w:name="_Toc13042"/>
      <w:bookmarkStart w:id="1171" w:name="_Toc5878"/>
      <w:bookmarkStart w:id="1172" w:name="_Toc9847"/>
      <w:bookmarkStart w:id="1173" w:name="_Toc21837"/>
      <w:r>
        <w:rPr>
          <w:rFonts w:hint="eastAsia" w:asciiTheme="minorEastAsia" w:hAnsiTheme="minorEastAsia" w:eastAsiaTheme="minorEastAsia" w:cstheme="minorEastAsia"/>
          <w:bCs/>
          <w:color w:val="auto"/>
          <w:highlight w:val="none"/>
          <w:lang w:val="en-US" w:eastAsia="zh-CN"/>
        </w:rPr>
        <w:t>安装调试要求</w:t>
      </w:r>
      <w:bookmarkEnd w:id="1169"/>
      <w:bookmarkEnd w:id="1170"/>
    </w:p>
    <w:p>
      <w:pPr>
        <w:pStyle w:val="34"/>
        <w:keepNext w:val="0"/>
        <w:keepLines w:val="0"/>
        <w:pageBreakBefore w:val="0"/>
        <w:widowControl w:val="0"/>
        <w:numPr>
          <w:ilvl w:val="0"/>
          <w:numId w:val="33"/>
        </w:numPr>
        <w:kinsoku/>
        <w:overflowPunct/>
        <w:autoSpaceDE/>
        <w:autoSpaceDN/>
        <w:bidi w:val="0"/>
        <w:spacing w:line="520" w:lineRule="exact"/>
        <w:ind w:left="0" w:firstLine="480"/>
        <w:jc w:val="both"/>
        <w:textAlignment w:val="auto"/>
        <w:outlineLvl w:val="9"/>
        <w:rPr>
          <w:rFonts w:hint="eastAsia" w:asciiTheme="minorEastAsia" w:hAnsiTheme="minorEastAsia" w:eastAsiaTheme="minorEastAsia" w:cstheme="minorEastAsia"/>
          <w:b w:val="0"/>
          <w:bCs/>
          <w:color w:val="auto"/>
          <w:highlight w:val="none"/>
          <w:lang w:val="en-US" w:eastAsia="zh-CN"/>
        </w:rPr>
      </w:pPr>
      <w:bookmarkStart w:id="1174" w:name="_Toc26056"/>
      <w:bookmarkStart w:id="1175" w:name="_Toc9744"/>
      <w:bookmarkStart w:id="1176" w:name="_Toc12592"/>
      <w:r>
        <w:rPr>
          <w:rFonts w:hint="eastAsia" w:asciiTheme="minorEastAsia" w:hAnsiTheme="minorEastAsia" w:eastAsiaTheme="minorEastAsia" w:cstheme="minorEastAsia"/>
          <w:b w:val="0"/>
          <w:bCs/>
          <w:color w:val="auto"/>
          <w:highlight w:val="none"/>
          <w:lang w:val="en-US" w:eastAsia="zh-CN"/>
        </w:rPr>
        <w:t>投标人将成都市技师学院工业机器人数字化虚拟仿真实训基地设备送达采购人指定地点后按采购人确定的方案进行安装、调试等工作。</w:t>
      </w:r>
      <w:bookmarkEnd w:id="1174"/>
      <w:bookmarkEnd w:id="1175"/>
    </w:p>
    <w:p>
      <w:pPr>
        <w:pStyle w:val="34"/>
        <w:keepNext w:val="0"/>
        <w:keepLines w:val="0"/>
        <w:pageBreakBefore w:val="0"/>
        <w:widowControl w:val="0"/>
        <w:numPr>
          <w:ilvl w:val="0"/>
          <w:numId w:val="33"/>
        </w:numPr>
        <w:kinsoku/>
        <w:overflowPunct/>
        <w:autoSpaceDE/>
        <w:autoSpaceDN/>
        <w:bidi w:val="0"/>
        <w:spacing w:line="520" w:lineRule="exact"/>
        <w:ind w:left="0" w:firstLine="480"/>
        <w:jc w:val="both"/>
        <w:textAlignment w:val="auto"/>
        <w:outlineLvl w:val="9"/>
        <w:rPr>
          <w:rFonts w:hint="eastAsia" w:asciiTheme="minorEastAsia" w:hAnsiTheme="minorEastAsia" w:eastAsiaTheme="minorEastAsia" w:cstheme="minorEastAsia"/>
          <w:b w:val="0"/>
          <w:bCs/>
          <w:color w:val="auto"/>
          <w:highlight w:val="none"/>
          <w:lang w:val="en-US" w:eastAsia="zh-CN"/>
        </w:rPr>
      </w:pPr>
      <w:bookmarkStart w:id="1177" w:name="_Toc25222"/>
      <w:bookmarkStart w:id="1178" w:name="_Toc20507"/>
      <w:r>
        <w:rPr>
          <w:rFonts w:hint="eastAsia" w:asciiTheme="minorEastAsia" w:hAnsiTheme="minorEastAsia" w:eastAsiaTheme="minorEastAsia" w:cstheme="minorEastAsia"/>
          <w:b w:val="0"/>
          <w:bCs/>
          <w:color w:val="auto"/>
          <w:highlight w:val="none"/>
          <w:lang w:val="en-US" w:eastAsia="zh-CN"/>
        </w:rPr>
        <w:t>投标人保证严格按照国家相关规范进行安装和调试。</w:t>
      </w:r>
      <w:bookmarkEnd w:id="1176"/>
      <w:bookmarkEnd w:id="1177"/>
      <w:bookmarkEnd w:id="1178"/>
    </w:p>
    <w:p>
      <w:pPr>
        <w:pStyle w:val="49"/>
        <w:keepNext w:val="0"/>
        <w:keepLines w:val="0"/>
        <w:pageBreakBefore w:val="0"/>
        <w:widowControl w:val="0"/>
        <w:kinsoku/>
        <w:overflowPunct/>
        <w:autoSpaceDE/>
        <w:autoSpaceDN/>
        <w:bidi w:val="0"/>
        <w:spacing w:line="520" w:lineRule="exact"/>
        <w:ind w:firstLine="482"/>
        <w:textAlignment w:val="auto"/>
        <w:rPr>
          <w:rFonts w:asciiTheme="minorEastAsia" w:hAnsiTheme="minorEastAsia" w:eastAsiaTheme="minorEastAsia" w:cstheme="minorEastAsia"/>
          <w:bCs/>
          <w:color w:val="auto"/>
          <w:highlight w:val="none"/>
        </w:rPr>
      </w:pPr>
      <w:bookmarkStart w:id="1179" w:name="_Toc14788"/>
      <w:bookmarkStart w:id="1180" w:name="_Toc4344"/>
      <w:r>
        <w:rPr>
          <w:rFonts w:hint="eastAsia" w:asciiTheme="minorEastAsia" w:hAnsiTheme="minorEastAsia" w:eastAsiaTheme="minorEastAsia" w:cstheme="minorEastAsia"/>
          <w:bCs/>
          <w:color w:val="auto"/>
          <w:highlight w:val="none"/>
        </w:rPr>
        <w:t>售后服务要求</w:t>
      </w:r>
      <w:bookmarkEnd w:id="1171"/>
      <w:bookmarkEnd w:id="1172"/>
      <w:bookmarkEnd w:id="1173"/>
      <w:bookmarkEnd w:id="1179"/>
      <w:bookmarkEnd w:id="1180"/>
    </w:p>
    <w:p>
      <w:pPr>
        <w:pStyle w:val="34"/>
        <w:numPr>
          <w:ilvl w:val="0"/>
          <w:numId w:val="34"/>
        </w:numPr>
        <w:spacing w:line="520" w:lineRule="exact"/>
        <w:ind w:left="0" w:firstLine="480"/>
        <w:jc w:val="both"/>
        <w:outlineLvl w:val="9"/>
        <w:rPr>
          <w:rFonts w:hint="eastAsia" w:asciiTheme="minorEastAsia" w:hAnsiTheme="minorEastAsia" w:eastAsiaTheme="minorEastAsia" w:cstheme="minorEastAsia"/>
          <w:b w:val="0"/>
          <w:bCs/>
          <w:color w:val="auto"/>
          <w:highlight w:val="none"/>
          <w:lang w:eastAsia="zh-CN"/>
        </w:rPr>
      </w:pPr>
      <w:bookmarkStart w:id="1181" w:name="_Toc1774"/>
      <w:bookmarkStart w:id="1182" w:name="_Toc1309"/>
      <w:bookmarkStart w:id="1183" w:name="_Toc20080"/>
      <w:bookmarkStart w:id="1184" w:name="_Toc29847"/>
      <w:bookmarkStart w:id="1185" w:name="_Toc1688"/>
      <w:bookmarkStart w:id="1186" w:name="_Toc22607"/>
      <w:bookmarkStart w:id="1187" w:name="_Toc10395"/>
      <w:bookmarkStart w:id="1188" w:name="_Toc5670"/>
      <w:bookmarkStart w:id="1189" w:name="_Toc16763"/>
      <w:bookmarkStart w:id="1190" w:name="_Toc551"/>
      <w:bookmarkStart w:id="1191" w:name="_Toc10114"/>
      <w:r>
        <w:rPr>
          <w:rFonts w:hint="eastAsia" w:asciiTheme="minorEastAsia" w:hAnsiTheme="minorEastAsia" w:eastAsiaTheme="minorEastAsia" w:cstheme="minorEastAsia"/>
          <w:b w:val="0"/>
          <w:bCs/>
          <w:color w:val="auto"/>
          <w:highlight w:val="none"/>
          <w:lang w:val="en-US" w:eastAsia="zh-CN"/>
        </w:rPr>
        <w:t>售后服务时间：一年</w:t>
      </w:r>
      <w:r>
        <w:rPr>
          <w:rFonts w:hint="eastAsia" w:asciiTheme="minorEastAsia" w:hAnsiTheme="minorEastAsia" w:eastAsiaTheme="minorEastAsia" w:cstheme="minorEastAsia"/>
          <w:b w:val="0"/>
          <w:bCs/>
          <w:color w:val="auto"/>
          <w:highlight w:val="none"/>
        </w:rPr>
        <w:t>，</w:t>
      </w:r>
      <w:r>
        <w:rPr>
          <w:rFonts w:hint="eastAsia" w:asciiTheme="minorEastAsia" w:hAnsiTheme="minorEastAsia" w:eastAsiaTheme="minorEastAsia" w:cstheme="minorEastAsia"/>
          <w:b w:val="0"/>
          <w:bCs/>
          <w:color w:val="auto"/>
          <w:highlight w:val="none"/>
          <w:lang w:val="en-US" w:eastAsia="zh-CN"/>
        </w:rPr>
        <w:t>售后服务</w:t>
      </w:r>
      <w:r>
        <w:rPr>
          <w:rFonts w:hint="eastAsia" w:asciiTheme="minorEastAsia" w:hAnsiTheme="minorEastAsia" w:eastAsiaTheme="minorEastAsia" w:cstheme="minorEastAsia"/>
          <w:b w:val="0"/>
          <w:bCs/>
          <w:color w:val="auto"/>
          <w:highlight w:val="none"/>
        </w:rPr>
        <w:t>期的起始日期为</w:t>
      </w:r>
      <w:r>
        <w:rPr>
          <w:rFonts w:hint="eastAsia" w:asciiTheme="minorEastAsia" w:hAnsiTheme="minorEastAsia" w:eastAsiaTheme="minorEastAsia" w:cstheme="minorEastAsia"/>
          <w:b w:val="0"/>
          <w:bCs/>
          <w:color w:val="auto"/>
          <w:highlight w:val="none"/>
          <w:lang w:val="en-US" w:eastAsia="zh-CN"/>
        </w:rPr>
        <w:t>采购人</w:t>
      </w:r>
      <w:r>
        <w:rPr>
          <w:rFonts w:hint="eastAsia" w:asciiTheme="minorEastAsia" w:hAnsiTheme="minorEastAsia" w:eastAsiaTheme="minorEastAsia" w:cstheme="minorEastAsia"/>
          <w:b w:val="0"/>
          <w:bCs/>
          <w:color w:val="auto"/>
          <w:highlight w:val="none"/>
          <w:lang w:eastAsia="zh-CN"/>
        </w:rPr>
        <w:t>成都市技师学院工业机器人数字化虚拟仿真实训基地设备</w:t>
      </w:r>
      <w:r>
        <w:rPr>
          <w:rFonts w:hint="eastAsia" w:asciiTheme="minorEastAsia" w:hAnsiTheme="minorEastAsia" w:eastAsiaTheme="minorEastAsia" w:cstheme="minorEastAsia"/>
          <w:b w:val="0"/>
          <w:bCs/>
          <w:color w:val="auto"/>
          <w:highlight w:val="none"/>
        </w:rPr>
        <w:t>验收合格之日起开始计算</w:t>
      </w:r>
      <w:r>
        <w:rPr>
          <w:rFonts w:hint="eastAsia" w:asciiTheme="minorEastAsia" w:hAnsiTheme="minorEastAsia" w:eastAsiaTheme="minorEastAsia" w:cstheme="minorEastAsia"/>
          <w:b w:val="0"/>
          <w:bCs/>
          <w:color w:val="auto"/>
          <w:highlight w:val="none"/>
          <w:lang w:eastAsia="zh-CN"/>
        </w:rPr>
        <w:t>。</w:t>
      </w:r>
      <w:bookmarkEnd w:id="1181"/>
      <w:bookmarkEnd w:id="1182"/>
    </w:p>
    <w:p>
      <w:pPr>
        <w:pStyle w:val="34"/>
        <w:numPr>
          <w:ilvl w:val="0"/>
          <w:numId w:val="34"/>
        </w:numPr>
        <w:spacing w:line="520" w:lineRule="exact"/>
        <w:ind w:left="0" w:firstLine="480"/>
        <w:jc w:val="both"/>
        <w:outlineLvl w:val="9"/>
        <w:rPr>
          <w:rFonts w:hint="eastAsia" w:asciiTheme="minorEastAsia" w:hAnsiTheme="minorEastAsia" w:eastAsiaTheme="minorEastAsia" w:cstheme="minorEastAsia"/>
          <w:b w:val="0"/>
          <w:bCs/>
          <w:color w:val="auto"/>
          <w:highlight w:val="none"/>
          <w:lang w:val="en-US" w:eastAsia="zh-CN"/>
        </w:rPr>
      </w:pPr>
      <w:bookmarkStart w:id="1192" w:name="_Toc14746"/>
      <w:bookmarkStart w:id="1193" w:name="_Toc17826"/>
      <w:r>
        <w:rPr>
          <w:rFonts w:hint="eastAsia" w:asciiTheme="minorEastAsia" w:hAnsiTheme="minorEastAsia" w:eastAsiaTheme="minorEastAsia" w:cstheme="minorEastAsia"/>
          <w:b w:val="0"/>
          <w:bCs/>
          <w:color w:val="auto"/>
          <w:highlight w:val="none"/>
          <w:lang w:val="en-US" w:eastAsia="zh-CN"/>
        </w:rPr>
        <w:t>售后服务分电话(含网络)服务和上门服务。售后服务期内，投标人在接到采购人故障报修后能在2小时内通过电话(含网络)服务排除故障的，则无需上门服务。若在规定时间内不能通过电话(含网络)服务排除故障的，投标人应在故障报修后的12小时内到达现场，到达现场后24小时内排除故障(若涉及</w:t>
      </w:r>
      <w:r>
        <w:rPr>
          <w:rFonts w:hint="eastAsia" w:asciiTheme="minorEastAsia" w:hAnsiTheme="minorEastAsia" w:eastAsiaTheme="minorEastAsia" w:cstheme="minorEastAsia"/>
          <w:b w:val="0"/>
          <w:bCs/>
          <w:color w:val="auto"/>
          <w:highlight w:val="none"/>
          <w:lang w:eastAsia="zh-CN"/>
        </w:rPr>
        <w:t>成都市技师学院工业机器人数字化虚拟仿真实训基地设备</w:t>
      </w:r>
      <w:r>
        <w:rPr>
          <w:rFonts w:hint="eastAsia" w:asciiTheme="minorEastAsia" w:hAnsiTheme="minorEastAsia" w:eastAsiaTheme="minorEastAsia" w:cstheme="minorEastAsia"/>
          <w:b w:val="0"/>
          <w:bCs/>
          <w:color w:val="auto"/>
          <w:highlight w:val="none"/>
          <w:lang w:val="en-US" w:eastAsia="zh-CN"/>
        </w:rPr>
        <w:t>更换或者返厂维修的故障排除时间由双方协商确定)。</w:t>
      </w:r>
      <w:bookmarkEnd w:id="1192"/>
      <w:bookmarkEnd w:id="1193"/>
    </w:p>
    <w:p>
      <w:pPr>
        <w:pStyle w:val="34"/>
        <w:numPr>
          <w:ilvl w:val="0"/>
          <w:numId w:val="34"/>
        </w:numPr>
        <w:spacing w:line="520" w:lineRule="exact"/>
        <w:ind w:left="0" w:firstLine="480"/>
        <w:jc w:val="both"/>
        <w:outlineLvl w:val="9"/>
        <w:rPr>
          <w:rFonts w:hint="eastAsia" w:asciiTheme="minorEastAsia" w:hAnsiTheme="minorEastAsia" w:eastAsiaTheme="minorEastAsia" w:cstheme="minorEastAsia"/>
          <w:b w:val="0"/>
          <w:bCs/>
          <w:color w:val="auto"/>
          <w:highlight w:val="none"/>
        </w:rPr>
      </w:pPr>
      <w:bookmarkStart w:id="1194" w:name="_Toc10691"/>
      <w:bookmarkStart w:id="1195" w:name="_Toc23197"/>
      <w:r>
        <w:rPr>
          <w:rFonts w:hint="eastAsia" w:asciiTheme="minorEastAsia" w:hAnsiTheme="minorEastAsia" w:eastAsiaTheme="minorEastAsia" w:cstheme="minorEastAsia"/>
          <w:b w:val="0"/>
          <w:bCs/>
          <w:color w:val="auto"/>
          <w:highlight w:val="none"/>
        </w:rPr>
        <w:t>售后服务期内，</w:t>
      </w:r>
      <w:r>
        <w:rPr>
          <w:rFonts w:hint="eastAsia" w:asciiTheme="minorEastAsia" w:hAnsiTheme="minorEastAsia" w:eastAsiaTheme="minorEastAsia" w:cstheme="minorEastAsia"/>
          <w:b w:val="0"/>
          <w:bCs/>
          <w:color w:val="auto"/>
          <w:highlight w:val="none"/>
          <w:lang w:eastAsia="zh-CN"/>
        </w:rPr>
        <w:t>投标人</w:t>
      </w:r>
      <w:r>
        <w:rPr>
          <w:rFonts w:hint="eastAsia" w:asciiTheme="minorEastAsia" w:hAnsiTheme="minorEastAsia" w:eastAsiaTheme="minorEastAsia" w:cstheme="minorEastAsia"/>
          <w:b w:val="0"/>
          <w:bCs/>
          <w:color w:val="auto"/>
          <w:highlight w:val="none"/>
        </w:rPr>
        <w:t>应向</w:t>
      </w:r>
      <w:r>
        <w:rPr>
          <w:rFonts w:hint="eastAsia" w:asciiTheme="minorEastAsia" w:hAnsiTheme="minorEastAsia" w:eastAsiaTheme="minorEastAsia" w:cstheme="minorEastAsia"/>
          <w:b w:val="0"/>
          <w:bCs/>
          <w:color w:val="auto"/>
          <w:highlight w:val="none"/>
          <w:lang w:eastAsia="zh-CN"/>
        </w:rPr>
        <w:t>采购人</w:t>
      </w:r>
      <w:r>
        <w:rPr>
          <w:rFonts w:hint="eastAsia" w:asciiTheme="minorEastAsia" w:hAnsiTheme="minorEastAsia" w:eastAsiaTheme="minorEastAsia" w:cstheme="minorEastAsia"/>
          <w:b w:val="0"/>
          <w:bCs/>
          <w:color w:val="auto"/>
          <w:highlight w:val="none"/>
        </w:rPr>
        <w:t>提供免费的</w:t>
      </w:r>
      <w:r>
        <w:rPr>
          <w:rFonts w:hint="eastAsia" w:asciiTheme="minorEastAsia" w:hAnsiTheme="minorEastAsia" w:eastAsiaTheme="minorEastAsia" w:cstheme="minorEastAsia"/>
          <w:b w:val="0"/>
          <w:bCs/>
          <w:color w:val="auto"/>
          <w:highlight w:val="none"/>
          <w:lang w:eastAsia="zh-CN"/>
        </w:rPr>
        <w:t>成都市技师学院工业机器人数字化虚拟仿真实训基地设备</w:t>
      </w:r>
      <w:r>
        <w:rPr>
          <w:rFonts w:hint="eastAsia" w:asciiTheme="minorEastAsia" w:hAnsiTheme="minorEastAsia" w:eastAsiaTheme="minorEastAsia" w:cstheme="minorEastAsia"/>
          <w:b w:val="0"/>
          <w:bCs/>
          <w:color w:val="auto"/>
          <w:highlight w:val="none"/>
          <w:lang w:val="en-US" w:eastAsia="zh-CN"/>
        </w:rPr>
        <w:t>配套</w:t>
      </w:r>
      <w:r>
        <w:rPr>
          <w:rFonts w:hint="eastAsia" w:asciiTheme="minorEastAsia" w:hAnsiTheme="minorEastAsia" w:eastAsiaTheme="minorEastAsia" w:cstheme="minorEastAsia"/>
          <w:b w:val="0"/>
          <w:bCs/>
          <w:color w:val="auto"/>
          <w:highlight w:val="none"/>
        </w:rPr>
        <w:t>软件更新、技术维修、维护、升级等服务。</w:t>
      </w:r>
      <w:bookmarkEnd w:id="1194"/>
      <w:bookmarkEnd w:id="1195"/>
    </w:p>
    <w:p>
      <w:pPr>
        <w:pStyle w:val="34"/>
        <w:numPr>
          <w:ilvl w:val="0"/>
          <w:numId w:val="34"/>
        </w:numPr>
        <w:spacing w:line="520" w:lineRule="exact"/>
        <w:ind w:left="0" w:firstLine="480"/>
        <w:jc w:val="both"/>
        <w:outlineLvl w:val="9"/>
        <w:rPr>
          <w:rFonts w:asciiTheme="minorEastAsia" w:hAnsiTheme="minorEastAsia" w:eastAsiaTheme="minorEastAsia" w:cstheme="minorEastAsia"/>
          <w:b w:val="0"/>
          <w:bCs/>
          <w:color w:val="auto"/>
          <w:highlight w:val="none"/>
        </w:rPr>
      </w:pPr>
      <w:bookmarkStart w:id="1196" w:name="_Toc19523"/>
      <w:bookmarkStart w:id="1197" w:name="_Toc10353"/>
      <w:r>
        <w:rPr>
          <w:rFonts w:hint="eastAsia" w:asciiTheme="minorEastAsia" w:hAnsiTheme="minorEastAsia" w:eastAsiaTheme="minorEastAsia" w:cstheme="minorEastAsia"/>
          <w:b w:val="0"/>
          <w:bCs/>
          <w:color w:val="auto"/>
          <w:highlight w:val="none"/>
        </w:rPr>
        <w:t>售后服务期内涉及的人工等费用均由</w:t>
      </w:r>
      <w:r>
        <w:rPr>
          <w:rFonts w:hint="eastAsia" w:asciiTheme="minorEastAsia" w:hAnsiTheme="minorEastAsia" w:eastAsiaTheme="minorEastAsia" w:cstheme="minorEastAsia"/>
          <w:b w:val="0"/>
          <w:bCs/>
          <w:color w:val="auto"/>
          <w:highlight w:val="none"/>
          <w:lang w:eastAsia="zh-CN"/>
        </w:rPr>
        <w:t>投标人</w:t>
      </w:r>
      <w:r>
        <w:rPr>
          <w:rFonts w:hint="eastAsia" w:asciiTheme="minorEastAsia" w:hAnsiTheme="minorEastAsia" w:eastAsiaTheme="minorEastAsia" w:cstheme="minorEastAsia"/>
          <w:b w:val="0"/>
          <w:bCs/>
          <w:color w:val="auto"/>
          <w:highlight w:val="none"/>
        </w:rPr>
        <w:t>承担。。</w:t>
      </w:r>
      <w:bookmarkEnd w:id="1183"/>
      <w:bookmarkEnd w:id="1184"/>
      <w:bookmarkEnd w:id="1185"/>
      <w:bookmarkEnd w:id="1186"/>
      <w:bookmarkEnd w:id="1187"/>
      <w:bookmarkEnd w:id="1188"/>
      <w:bookmarkEnd w:id="1189"/>
      <w:bookmarkEnd w:id="1190"/>
      <w:bookmarkEnd w:id="1191"/>
      <w:bookmarkEnd w:id="1196"/>
      <w:bookmarkEnd w:id="1197"/>
    </w:p>
    <w:p>
      <w:pPr>
        <w:pStyle w:val="49"/>
        <w:keepNext w:val="0"/>
        <w:keepLines w:val="0"/>
        <w:pageBreakBefore w:val="0"/>
        <w:widowControl w:val="0"/>
        <w:kinsoku/>
        <w:overflowPunct/>
        <w:autoSpaceDE/>
        <w:autoSpaceDN/>
        <w:bidi w:val="0"/>
        <w:spacing w:line="520" w:lineRule="exact"/>
        <w:ind w:firstLine="482"/>
        <w:textAlignment w:val="auto"/>
        <w:rPr>
          <w:rFonts w:cs="宋体"/>
          <w:b/>
          <w:bCs/>
          <w:color w:val="auto"/>
          <w:highlight w:val="none"/>
        </w:rPr>
      </w:pPr>
      <w:bookmarkStart w:id="1198" w:name="_Toc31933"/>
      <w:bookmarkStart w:id="1199" w:name="_Toc22669"/>
      <w:bookmarkStart w:id="1200" w:name="_Toc667"/>
      <w:bookmarkStart w:id="1201" w:name="_Toc27313"/>
      <w:bookmarkStart w:id="1202" w:name="_Toc32286_WPSOffice_Level2"/>
      <w:bookmarkStart w:id="1203" w:name="_Toc20495"/>
      <w:bookmarkStart w:id="1204" w:name="_Toc20781"/>
      <w:bookmarkStart w:id="1205" w:name="_Toc30259"/>
      <w:r>
        <w:rPr>
          <w:rFonts w:hint="eastAsia" w:cs="宋体"/>
          <w:b/>
          <w:bCs/>
          <w:color w:val="auto"/>
          <w:highlight w:val="none"/>
        </w:rPr>
        <w:t>验收、交付标准和方法</w:t>
      </w:r>
      <w:bookmarkEnd w:id="1198"/>
      <w:bookmarkEnd w:id="1199"/>
      <w:bookmarkEnd w:id="1200"/>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rPr>
          <w:rFonts w:hint="eastAsia" w:cs="宋体"/>
          <w:color w:val="auto"/>
          <w:highlight w:val="none"/>
          <w:lang w:val="en-US" w:eastAsia="zh-CN"/>
        </w:rPr>
      </w:pPr>
      <w:r>
        <w:rPr>
          <w:rFonts w:hint="eastAsia" w:cs="宋体"/>
          <w:color w:val="auto"/>
          <w:highlight w:val="none"/>
          <w:lang w:val="en-US" w:eastAsia="zh-CN"/>
        </w:rPr>
        <w:t>1.验收主体：采购人</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rPr>
          <w:rFonts w:hint="eastAsia" w:cs="宋体"/>
          <w:color w:val="auto"/>
          <w:highlight w:val="none"/>
          <w:lang w:val="en-US" w:eastAsia="zh-CN"/>
        </w:rPr>
      </w:pPr>
      <w:r>
        <w:rPr>
          <w:rFonts w:hint="eastAsia" w:cs="宋体"/>
          <w:color w:val="auto"/>
          <w:highlight w:val="none"/>
          <w:lang w:val="en-US" w:eastAsia="zh-CN"/>
        </w:rPr>
        <w:t>2.验收方式：</w:t>
      </w:r>
      <w:r>
        <w:rPr>
          <w:rFonts w:hint="eastAsia" w:cs="宋体"/>
          <w:color w:val="auto"/>
          <w:highlight w:val="none"/>
        </w:rPr>
        <w:t>内部验收</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rPr>
          <w:rFonts w:hint="eastAsia" w:cs="宋体"/>
          <w:color w:val="auto"/>
          <w:highlight w:val="none"/>
          <w:lang w:val="en-US" w:eastAsia="zh-CN"/>
        </w:rPr>
      </w:pPr>
      <w:r>
        <w:rPr>
          <w:rFonts w:hint="eastAsia" w:cs="宋体"/>
          <w:color w:val="auto"/>
          <w:highlight w:val="none"/>
          <w:lang w:val="en-US" w:eastAsia="zh-CN"/>
        </w:rPr>
        <w:t>3.验收时间和程序：供应商完成</w:t>
      </w:r>
      <w:r>
        <w:rPr>
          <w:rFonts w:hint="eastAsia" w:cs="宋体"/>
          <w:color w:val="auto"/>
          <w:highlight w:val="none"/>
          <w:lang w:eastAsia="zh-CN"/>
        </w:rPr>
        <w:t>成都市技师学院工业机器人数字化虚拟仿真实训基地设备</w:t>
      </w:r>
      <w:r>
        <w:rPr>
          <w:rFonts w:hint="eastAsia" w:cs="宋体"/>
          <w:color w:val="auto"/>
          <w:highlight w:val="none"/>
          <w:lang w:val="en-US" w:eastAsia="zh-CN"/>
        </w:rPr>
        <w:t>的送货、安装调试、培训工作后，书面通知采购人进行产品验收，采购人自收到</w:t>
      </w:r>
      <w:r>
        <w:rPr>
          <w:rFonts w:hint="eastAsia" w:cs="宋体"/>
          <w:color w:val="auto"/>
          <w:highlight w:val="none"/>
          <w:lang w:eastAsia="zh-CN"/>
        </w:rPr>
        <w:t>成都市技师学院工业机器人数字化虚拟仿真实训基地设备</w:t>
      </w:r>
      <w:r>
        <w:rPr>
          <w:rFonts w:hint="eastAsia" w:cs="宋体"/>
          <w:color w:val="auto"/>
          <w:highlight w:val="none"/>
          <w:lang w:val="en-US" w:eastAsia="zh-CN"/>
        </w:rPr>
        <w:t>验收申请之日起5个日历天内组织3人及以上的验收小组进行现场测试验收；项目履行完毕，验收合格，则签署《验收报告单》；若验收不合格，供应商应在接到采购人整改通知之日起15个日历天内完成整改，再由采购人组织重新验收，若产品再次验收不合格则视为供应商不能履约，采购人有权终止合同，并按第十七条第2款2.2项约定追究供应商的违约责任。</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rPr>
          <w:rFonts w:hint="eastAsia" w:cs="宋体"/>
          <w:color w:val="auto"/>
          <w:highlight w:val="none"/>
          <w:lang w:val="en-US" w:eastAsia="zh-CN"/>
        </w:rPr>
      </w:pPr>
      <w:r>
        <w:rPr>
          <w:rFonts w:hint="eastAsia" w:cs="宋体"/>
          <w:color w:val="auto"/>
          <w:highlight w:val="none"/>
          <w:lang w:val="en-US" w:eastAsia="zh-CN"/>
        </w:rPr>
        <w:t>4.验收内容：包括</w:t>
      </w:r>
      <w:r>
        <w:rPr>
          <w:rFonts w:hint="eastAsia" w:cs="宋体"/>
          <w:color w:val="auto"/>
          <w:highlight w:val="none"/>
          <w:lang w:eastAsia="zh-CN"/>
        </w:rPr>
        <w:t>成都市技师学院工业机器人数字化虚拟仿真实训基地设备</w:t>
      </w:r>
      <w:r>
        <w:rPr>
          <w:rFonts w:hint="eastAsia" w:cs="宋体"/>
          <w:color w:val="auto"/>
          <w:highlight w:val="none"/>
          <w:lang w:val="en-US" w:eastAsia="zh-CN"/>
        </w:rPr>
        <w:t>的品牌、型号、数量、外观、安装调试、运行状况、使用说明或手册、合格证书、原厂保修单、每一项技术和商务要求（售后服务除外）的履约情况。</w:t>
      </w:r>
    </w:p>
    <w:p>
      <w:pPr>
        <w:pStyle w:val="64"/>
        <w:keepNext w:val="0"/>
        <w:keepLines w:val="0"/>
        <w:pageBreakBefore w:val="0"/>
        <w:widowControl w:val="0"/>
        <w:numPr>
          <w:ilvl w:val="-1"/>
          <w:numId w:val="0"/>
        </w:numPr>
        <w:kinsoku/>
        <w:overflowPunct/>
        <w:autoSpaceDE/>
        <w:autoSpaceDN/>
        <w:bidi w:val="0"/>
        <w:adjustRightInd w:val="0"/>
        <w:snapToGrid w:val="0"/>
        <w:spacing w:line="520" w:lineRule="exact"/>
        <w:ind w:leftChars="0" w:firstLine="480" w:firstLineChars="200"/>
        <w:rPr>
          <w:rFonts w:hint="eastAsia" w:cs="宋体"/>
          <w:color w:val="auto"/>
          <w:highlight w:val="none"/>
          <w:lang w:val="en-US" w:eastAsia="zh-CN"/>
        </w:rPr>
      </w:pPr>
      <w:r>
        <w:rPr>
          <w:rFonts w:hint="eastAsia" w:cs="宋体"/>
          <w:color w:val="auto"/>
          <w:highlight w:val="none"/>
          <w:lang w:val="en-US" w:eastAsia="zh-CN"/>
        </w:rPr>
        <w:t>5.验收标准：按招标文件的</w:t>
      </w:r>
      <w:r>
        <w:rPr>
          <w:rFonts w:hint="eastAsia" w:cs="宋体"/>
          <w:color w:val="auto"/>
          <w:highlight w:val="none"/>
        </w:rPr>
        <w:t>技术要求（功能和质量要求</w:t>
      </w:r>
      <w:r>
        <w:rPr>
          <w:rFonts w:hint="eastAsia" w:cs="宋体"/>
          <w:color w:val="auto"/>
          <w:highlight w:val="none"/>
          <w:lang w:eastAsia="zh-CN"/>
        </w:rPr>
        <w:t>）</w:t>
      </w:r>
      <w:r>
        <w:rPr>
          <w:rFonts w:hint="eastAsia" w:cs="宋体"/>
          <w:color w:val="auto"/>
          <w:highlight w:val="none"/>
          <w:lang w:val="en-US" w:eastAsia="zh-CN"/>
        </w:rPr>
        <w:t>、供应商的投标文件及承诺、合同约定进行验收。其他未尽事宜参照《财政部关于进一步加强政府采购需求和履约验收管理的指导意见》(财库〔2016〕205号)</w:t>
      </w:r>
      <w:r>
        <w:rPr>
          <w:rFonts w:hint="eastAsia"/>
          <w:color w:val="auto"/>
          <w:highlight w:val="none"/>
          <w:lang w:val="en-US" w:eastAsia="zh-CN"/>
        </w:rPr>
        <w:t>《政府采购需求管理办法》(财库〔2021〕22号)及招标文件相关规定组织验收。</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rPr>
          <w:rFonts w:cs="宋体"/>
          <w:color w:val="auto"/>
          <w:highlight w:val="none"/>
        </w:rPr>
      </w:pPr>
      <w:r>
        <w:rPr>
          <w:rFonts w:hint="eastAsia" w:cs="宋体"/>
          <w:color w:val="auto"/>
          <w:highlight w:val="none"/>
          <w:lang w:val="en-US" w:eastAsia="zh-CN"/>
        </w:rPr>
        <w:t>6.交付标准及方式：供应商向采购人移交了</w:t>
      </w:r>
      <w:r>
        <w:rPr>
          <w:rFonts w:hint="eastAsia" w:cs="宋体"/>
          <w:color w:val="auto"/>
          <w:highlight w:val="none"/>
          <w:lang w:eastAsia="zh-CN"/>
        </w:rPr>
        <w:t>成都市技师学院工业机器人数字化虚拟仿真实训基地设备</w:t>
      </w:r>
      <w:r>
        <w:rPr>
          <w:rFonts w:hint="eastAsia" w:cs="宋体"/>
          <w:color w:val="auto"/>
          <w:highlight w:val="none"/>
          <w:lang w:val="en-US" w:eastAsia="zh-CN"/>
        </w:rPr>
        <w:t>、装箱清单、配件、随机工具、使用说明或手册、合格证书、原厂保修单等资料，并在采购人指定地点完成设备安装、调整、培训等工作且通过设备验收视为</w:t>
      </w:r>
      <w:r>
        <w:rPr>
          <w:rFonts w:hint="eastAsia" w:cs="宋体"/>
          <w:color w:val="auto"/>
          <w:highlight w:val="none"/>
          <w:lang w:val="zh-CN"/>
        </w:rPr>
        <w:t>供应商</w:t>
      </w:r>
      <w:r>
        <w:rPr>
          <w:rFonts w:hint="eastAsia" w:cs="宋体"/>
          <w:color w:val="auto"/>
          <w:highlight w:val="none"/>
        </w:rPr>
        <w:t>完成</w:t>
      </w:r>
      <w:r>
        <w:rPr>
          <w:rFonts w:hint="eastAsia" w:cs="宋体"/>
          <w:color w:val="auto"/>
          <w:highlight w:val="none"/>
          <w:lang w:val="en-US" w:eastAsia="zh-CN"/>
        </w:rPr>
        <w:t>交付</w:t>
      </w:r>
      <w:r>
        <w:rPr>
          <w:rFonts w:hint="eastAsia" w:cs="宋体"/>
          <w:color w:val="auto"/>
          <w:highlight w:val="none"/>
          <w:lang w:val="zh-CN"/>
        </w:rPr>
        <w:t>。</w:t>
      </w:r>
    </w:p>
    <w:p>
      <w:pPr>
        <w:pStyle w:val="49"/>
        <w:keepNext w:val="0"/>
        <w:keepLines w:val="0"/>
        <w:pageBreakBefore w:val="0"/>
        <w:widowControl w:val="0"/>
        <w:kinsoku/>
        <w:overflowPunct/>
        <w:autoSpaceDE/>
        <w:autoSpaceDN/>
        <w:bidi w:val="0"/>
        <w:spacing w:line="520" w:lineRule="exact"/>
        <w:ind w:firstLine="482"/>
        <w:textAlignment w:val="auto"/>
        <w:rPr>
          <w:rFonts w:asciiTheme="minorEastAsia" w:hAnsiTheme="minorEastAsia" w:eastAsiaTheme="minorEastAsia" w:cstheme="minorEastAsia"/>
          <w:bCs/>
          <w:color w:val="auto"/>
          <w:highlight w:val="none"/>
        </w:rPr>
      </w:pPr>
      <w:bookmarkStart w:id="1206" w:name="_Toc29991"/>
      <w:bookmarkStart w:id="1207" w:name="_Toc10733"/>
      <w:bookmarkStart w:id="1208" w:name="_Toc14048"/>
      <w:r>
        <w:rPr>
          <w:rFonts w:hint="eastAsia" w:asciiTheme="minorEastAsia" w:hAnsiTheme="minorEastAsia" w:eastAsiaTheme="minorEastAsia" w:cstheme="minorEastAsia"/>
          <w:bCs/>
          <w:color w:val="auto"/>
          <w:highlight w:val="none"/>
        </w:rPr>
        <w:t>其他要求</w:t>
      </w:r>
      <w:bookmarkEnd w:id="1201"/>
      <w:bookmarkEnd w:id="1202"/>
      <w:bookmarkEnd w:id="1203"/>
      <w:bookmarkEnd w:id="1204"/>
      <w:bookmarkEnd w:id="1205"/>
      <w:bookmarkEnd w:id="1206"/>
      <w:bookmarkEnd w:id="1207"/>
      <w:bookmarkEnd w:id="1208"/>
    </w:p>
    <w:p>
      <w:pPr>
        <w:pStyle w:val="28"/>
        <w:keepNext w:val="0"/>
        <w:keepLines w:val="0"/>
        <w:pageBreakBefore w:val="0"/>
        <w:widowControl w:val="0"/>
        <w:kinsoku/>
        <w:overflowPunct/>
        <w:autoSpaceDE/>
        <w:autoSpaceDN/>
        <w:bidi w:val="0"/>
        <w:spacing w:line="52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采购合同</w:t>
      </w:r>
      <w:r>
        <w:rPr>
          <w:rFonts w:hint="eastAsia" w:asciiTheme="minorEastAsia" w:hAnsiTheme="minorEastAsia" w:eastAsiaTheme="minorEastAsia" w:cstheme="minorEastAsia"/>
          <w:color w:val="auto"/>
          <w:sz w:val="24"/>
          <w:szCs w:val="24"/>
          <w:highlight w:val="none"/>
        </w:rPr>
        <w:t>签订时间及要求：</w:t>
      </w:r>
      <w:r>
        <w:rPr>
          <w:rFonts w:hint="eastAsia" w:asciiTheme="minorEastAsia" w:hAnsiTheme="minorEastAsia" w:eastAsiaTheme="minorEastAsia" w:cstheme="minorEastAsia"/>
          <w:color w:val="auto"/>
          <w:sz w:val="24"/>
          <w:szCs w:val="24"/>
          <w:highlight w:val="none"/>
          <w:lang w:val="en-US" w:eastAsia="zh-CN"/>
        </w:rPr>
        <w:t>中标人</w:t>
      </w:r>
      <w:r>
        <w:rPr>
          <w:rFonts w:hint="eastAsia" w:asciiTheme="minorEastAsia" w:hAnsiTheme="minorEastAsia" w:eastAsiaTheme="minorEastAsia" w:cstheme="minorEastAsia"/>
          <w:color w:val="auto"/>
          <w:sz w:val="24"/>
          <w:szCs w:val="24"/>
          <w:highlight w:val="none"/>
        </w:rPr>
        <w:t>自中标通知书发出之日起30日内与</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签订</w:t>
      </w:r>
      <w:r>
        <w:rPr>
          <w:rFonts w:hint="eastAsia" w:asciiTheme="minorEastAsia" w:hAnsiTheme="minorEastAsia" w:eastAsiaTheme="minorEastAsia" w:cstheme="minorEastAsia"/>
          <w:color w:val="auto"/>
          <w:sz w:val="24"/>
          <w:szCs w:val="24"/>
          <w:highlight w:val="none"/>
          <w:lang w:eastAsia="zh-CN"/>
        </w:rPr>
        <w:t>采购合同</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中标人</w:t>
      </w:r>
      <w:r>
        <w:rPr>
          <w:rFonts w:hint="eastAsia" w:asciiTheme="minorEastAsia" w:hAnsiTheme="minorEastAsia" w:eastAsiaTheme="minorEastAsia" w:cstheme="minorEastAsia"/>
          <w:color w:val="auto"/>
          <w:sz w:val="24"/>
          <w:szCs w:val="24"/>
          <w:highlight w:val="none"/>
        </w:rPr>
        <w:t>在签订采购合同时，应向</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提供截止合同签订之日的行贿犯罪查询记录(包含供应商名称、法定代表人、主要负责人、签订合同的授权代表)，以及授权代表在职和社保证明，未提供的</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有权拒绝签订采购合同。</w:t>
      </w:r>
    </w:p>
    <w:p>
      <w:pPr>
        <w:pStyle w:val="28"/>
        <w:keepNext w:val="0"/>
        <w:keepLines w:val="0"/>
        <w:pageBreakBefore w:val="0"/>
        <w:widowControl w:val="0"/>
        <w:kinsoku/>
        <w:overflowPunct/>
        <w:autoSpaceDE/>
        <w:autoSpaceDN/>
        <w:bidi w:val="0"/>
        <w:spacing w:line="52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中标人</w:t>
      </w:r>
      <w:r>
        <w:rPr>
          <w:rFonts w:hint="eastAsia" w:asciiTheme="minorEastAsia" w:hAnsiTheme="minorEastAsia" w:eastAsiaTheme="minorEastAsia" w:cstheme="minorEastAsia"/>
          <w:color w:val="auto"/>
          <w:sz w:val="24"/>
          <w:szCs w:val="24"/>
          <w:highlight w:val="none"/>
        </w:rPr>
        <w:t>在项目执行过程中定期及时向</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通告本项目供货的重大事项及其进度。</w:t>
      </w:r>
    </w:p>
    <w:p>
      <w:pPr>
        <w:pStyle w:val="28"/>
        <w:keepNext w:val="0"/>
        <w:keepLines w:val="0"/>
        <w:pageBreakBefore w:val="0"/>
        <w:widowControl w:val="0"/>
        <w:kinsoku/>
        <w:overflowPunct/>
        <w:autoSpaceDE/>
        <w:autoSpaceDN/>
        <w:bidi w:val="0"/>
        <w:spacing w:line="52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3.接受项目行业管理部门及政府有关部门的指导，接受</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的监督。</w:t>
      </w:r>
    </w:p>
    <w:p>
      <w:pPr>
        <w:pStyle w:val="28"/>
        <w:keepNext w:val="0"/>
        <w:keepLines w:val="0"/>
        <w:pageBreakBefore w:val="0"/>
        <w:widowControl w:val="0"/>
        <w:kinsoku/>
        <w:overflowPunct/>
        <w:autoSpaceDE/>
        <w:autoSpaceDN/>
        <w:bidi w:val="0"/>
        <w:spacing w:line="520" w:lineRule="exact"/>
        <w:ind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4.</w:t>
      </w:r>
      <w:r>
        <w:rPr>
          <w:rFonts w:hint="eastAsia" w:ascii="宋体" w:hAnsi="宋体" w:cs="宋体"/>
          <w:b/>
          <w:bCs/>
          <w:color w:val="auto"/>
          <w:sz w:val="24"/>
          <w:szCs w:val="24"/>
          <w:highlight w:val="none"/>
          <w:lang w:eastAsia="zh-CN"/>
        </w:rPr>
        <w:t>采购合同</w:t>
      </w:r>
      <w:r>
        <w:rPr>
          <w:rFonts w:hint="eastAsia" w:ascii="宋体" w:hAnsi="宋体" w:cs="宋体"/>
          <w:b/>
          <w:bCs/>
          <w:color w:val="auto"/>
          <w:sz w:val="24"/>
          <w:szCs w:val="24"/>
          <w:highlight w:val="none"/>
        </w:rPr>
        <w:t>文本的主要条款、履约验收等要求详见招标文件第八章。</w:t>
      </w:r>
    </w:p>
    <w:p>
      <w:pPr>
        <w:pStyle w:val="28"/>
        <w:keepNext w:val="0"/>
        <w:keepLines w:val="0"/>
        <w:pageBreakBefore w:val="0"/>
        <w:widowControl w:val="0"/>
        <w:kinsoku/>
        <w:overflowPunct/>
        <w:autoSpaceDE/>
        <w:autoSpaceDN/>
        <w:bidi w:val="0"/>
        <w:spacing w:line="52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宋体" w:hAnsi="宋体" w:cs="宋体"/>
          <w:color w:val="auto"/>
          <w:sz w:val="24"/>
          <w:szCs w:val="24"/>
          <w:highlight w:val="none"/>
        </w:rPr>
        <w:t>5.本项目采购过程和合同履行过程中的风险严格按照</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的风险控制管理要求执行。</w:t>
      </w:r>
    </w:p>
    <w:bookmarkEnd w:id="1136"/>
    <w:bookmarkEnd w:id="1137"/>
    <w:bookmarkEnd w:id="1138"/>
    <w:bookmarkEnd w:id="1139"/>
    <w:bookmarkEnd w:id="1140"/>
    <w:bookmarkEnd w:id="1141"/>
    <w:p>
      <w:pPr>
        <w:pStyle w:val="34"/>
        <w:keepNext w:val="0"/>
        <w:keepLines w:val="0"/>
        <w:pageBreakBefore w:val="0"/>
        <w:widowControl w:val="0"/>
        <w:kinsoku/>
        <w:overflowPunct/>
        <w:autoSpaceDE/>
        <w:autoSpaceDN/>
        <w:bidi w:val="0"/>
        <w:spacing w:line="520" w:lineRule="exact"/>
        <w:ind w:firstLine="482"/>
        <w:textAlignment w:val="auto"/>
        <w:rPr>
          <w:color w:val="auto"/>
          <w:highlight w:val="none"/>
        </w:rPr>
      </w:pPr>
      <w:bookmarkStart w:id="1209" w:name="_Toc31695"/>
      <w:bookmarkStart w:id="1210" w:name="_Toc23969"/>
      <w:r>
        <w:rPr>
          <w:rFonts w:hint="eastAsia"/>
          <w:color w:val="auto"/>
          <w:highlight w:val="none"/>
        </w:rPr>
        <w:t>★履约保证金</w:t>
      </w:r>
      <w:bookmarkEnd w:id="1209"/>
      <w:bookmarkEnd w:id="1210"/>
    </w:p>
    <w:p>
      <w:pPr>
        <w:pStyle w:val="42"/>
        <w:keepNext w:val="0"/>
        <w:keepLines w:val="0"/>
        <w:pageBreakBefore w:val="0"/>
        <w:widowControl w:val="0"/>
        <w:kinsoku/>
        <w:overflowPunct/>
        <w:autoSpaceDE/>
        <w:autoSpaceDN/>
        <w:bidi w:val="0"/>
        <w:spacing w:line="520" w:lineRule="exact"/>
        <w:ind w:firstLine="480" w:firstLineChars="200"/>
        <w:textAlignment w:val="auto"/>
        <w:rPr>
          <w:rFonts w:hint="eastAsia"/>
          <w:color w:val="auto"/>
          <w:highlight w:val="none"/>
        </w:rPr>
      </w:pPr>
      <w:r>
        <w:rPr>
          <w:rFonts w:hint="eastAsia"/>
          <w:color w:val="auto"/>
          <w:highlight w:val="none"/>
        </w:rPr>
        <w:t>(一)履约保证金</w:t>
      </w:r>
      <w:r>
        <w:rPr>
          <w:rFonts w:hint="eastAsia"/>
          <w:color w:val="auto"/>
          <w:highlight w:val="none"/>
          <w:lang w:val="en-US" w:eastAsia="zh-CN"/>
        </w:rPr>
        <w:t>为</w:t>
      </w:r>
      <w:r>
        <w:rPr>
          <w:rFonts w:hint="eastAsia"/>
          <w:color w:val="auto"/>
          <w:highlight w:val="none"/>
        </w:rPr>
        <w:t>合同金额的5%，投标人应在</w:t>
      </w:r>
      <w:r>
        <w:rPr>
          <w:rFonts w:hint="eastAsia"/>
          <w:color w:val="auto"/>
          <w:highlight w:val="none"/>
          <w:lang w:val="en-US" w:eastAsia="zh-CN"/>
        </w:rPr>
        <w:t>中标</w:t>
      </w:r>
      <w:r>
        <w:rPr>
          <w:rFonts w:hint="eastAsia"/>
          <w:color w:val="auto"/>
          <w:highlight w:val="none"/>
        </w:rPr>
        <w:t>通知书发出之日起合同签订前以银行转账、支票、汇票、本票等非现金形式向</w:t>
      </w:r>
      <w:r>
        <w:rPr>
          <w:rFonts w:hint="eastAsia"/>
          <w:color w:val="auto"/>
          <w:highlight w:val="none"/>
          <w:lang w:eastAsia="zh-CN"/>
        </w:rPr>
        <w:t>招标人</w:t>
      </w:r>
      <w:r>
        <w:rPr>
          <w:rFonts w:hint="eastAsia"/>
          <w:color w:val="auto"/>
          <w:highlight w:val="none"/>
        </w:rPr>
        <w:t>提交履约保证金。</w:t>
      </w:r>
    </w:p>
    <w:p>
      <w:pPr>
        <w:pStyle w:val="42"/>
        <w:keepNext w:val="0"/>
        <w:keepLines w:val="0"/>
        <w:pageBreakBefore w:val="0"/>
        <w:widowControl w:val="0"/>
        <w:kinsoku/>
        <w:overflowPunct/>
        <w:autoSpaceDE/>
        <w:autoSpaceDN/>
        <w:bidi w:val="0"/>
        <w:spacing w:line="520" w:lineRule="exact"/>
        <w:ind w:firstLine="480" w:firstLineChars="200"/>
        <w:textAlignment w:val="auto"/>
        <w:rPr>
          <w:rFonts w:hint="eastAsia"/>
          <w:color w:val="auto"/>
          <w:highlight w:val="none"/>
        </w:rPr>
      </w:pPr>
      <w:r>
        <w:rPr>
          <w:rFonts w:hint="eastAsia"/>
          <w:color w:val="auto"/>
          <w:highlight w:val="none"/>
        </w:rPr>
        <w:t>(</w:t>
      </w:r>
      <w:r>
        <w:rPr>
          <w:rFonts w:hint="eastAsia"/>
          <w:color w:val="auto"/>
          <w:highlight w:val="none"/>
          <w:lang w:val="en-US" w:eastAsia="zh-CN"/>
        </w:rPr>
        <w:t>二</w:t>
      </w:r>
      <w:r>
        <w:rPr>
          <w:rFonts w:hint="eastAsia"/>
          <w:color w:val="auto"/>
          <w:highlight w:val="none"/>
        </w:rPr>
        <w:t>)履行合同约定(含售后服务)完毕且验收合格后，10个日历天内无息退还</w:t>
      </w:r>
      <w:r>
        <w:rPr>
          <w:rFonts w:hint="eastAsia"/>
          <w:color w:val="auto"/>
          <w:highlight w:val="none"/>
          <w:lang w:eastAsia="zh-CN"/>
        </w:rPr>
        <w:t>投标人</w:t>
      </w:r>
      <w:r>
        <w:rPr>
          <w:rFonts w:hint="eastAsia"/>
          <w:color w:val="auto"/>
          <w:highlight w:val="none"/>
        </w:rPr>
        <w:t>应退部分履约保证金。因</w:t>
      </w:r>
      <w:r>
        <w:rPr>
          <w:rFonts w:hint="eastAsia"/>
          <w:color w:val="auto"/>
          <w:highlight w:val="none"/>
          <w:lang w:eastAsia="zh-CN"/>
        </w:rPr>
        <w:t>招标人</w:t>
      </w:r>
      <w:r>
        <w:rPr>
          <w:rFonts w:hint="eastAsia"/>
          <w:color w:val="auto"/>
          <w:highlight w:val="none"/>
        </w:rPr>
        <w:t>原因逾期退还的，应当以未退还金额为基数，按合同订立时1年期贷款市场报价利率标准向</w:t>
      </w:r>
      <w:r>
        <w:rPr>
          <w:rFonts w:hint="eastAsia"/>
          <w:color w:val="auto"/>
          <w:highlight w:val="none"/>
          <w:lang w:eastAsia="zh-CN"/>
        </w:rPr>
        <w:t>投标人</w:t>
      </w:r>
      <w:r>
        <w:rPr>
          <w:rFonts w:hint="eastAsia"/>
          <w:color w:val="auto"/>
          <w:highlight w:val="none"/>
        </w:rPr>
        <w:t>支付相应违约金，但违约金最高不得超过未退还金额的百分之二十。若因</w:t>
      </w:r>
      <w:r>
        <w:rPr>
          <w:rFonts w:hint="eastAsia"/>
          <w:color w:val="auto"/>
          <w:highlight w:val="none"/>
          <w:lang w:eastAsia="zh-CN"/>
        </w:rPr>
        <w:t>投标人</w:t>
      </w:r>
      <w:r>
        <w:rPr>
          <w:rFonts w:hint="eastAsia"/>
          <w:color w:val="auto"/>
          <w:highlight w:val="none"/>
        </w:rPr>
        <w:t>不及时或未提供“收到退还履约保证金的收据”、“履约保证金退还申请”的，则</w:t>
      </w:r>
      <w:r>
        <w:rPr>
          <w:rFonts w:hint="eastAsia"/>
          <w:color w:val="auto"/>
          <w:highlight w:val="none"/>
          <w:lang w:eastAsia="zh-CN"/>
        </w:rPr>
        <w:t>招标人</w:t>
      </w:r>
      <w:r>
        <w:rPr>
          <w:rFonts w:hint="eastAsia"/>
          <w:color w:val="auto"/>
          <w:highlight w:val="none"/>
        </w:rPr>
        <w:t>不承担逾期退还违约责任。</w:t>
      </w:r>
    </w:p>
    <w:p>
      <w:pPr>
        <w:pStyle w:val="42"/>
        <w:keepNext w:val="0"/>
        <w:keepLines w:val="0"/>
        <w:pageBreakBefore w:val="0"/>
        <w:widowControl w:val="0"/>
        <w:kinsoku/>
        <w:overflowPunct/>
        <w:autoSpaceDE/>
        <w:autoSpaceDN/>
        <w:bidi w:val="0"/>
        <w:spacing w:line="520" w:lineRule="exact"/>
        <w:ind w:firstLine="480" w:firstLineChars="200"/>
        <w:textAlignment w:val="auto"/>
        <w:rPr>
          <w:rFonts w:hint="eastAsia"/>
          <w:color w:val="auto"/>
          <w:highlight w:val="none"/>
        </w:rPr>
      </w:pPr>
      <w:r>
        <w:rPr>
          <w:rFonts w:hint="eastAsia"/>
          <w:color w:val="auto"/>
          <w:highlight w:val="none"/>
        </w:rPr>
        <w:t>(</w:t>
      </w:r>
      <w:r>
        <w:rPr>
          <w:rFonts w:hint="eastAsia"/>
          <w:color w:val="auto"/>
          <w:highlight w:val="none"/>
          <w:lang w:val="en-US" w:eastAsia="zh-CN"/>
        </w:rPr>
        <w:t>三</w:t>
      </w:r>
      <w:r>
        <w:rPr>
          <w:rFonts w:hint="eastAsia"/>
          <w:color w:val="auto"/>
          <w:highlight w:val="none"/>
        </w:rPr>
        <w:t>)履约保证金汇入的银行及账号：</w:t>
      </w:r>
    </w:p>
    <w:p>
      <w:pPr>
        <w:pStyle w:val="42"/>
        <w:keepNext w:val="0"/>
        <w:keepLines w:val="0"/>
        <w:pageBreakBefore w:val="0"/>
        <w:widowControl w:val="0"/>
        <w:kinsoku/>
        <w:overflowPunct/>
        <w:autoSpaceDE/>
        <w:autoSpaceDN/>
        <w:bidi w:val="0"/>
        <w:spacing w:line="520" w:lineRule="exact"/>
        <w:ind w:firstLine="480" w:firstLineChars="200"/>
        <w:textAlignment w:val="auto"/>
        <w:rPr>
          <w:rFonts w:hint="eastAsia"/>
          <w:color w:val="auto"/>
          <w:highlight w:val="none"/>
        </w:rPr>
      </w:pPr>
      <w:r>
        <w:rPr>
          <w:rFonts w:hint="eastAsia"/>
          <w:color w:val="auto"/>
          <w:highlight w:val="none"/>
        </w:rPr>
        <w:t xml:space="preserve"> 收款账号：成都市技师学院</w:t>
      </w:r>
    </w:p>
    <w:p>
      <w:pPr>
        <w:pStyle w:val="42"/>
        <w:keepNext w:val="0"/>
        <w:keepLines w:val="0"/>
        <w:pageBreakBefore w:val="0"/>
        <w:widowControl w:val="0"/>
        <w:kinsoku/>
        <w:overflowPunct/>
        <w:autoSpaceDE/>
        <w:autoSpaceDN/>
        <w:bidi w:val="0"/>
        <w:spacing w:line="520" w:lineRule="exact"/>
        <w:ind w:firstLine="480" w:firstLineChars="200"/>
        <w:textAlignment w:val="auto"/>
        <w:rPr>
          <w:rFonts w:hint="eastAsia"/>
          <w:color w:val="auto"/>
          <w:highlight w:val="none"/>
        </w:rPr>
      </w:pPr>
      <w:r>
        <w:rPr>
          <w:rFonts w:hint="eastAsia"/>
          <w:color w:val="auto"/>
          <w:highlight w:val="none"/>
        </w:rPr>
        <w:t xml:space="preserve"> 开户行：工行四川成都分行郫都红光支行</w:t>
      </w:r>
    </w:p>
    <w:p>
      <w:pPr>
        <w:pStyle w:val="42"/>
        <w:keepNext w:val="0"/>
        <w:keepLines w:val="0"/>
        <w:pageBreakBefore w:val="0"/>
        <w:widowControl w:val="0"/>
        <w:kinsoku/>
        <w:overflowPunct/>
        <w:autoSpaceDE/>
        <w:autoSpaceDN/>
        <w:bidi w:val="0"/>
        <w:spacing w:line="520" w:lineRule="exact"/>
        <w:ind w:firstLine="480" w:firstLineChars="200"/>
        <w:textAlignment w:val="auto"/>
        <w:rPr>
          <w:rFonts w:hint="eastAsia"/>
          <w:color w:val="auto"/>
          <w:highlight w:val="none"/>
        </w:rPr>
      </w:pPr>
      <w:r>
        <w:rPr>
          <w:rFonts w:hint="eastAsia"/>
          <w:color w:val="auto"/>
          <w:highlight w:val="none"/>
        </w:rPr>
        <w:t xml:space="preserve"> 银行账号：4402054609100031151</w:t>
      </w:r>
    </w:p>
    <w:p>
      <w:pPr>
        <w:pStyle w:val="42"/>
        <w:keepNext w:val="0"/>
        <w:keepLines w:val="0"/>
        <w:pageBreakBefore w:val="0"/>
        <w:widowControl w:val="0"/>
        <w:kinsoku/>
        <w:overflowPunct/>
        <w:autoSpaceDE/>
        <w:autoSpaceDN/>
        <w:bidi w:val="0"/>
        <w:spacing w:line="520" w:lineRule="exact"/>
        <w:ind w:firstLine="480" w:firstLineChars="200"/>
        <w:textAlignment w:val="auto"/>
        <w:rPr>
          <w:color w:val="auto"/>
          <w:highlight w:val="none"/>
        </w:rPr>
      </w:pPr>
      <w:r>
        <w:rPr>
          <w:rFonts w:hint="eastAsia"/>
          <w:color w:val="auto"/>
          <w:highlight w:val="none"/>
        </w:rPr>
        <w:t>(</w:t>
      </w:r>
      <w:r>
        <w:rPr>
          <w:rFonts w:hint="eastAsia"/>
          <w:color w:val="auto"/>
          <w:highlight w:val="none"/>
          <w:lang w:val="en-US" w:eastAsia="zh-CN"/>
        </w:rPr>
        <w:t>四</w:t>
      </w:r>
      <w:r>
        <w:rPr>
          <w:rFonts w:hint="eastAsia"/>
          <w:color w:val="auto"/>
          <w:highlight w:val="none"/>
        </w:rPr>
        <w:t>)履约保证金不予退还情形</w:t>
      </w:r>
      <w:r>
        <w:rPr>
          <w:rFonts w:hint="eastAsia"/>
          <w:color w:val="auto"/>
          <w:highlight w:val="none"/>
          <w:lang w:eastAsia="zh-CN"/>
        </w:rPr>
        <w:t>：</w:t>
      </w:r>
      <w:r>
        <w:rPr>
          <w:rFonts w:hint="eastAsia"/>
          <w:color w:val="auto"/>
          <w:highlight w:val="none"/>
        </w:rPr>
        <w:t>一是投标人未按合同要求履行的，其履约保证金全部扣除。二是投标人缴纳了履约保证金，但因自身原因被取消</w:t>
      </w:r>
      <w:r>
        <w:rPr>
          <w:rFonts w:hint="eastAsia"/>
          <w:color w:val="auto"/>
          <w:highlight w:val="none"/>
          <w:lang w:eastAsia="zh-CN"/>
        </w:rPr>
        <w:t>中标</w:t>
      </w:r>
      <w:r>
        <w:rPr>
          <w:rFonts w:hint="eastAsia"/>
          <w:color w:val="auto"/>
          <w:highlight w:val="none"/>
        </w:rPr>
        <w:t>资格或在</w:t>
      </w:r>
      <w:r>
        <w:rPr>
          <w:rFonts w:hint="eastAsia"/>
          <w:color w:val="auto"/>
          <w:highlight w:val="none"/>
          <w:lang w:eastAsia="zh-CN"/>
        </w:rPr>
        <w:t>中标</w:t>
      </w:r>
      <w:r>
        <w:rPr>
          <w:rFonts w:hint="eastAsia"/>
          <w:color w:val="auto"/>
          <w:highlight w:val="none"/>
        </w:rPr>
        <w:t>公示期满之日起30日历天（含法定节假日）内投标人不按招标文件确定的事项与</w:t>
      </w:r>
      <w:r>
        <w:rPr>
          <w:rFonts w:hint="eastAsia"/>
          <w:color w:val="auto"/>
          <w:highlight w:val="none"/>
          <w:lang w:eastAsia="zh-CN"/>
        </w:rPr>
        <w:t>招标人</w:t>
      </w:r>
      <w:r>
        <w:rPr>
          <w:rFonts w:hint="eastAsia"/>
          <w:color w:val="auto"/>
          <w:highlight w:val="none"/>
        </w:rPr>
        <w:t>签订合同的，其履约保证金不予退还。</w:t>
      </w:r>
    </w:p>
    <w:p>
      <w:pPr>
        <w:pStyle w:val="47"/>
        <w:bidi w:val="0"/>
        <w:spacing w:line="520" w:lineRule="exact"/>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注意：</w:t>
      </w:r>
      <w:r>
        <w:rPr>
          <w:rFonts w:hint="default" w:ascii="宋体" w:hAnsi="宋体" w:eastAsia="宋体"/>
          <w:color w:val="auto"/>
          <w:highlight w:val="none"/>
          <w:lang w:val="en-US" w:eastAsia="zh-CN"/>
        </w:rPr>
        <w:t>①</w:t>
      </w:r>
      <w:r>
        <w:rPr>
          <w:rFonts w:hint="eastAsia" w:ascii="宋体" w:hAnsi="宋体" w:eastAsia="宋体"/>
          <w:color w:val="auto"/>
          <w:highlight w:val="none"/>
          <w:lang w:val="en-US" w:eastAsia="zh-CN"/>
        </w:rPr>
        <w:t>本章</w:t>
      </w:r>
      <w:r>
        <w:rPr>
          <w:rFonts w:hint="eastAsia"/>
          <w:color w:val="auto"/>
          <w:highlight w:val="none"/>
        </w:rPr>
        <w:t>“技术参数及</w:t>
      </w:r>
      <w:r>
        <w:rPr>
          <w:rFonts w:hint="eastAsia"/>
          <w:color w:val="auto"/>
          <w:highlight w:val="none"/>
          <w:lang w:val="en-US" w:eastAsia="zh-CN"/>
        </w:rPr>
        <w:t>功能</w:t>
      </w:r>
      <w:r>
        <w:rPr>
          <w:rFonts w:hint="eastAsia"/>
          <w:color w:val="auto"/>
          <w:highlight w:val="none"/>
        </w:rPr>
        <w:t>要求”</w:t>
      </w:r>
      <w:r>
        <w:rPr>
          <w:rFonts w:hint="eastAsia"/>
          <w:color w:val="auto"/>
          <w:highlight w:val="none"/>
          <w:lang w:val="en-US" w:eastAsia="zh-CN"/>
        </w:rPr>
        <w:t>中</w:t>
      </w:r>
      <w:r>
        <w:rPr>
          <w:rFonts w:hint="eastAsia" w:ascii="宋体" w:hAnsi="宋体" w:eastAsia="宋体"/>
          <w:color w:val="auto"/>
          <w:highlight w:val="none"/>
          <w:lang w:val="en-US" w:eastAsia="zh-CN"/>
        </w:rPr>
        <w:t>带“</w:t>
      </w:r>
      <w:r>
        <w:rPr>
          <w:rFonts w:hint="eastAsia"/>
          <w:color w:val="auto"/>
          <w:highlight w:val="none"/>
        </w:rPr>
        <w:t>▲</w:t>
      </w:r>
      <w:r>
        <w:rPr>
          <w:rFonts w:hint="eastAsia" w:ascii="宋体" w:hAnsi="宋体" w:eastAsia="宋体"/>
          <w:color w:val="auto"/>
          <w:highlight w:val="none"/>
          <w:lang w:val="en-US" w:eastAsia="zh-CN"/>
        </w:rPr>
        <w:t>”号项目作为</w:t>
      </w:r>
      <w:r>
        <w:rPr>
          <w:rFonts w:hint="eastAsia"/>
          <w:color w:val="auto"/>
          <w:highlight w:val="none"/>
          <w:lang w:val="en-US" w:eastAsia="zh-CN"/>
        </w:rPr>
        <w:t>重要</w:t>
      </w:r>
      <w:r>
        <w:rPr>
          <w:rFonts w:hint="eastAsia" w:ascii="宋体" w:hAnsi="宋体" w:eastAsia="宋体"/>
          <w:color w:val="auto"/>
          <w:highlight w:val="none"/>
          <w:lang w:val="en-US" w:eastAsia="zh-CN"/>
        </w:rPr>
        <w:t>指标要求，</w:t>
      </w:r>
      <w:r>
        <w:rPr>
          <w:rFonts w:hint="eastAsia"/>
          <w:color w:val="auto"/>
          <w:highlight w:val="none"/>
        </w:rPr>
        <w:t>非</w:t>
      </w:r>
      <w:r>
        <w:rPr>
          <w:rFonts w:hint="eastAsia" w:ascii="宋体" w:hAnsi="宋体" w:eastAsia="宋体"/>
          <w:color w:val="auto"/>
          <w:highlight w:val="none"/>
          <w:lang w:val="en-US" w:eastAsia="zh-CN"/>
        </w:rPr>
        <w:t>带“</w:t>
      </w:r>
      <w:r>
        <w:rPr>
          <w:rFonts w:hint="eastAsia" w:ascii="宋体" w:hAnsi="宋体" w:eastAsia="宋体" w:cs="宋体"/>
          <w:color w:val="auto"/>
          <w:highlight w:val="none"/>
          <w:lang w:val="en-US" w:eastAsia="zh-CN"/>
        </w:rPr>
        <w:t>▲</w:t>
      </w:r>
      <w:r>
        <w:rPr>
          <w:rFonts w:hint="eastAsia" w:ascii="宋体" w:hAnsi="宋体" w:eastAsia="宋体"/>
          <w:color w:val="auto"/>
          <w:highlight w:val="none"/>
          <w:lang w:val="en-US" w:eastAsia="zh-CN"/>
        </w:rPr>
        <w:t>”号项目作为</w:t>
      </w:r>
      <w:r>
        <w:rPr>
          <w:rFonts w:hint="eastAsia"/>
          <w:color w:val="auto"/>
          <w:highlight w:val="none"/>
          <w:lang w:val="en-US" w:eastAsia="zh-CN"/>
        </w:rPr>
        <w:t>一般技术</w:t>
      </w:r>
      <w:r>
        <w:rPr>
          <w:rFonts w:hint="eastAsia" w:ascii="宋体" w:hAnsi="宋体" w:eastAsia="宋体"/>
          <w:color w:val="auto"/>
          <w:highlight w:val="none"/>
          <w:lang w:val="en-US" w:eastAsia="zh-CN"/>
        </w:rPr>
        <w:t>指标要求，如未满足将根据评分办法规定分别进行扣分。</w:t>
      </w:r>
    </w:p>
    <w:p>
      <w:pPr>
        <w:pStyle w:val="47"/>
        <w:bidi w:val="0"/>
        <w:spacing w:line="520" w:lineRule="exact"/>
        <w:rPr>
          <w:rFonts w:hint="eastAsia"/>
          <w:color w:val="auto"/>
          <w:highlight w:val="none"/>
        </w:rPr>
      </w:pPr>
      <w:r>
        <w:rPr>
          <w:rFonts w:hint="eastAsia" w:ascii="宋体" w:hAnsi="宋体" w:eastAsia="宋体"/>
          <w:color w:val="auto"/>
          <w:highlight w:val="none"/>
          <w:lang w:val="en-US" w:eastAsia="zh-CN"/>
        </w:rPr>
        <w:t>②</w:t>
      </w:r>
      <w:r>
        <w:rPr>
          <w:rFonts w:hint="eastAsia"/>
          <w:color w:val="auto"/>
          <w:highlight w:val="none"/>
          <w:lang w:val="en-US" w:eastAsia="zh-CN"/>
        </w:rPr>
        <w:t>本章</w:t>
      </w:r>
      <w:r>
        <w:rPr>
          <w:rFonts w:hint="eastAsia" w:ascii="宋体" w:hAnsi="宋体" w:eastAsia="宋体"/>
          <w:color w:val="auto"/>
          <w:highlight w:val="none"/>
          <w:lang w:val="en-US" w:eastAsia="zh-CN"/>
        </w:rPr>
        <w:t>带“</w:t>
      </w:r>
      <w:r>
        <w:rPr>
          <w:rFonts w:hint="eastAsia"/>
          <w:color w:val="auto"/>
          <w:highlight w:val="none"/>
        </w:rPr>
        <w:t>★</w:t>
      </w:r>
      <w:r>
        <w:rPr>
          <w:rFonts w:hint="eastAsia" w:ascii="宋体" w:hAnsi="宋体" w:eastAsia="宋体"/>
          <w:color w:val="auto"/>
          <w:highlight w:val="none"/>
          <w:lang w:val="en-US" w:eastAsia="zh-CN"/>
        </w:rPr>
        <w:t>”号条款为实质性要求，投标人须</w:t>
      </w:r>
      <w:r>
        <w:rPr>
          <w:rFonts w:hint="eastAsia"/>
          <w:color w:val="auto"/>
          <w:highlight w:val="none"/>
          <w:lang w:val="en-US" w:eastAsia="zh-CN"/>
        </w:rPr>
        <w:t>根据招标文件具体要求</w:t>
      </w:r>
      <w:r>
        <w:rPr>
          <w:rFonts w:hint="eastAsia" w:ascii="宋体" w:hAnsi="宋体" w:eastAsia="宋体"/>
          <w:color w:val="auto"/>
          <w:highlight w:val="none"/>
          <w:lang w:val="en-US" w:eastAsia="zh-CN"/>
        </w:rPr>
        <w:t>提供</w:t>
      </w:r>
      <w:r>
        <w:rPr>
          <w:rFonts w:hint="eastAsia"/>
          <w:color w:val="auto"/>
          <w:highlight w:val="none"/>
          <w:lang w:val="en-US" w:eastAsia="zh-CN"/>
        </w:rPr>
        <w:t>相应</w:t>
      </w:r>
      <w:r>
        <w:rPr>
          <w:rFonts w:hint="eastAsia" w:ascii="宋体" w:hAnsi="宋体" w:eastAsia="宋体"/>
          <w:color w:val="auto"/>
          <w:highlight w:val="none"/>
          <w:lang w:val="en-US" w:eastAsia="zh-CN"/>
        </w:rPr>
        <w:t>证明材料</w:t>
      </w:r>
      <w:r>
        <w:rPr>
          <w:rFonts w:hint="eastAsia"/>
          <w:color w:val="auto"/>
          <w:highlight w:val="none"/>
          <w:lang w:val="en-US" w:eastAsia="zh-CN"/>
        </w:rPr>
        <w:t>，若招标文件未要求提供具体证明材料的以投标人提供的“实质性要求承诺”响应为准</w:t>
      </w:r>
      <w:r>
        <w:rPr>
          <w:rFonts w:hint="eastAsia" w:ascii="宋体" w:hAnsi="宋体" w:eastAsia="宋体"/>
          <w:color w:val="auto"/>
          <w:highlight w:val="none"/>
          <w:lang w:val="en-US" w:eastAsia="zh-CN"/>
        </w:rPr>
        <w:t>，</w:t>
      </w:r>
      <w:r>
        <w:rPr>
          <w:rFonts w:hint="eastAsia"/>
          <w:color w:val="auto"/>
          <w:highlight w:val="none"/>
          <w:lang w:val="en-US" w:eastAsia="zh-CN"/>
        </w:rPr>
        <w:t>否则</w:t>
      </w:r>
      <w:r>
        <w:rPr>
          <w:rFonts w:hint="eastAsia" w:ascii="宋体" w:hAnsi="宋体" w:eastAsia="宋体"/>
          <w:color w:val="auto"/>
          <w:highlight w:val="none"/>
          <w:lang w:val="en-US" w:eastAsia="zh-CN"/>
        </w:rPr>
        <w:t>将被视为无效投标。</w:t>
      </w:r>
      <w:r>
        <w:rPr>
          <w:rFonts w:hint="eastAsia"/>
          <w:color w:val="auto"/>
          <w:highlight w:val="none"/>
        </w:rPr>
        <w:br w:type="page"/>
      </w:r>
    </w:p>
    <w:bookmarkEnd w:id="1099"/>
    <w:bookmarkEnd w:id="1100"/>
    <w:bookmarkEnd w:id="1101"/>
    <w:p>
      <w:pPr>
        <w:pStyle w:val="48"/>
        <w:numPr>
          <w:ilvl w:val="0"/>
          <w:numId w:val="13"/>
        </w:numPr>
        <w:bidi w:val="0"/>
        <w:rPr>
          <w:rFonts w:hint="eastAsia"/>
          <w:color w:val="auto"/>
          <w:highlight w:val="none"/>
        </w:rPr>
      </w:pPr>
      <w:bookmarkStart w:id="1211" w:name="_Toc32447"/>
      <w:bookmarkStart w:id="1212" w:name="_Toc10570"/>
      <w:bookmarkStart w:id="1213" w:name="_Toc15140"/>
      <w:bookmarkStart w:id="1214" w:name="_Toc20149"/>
      <w:bookmarkStart w:id="1215" w:name="_Toc25435"/>
      <w:bookmarkStart w:id="1216" w:name="_Toc183682415"/>
      <w:bookmarkStart w:id="1217" w:name="_Toc308188198"/>
      <w:bookmarkStart w:id="1218" w:name="_Toc217446097"/>
      <w:bookmarkStart w:id="1219" w:name="_Toc26923"/>
      <w:bookmarkStart w:id="1220" w:name="_Toc327196339"/>
      <w:bookmarkStart w:id="1221" w:name="_Toc4553"/>
      <w:bookmarkStart w:id="1222" w:name="_Toc308084645"/>
      <w:bookmarkStart w:id="1223" w:name="_Toc307564896"/>
      <w:bookmarkStart w:id="1224" w:name="_Toc1543"/>
      <w:bookmarkStart w:id="1225" w:name="_Toc183582280"/>
      <w:bookmarkStart w:id="1226" w:name="_Toc2232"/>
      <w:bookmarkStart w:id="1227" w:name="_Toc319440188"/>
      <w:bookmarkStart w:id="1228" w:name="_Toc309897563"/>
      <w:bookmarkStart w:id="1229" w:name="_Toc483"/>
      <w:bookmarkStart w:id="1230" w:name="_Toc21302"/>
      <w:bookmarkStart w:id="1231" w:name="_Toc208849007"/>
      <w:bookmarkStart w:id="1232" w:name="_Toc307501154"/>
      <w:bookmarkStart w:id="1233" w:name="_Toc319439946"/>
      <w:bookmarkStart w:id="1234" w:name="_Toc3881"/>
      <w:bookmarkStart w:id="1235" w:name="_Toc11039"/>
      <w:bookmarkStart w:id="1236" w:name="_Toc25959"/>
      <w:r>
        <w:rPr>
          <w:rFonts w:hint="eastAsia"/>
          <w:color w:val="auto"/>
          <w:highlight w:val="none"/>
        </w:rPr>
        <w:t>评标办法</w:t>
      </w:r>
      <w:bookmarkEnd w:id="1211"/>
      <w:bookmarkEnd w:id="1212"/>
      <w:bookmarkEnd w:id="1213"/>
      <w:bookmarkEnd w:id="1214"/>
      <w:bookmarkStart w:id="1237" w:name="_Hlt101846155"/>
      <w:bookmarkEnd w:id="1237"/>
    </w:p>
    <w:p>
      <w:pPr>
        <w:pStyle w:val="34"/>
        <w:numPr>
          <w:ilvl w:val="1"/>
          <w:numId w:val="13"/>
        </w:numPr>
        <w:bidi w:val="0"/>
        <w:spacing w:line="520" w:lineRule="exact"/>
        <w:rPr>
          <w:rFonts w:hint="eastAsia"/>
          <w:color w:val="auto"/>
          <w:highlight w:val="none"/>
        </w:rPr>
      </w:pPr>
      <w:bookmarkStart w:id="1238" w:name="_Toc10364"/>
      <w:bookmarkStart w:id="1239" w:name="_Toc16563"/>
      <w:bookmarkStart w:id="1240" w:name="_Toc3513"/>
      <w:r>
        <w:rPr>
          <w:rFonts w:hint="eastAsia"/>
          <w:color w:val="auto"/>
          <w:highlight w:val="none"/>
        </w:rPr>
        <w:t>总则</w:t>
      </w:r>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8"/>
      <w:bookmarkEnd w:id="1239"/>
      <w:bookmarkEnd w:id="1240"/>
    </w:p>
    <w:p>
      <w:pPr>
        <w:pStyle w:val="32"/>
        <w:numPr>
          <w:ilvl w:val="1"/>
          <w:numId w:val="35"/>
        </w:numPr>
        <w:bidi w:val="0"/>
        <w:spacing w:line="520" w:lineRule="exact"/>
        <w:rPr>
          <w:rFonts w:hint="eastAsia"/>
          <w:color w:val="auto"/>
          <w:highlight w:val="none"/>
        </w:rPr>
      </w:pPr>
      <w:r>
        <w:rPr>
          <w:rFonts w:hint="eastAsia"/>
          <w:color w:val="auto"/>
          <w:highlight w:val="none"/>
          <w:lang w:val="en-US" w:eastAsia="zh-CN"/>
        </w:rPr>
        <w:t>参照</w:t>
      </w:r>
      <w:r>
        <w:rPr>
          <w:rFonts w:hint="eastAsia"/>
          <w:color w:val="auto"/>
          <w:highlight w:val="none"/>
        </w:rPr>
        <w:t>《中华人民共和国政府采购法》《中华人民共和国政府采购法实施条例》</w:t>
      </w:r>
      <w:r>
        <w:rPr>
          <w:rFonts w:hint="eastAsia"/>
          <w:color w:val="auto"/>
          <w:highlight w:val="none"/>
          <w:lang w:val="en-US" w:eastAsia="zh-CN"/>
        </w:rPr>
        <w:t>及</w:t>
      </w:r>
      <w:r>
        <w:rPr>
          <w:rFonts w:hint="eastAsia"/>
          <w:color w:val="auto"/>
          <w:highlight w:val="none"/>
        </w:rPr>
        <w:t>《政府采购货物和服务招标投标管理办法》</w:t>
      </w:r>
      <w:r>
        <w:rPr>
          <w:rFonts w:hint="eastAsia"/>
          <w:color w:val="auto"/>
          <w:highlight w:val="none"/>
          <w:lang w:eastAsia="zh-CN"/>
        </w:rPr>
        <w:t>(</w:t>
      </w:r>
      <w:r>
        <w:rPr>
          <w:rFonts w:hint="eastAsia"/>
          <w:color w:val="auto"/>
          <w:highlight w:val="none"/>
        </w:rPr>
        <w:t>财政部令第</w:t>
      </w:r>
      <w:r>
        <w:rPr>
          <w:rFonts w:hint="eastAsia"/>
          <w:color w:val="auto"/>
          <w:highlight w:val="none"/>
          <w:lang w:val="en-US" w:eastAsia="zh-CN"/>
        </w:rPr>
        <w:t>87</w:t>
      </w:r>
      <w:r>
        <w:rPr>
          <w:rFonts w:hint="eastAsia"/>
          <w:color w:val="auto"/>
          <w:highlight w:val="none"/>
        </w:rPr>
        <w:t>号</w:t>
      </w:r>
      <w:r>
        <w:rPr>
          <w:rFonts w:hint="eastAsia"/>
          <w:color w:val="auto"/>
          <w:highlight w:val="none"/>
          <w:lang w:eastAsia="zh-CN"/>
        </w:rPr>
        <w:t>)</w:t>
      </w:r>
      <w:r>
        <w:rPr>
          <w:rFonts w:hint="eastAsia"/>
          <w:color w:val="auto"/>
          <w:highlight w:val="none"/>
        </w:rPr>
        <w:t>等法律规章，结合采购项目特点制定本评标办法。</w:t>
      </w:r>
    </w:p>
    <w:p>
      <w:pPr>
        <w:pStyle w:val="32"/>
        <w:numPr>
          <w:ilvl w:val="1"/>
          <w:numId w:val="35"/>
        </w:numPr>
        <w:bidi w:val="0"/>
        <w:spacing w:line="520" w:lineRule="exact"/>
        <w:rPr>
          <w:rFonts w:hint="eastAsia"/>
          <w:color w:val="auto"/>
          <w:highlight w:val="none"/>
        </w:rPr>
      </w:pPr>
      <w:r>
        <w:rPr>
          <w:rFonts w:hint="eastAsia"/>
          <w:color w:val="auto"/>
          <w:highlight w:val="none"/>
        </w:rPr>
        <w:t>评标工作由采购代理机构负责组织，具体评标事务由采购代理机构依法组建的评标委员会负责。评标委员会由采购人代表和有关技术、经济等方面的专家组成。</w:t>
      </w:r>
    </w:p>
    <w:p>
      <w:pPr>
        <w:pStyle w:val="32"/>
        <w:numPr>
          <w:ilvl w:val="1"/>
          <w:numId w:val="35"/>
        </w:numPr>
        <w:bidi w:val="0"/>
        <w:spacing w:line="520" w:lineRule="exact"/>
        <w:rPr>
          <w:rFonts w:hint="eastAsia"/>
          <w:color w:val="auto"/>
          <w:highlight w:val="none"/>
        </w:rPr>
      </w:pPr>
      <w:r>
        <w:rPr>
          <w:rFonts w:hint="eastAsia"/>
          <w:color w:val="auto"/>
          <w:highlight w:val="none"/>
        </w:rPr>
        <w:t>评标工作应遵循公平、公正、科学及择优的原则，并以相同的评标程序和标准对待所有的投标人。</w:t>
      </w:r>
    </w:p>
    <w:p>
      <w:pPr>
        <w:pStyle w:val="32"/>
        <w:numPr>
          <w:ilvl w:val="1"/>
          <w:numId w:val="35"/>
        </w:numPr>
        <w:bidi w:val="0"/>
        <w:spacing w:line="520" w:lineRule="exact"/>
        <w:rPr>
          <w:rFonts w:hint="eastAsia"/>
          <w:color w:val="auto"/>
          <w:highlight w:val="none"/>
        </w:rPr>
      </w:pPr>
      <w:r>
        <w:rPr>
          <w:rFonts w:hint="eastAsia"/>
          <w:color w:val="auto"/>
          <w:highlight w:val="none"/>
        </w:rPr>
        <w:t>评标委员会按照招标文件规定的评标方法和标准进行评标，并独立履行下列职责：</w:t>
      </w:r>
    </w:p>
    <w:p>
      <w:pPr>
        <w:pStyle w:val="35"/>
        <w:bidi w:val="0"/>
        <w:spacing w:line="520" w:lineRule="exact"/>
        <w:rPr>
          <w:rFonts w:hint="eastAsia"/>
          <w:color w:val="auto"/>
          <w:highlight w:val="none"/>
        </w:rPr>
      </w:pPr>
      <w:bookmarkStart w:id="1241" w:name="_Toc217446098"/>
      <w:r>
        <w:rPr>
          <w:rFonts w:hint="eastAsia"/>
          <w:color w:val="auto"/>
          <w:highlight w:val="none"/>
        </w:rPr>
        <w:t>审查、评价投标文件是否符合招标文件的商务、技术等实质性要求；</w:t>
      </w:r>
    </w:p>
    <w:p>
      <w:pPr>
        <w:pStyle w:val="35"/>
        <w:bidi w:val="0"/>
        <w:spacing w:line="520" w:lineRule="exact"/>
        <w:rPr>
          <w:rFonts w:hint="eastAsia"/>
          <w:color w:val="auto"/>
          <w:highlight w:val="none"/>
        </w:rPr>
      </w:pPr>
      <w:r>
        <w:rPr>
          <w:rFonts w:hint="eastAsia"/>
          <w:color w:val="auto"/>
          <w:highlight w:val="none"/>
        </w:rPr>
        <w:t>要求投标人对投标文件有关事项作出澄清或者说明；</w:t>
      </w:r>
    </w:p>
    <w:p>
      <w:pPr>
        <w:pStyle w:val="35"/>
        <w:bidi w:val="0"/>
        <w:spacing w:line="520" w:lineRule="exact"/>
        <w:rPr>
          <w:rFonts w:hint="eastAsia"/>
          <w:color w:val="auto"/>
          <w:highlight w:val="none"/>
        </w:rPr>
      </w:pPr>
      <w:r>
        <w:rPr>
          <w:rFonts w:hint="eastAsia"/>
          <w:color w:val="auto"/>
          <w:highlight w:val="none"/>
        </w:rPr>
        <w:t>对投标文件进行比较和评价；</w:t>
      </w:r>
    </w:p>
    <w:p>
      <w:pPr>
        <w:pStyle w:val="35"/>
        <w:bidi w:val="0"/>
        <w:spacing w:line="520" w:lineRule="exact"/>
        <w:rPr>
          <w:rFonts w:hint="eastAsia"/>
          <w:color w:val="auto"/>
          <w:highlight w:val="none"/>
        </w:rPr>
      </w:pPr>
      <w:r>
        <w:rPr>
          <w:rFonts w:hint="eastAsia"/>
          <w:color w:val="auto"/>
          <w:highlight w:val="none"/>
        </w:rPr>
        <w:t>确定中标候选人名单；</w:t>
      </w:r>
    </w:p>
    <w:p>
      <w:pPr>
        <w:pStyle w:val="35"/>
        <w:bidi w:val="0"/>
        <w:spacing w:line="520" w:lineRule="exact"/>
        <w:rPr>
          <w:rFonts w:hint="eastAsia"/>
          <w:color w:val="auto"/>
          <w:highlight w:val="none"/>
        </w:rPr>
      </w:pPr>
      <w:r>
        <w:rPr>
          <w:rFonts w:hint="eastAsia"/>
          <w:color w:val="auto"/>
          <w:highlight w:val="none"/>
        </w:rPr>
        <w:t>向采购人、采购代理机构或者有关部门报告评标中发现的违法行为。</w:t>
      </w:r>
    </w:p>
    <w:p>
      <w:pPr>
        <w:pStyle w:val="32"/>
        <w:bidi w:val="0"/>
        <w:spacing w:line="520" w:lineRule="exact"/>
        <w:rPr>
          <w:rFonts w:hint="eastAsia"/>
          <w:color w:val="auto"/>
          <w:highlight w:val="none"/>
        </w:rPr>
      </w:pPr>
      <w:r>
        <w:rPr>
          <w:rFonts w:hint="eastAsia"/>
          <w:color w:val="auto"/>
          <w:highlight w:val="none"/>
        </w:rPr>
        <w:t>评标过程独立、保密。投标人非法干预评标过程的行为将导致其投标文件作为无效处理。</w:t>
      </w:r>
    </w:p>
    <w:p>
      <w:pPr>
        <w:pStyle w:val="32"/>
        <w:bidi w:val="0"/>
        <w:spacing w:line="520" w:lineRule="exact"/>
        <w:rPr>
          <w:rFonts w:hint="eastAsia"/>
          <w:color w:val="auto"/>
          <w:highlight w:val="none"/>
        </w:rPr>
      </w:pPr>
      <w:r>
        <w:rPr>
          <w:rFonts w:hint="eastAsia"/>
          <w:color w:val="auto"/>
          <w:highlight w:val="none"/>
        </w:rPr>
        <w:t>评标委员会评价投标文件的响应性，对于投标人而言，除评标委员会要求其澄清、说明或者纠正而提供的资料外，仅依据投标文件本身的内容，不寻求其他外部证据。</w:t>
      </w:r>
    </w:p>
    <w:p>
      <w:pPr>
        <w:pStyle w:val="32"/>
        <w:bidi w:val="0"/>
        <w:spacing w:line="520" w:lineRule="exact"/>
        <w:rPr>
          <w:rFonts w:hint="eastAsia"/>
          <w:color w:val="auto"/>
          <w:highlight w:val="none"/>
        </w:rPr>
      </w:pPr>
      <w:r>
        <w:rPr>
          <w:rFonts w:hint="eastAsia"/>
          <w:color w:val="auto"/>
          <w:highlight w:val="none"/>
        </w:rPr>
        <w:t>评委会发现招标文件表述不明确或需要说明的事项，可提请招标采购单位书面解释说明。发现招标文件违反有关法律、法规和规章的，可以拒绝评标，并向招标采购单位书面说明情况</w:t>
      </w:r>
      <w:r>
        <w:rPr>
          <w:rFonts w:hint="eastAsia"/>
          <w:color w:val="auto"/>
          <w:highlight w:val="none"/>
          <w:lang w:eastAsia="zh-CN"/>
        </w:rPr>
        <w:t>(</w:t>
      </w:r>
      <w:r>
        <w:rPr>
          <w:rFonts w:hint="eastAsia"/>
          <w:color w:val="auto"/>
          <w:highlight w:val="none"/>
          <w:lang w:val="en-US" w:eastAsia="zh-CN"/>
        </w:rPr>
        <w:t>注明法律法规依据)</w:t>
      </w:r>
      <w:r>
        <w:rPr>
          <w:rFonts w:hint="eastAsia"/>
          <w:color w:val="auto"/>
          <w:highlight w:val="none"/>
        </w:rPr>
        <w:t>。</w:t>
      </w:r>
    </w:p>
    <w:p>
      <w:pPr>
        <w:pStyle w:val="34"/>
        <w:numPr>
          <w:ilvl w:val="1"/>
          <w:numId w:val="13"/>
        </w:numPr>
        <w:bidi w:val="0"/>
        <w:spacing w:line="520" w:lineRule="exact"/>
        <w:rPr>
          <w:rFonts w:hint="eastAsia"/>
          <w:color w:val="auto"/>
          <w:highlight w:val="none"/>
        </w:rPr>
      </w:pPr>
      <w:bookmarkStart w:id="1242" w:name="_Toc7489"/>
      <w:bookmarkStart w:id="1243" w:name="_Toc23268"/>
      <w:bookmarkStart w:id="1244" w:name="_Toc12975"/>
      <w:bookmarkStart w:id="1245" w:name="_Toc23669"/>
      <w:bookmarkStart w:id="1246" w:name="_Toc5338"/>
      <w:bookmarkStart w:id="1247" w:name="_Toc25612"/>
      <w:bookmarkStart w:id="1248" w:name="_Toc8496"/>
      <w:bookmarkStart w:id="1249" w:name="_Toc14100"/>
      <w:bookmarkStart w:id="1250" w:name="_Toc319440189"/>
      <w:bookmarkStart w:id="1251" w:name="_Toc5152"/>
      <w:bookmarkStart w:id="1252" w:name="_Toc26792"/>
      <w:bookmarkStart w:id="1253" w:name="_Toc327196340"/>
      <w:bookmarkStart w:id="1254" w:name="_Toc10398"/>
      <w:bookmarkStart w:id="1255" w:name="_Toc3915"/>
      <w:bookmarkStart w:id="1256" w:name="_Toc3371"/>
      <w:r>
        <w:rPr>
          <w:rFonts w:hint="eastAsia"/>
          <w:color w:val="auto"/>
          <w:highlight w:val="none"/>
        </w:rPr>
        <w:t>评标方法</w:t>
      </w:r>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p>
    <w:p>
      <w:pPr>
        <w:pStyle w:val="46"/>
        <w:bidi w:val="0"/>
        <w:spacing w:line="520" w:lineRule="exact"/>
        <w:rPr>
          <w:rFonts w:hint="eastAsia"/>
          <w:color w:val="auto"/>
          <w:highlight w:val="none"/>
        </w:rPr>
      </w:pPr>
      <w:r>
        <w:rPr>
          <w:rFonts w:hint="eastAsia"/>
          <w:color w:val="auto"/>
          <w:highlight w:val="none"/>
        </w:rPr>
        <w:t>本项目评标方法为：综合评分法。</w:t>
      </w:r>
    </w:p>
    <w:p>
      <w:pPr>
        <w:pStyle w:val="34"/>
        <w:numPr>
          <w:ilvl w:val="1"/>
          <w:numId w:val="13"/>
        </w:numPr>
        <w:bidi w:val="0"/>
        <w:spacing w:line="520" w:lineRule="exact"/>
        <w:rPr>
          <w:rFonts w:hint="eastAsia"/>
          <w:color w:val="auto"/>
          <w:highlight w:val="none"/>
        </w:rPr>
      </w:pPr>
      <w:bookmarkStart w:id="1257" w:name="_Toc926"/>
      <w:bookmarkStart w:id="1258" w:name="_Toc327196341"/>
      <w:bookmarkStart w:id="1259" w:name="_Toc23322"/>
      <w:bookmarkStart w:id="1260" w:name="_Toc23865"/>
      <w:bookmarkStart w:id="1261" w:name="_Toc7390"/>
      <w:bookmarkStart w:id="1262" w:name="_Toc17374"/>
      <w:bookmarkStart w:id="1263" w:name="_Toc12883"/>
      <w:bookmarkStart w:id="1264" w:name="_Toc9969"/>
      <w:bookmarkStart w:id="1265" w:name="_Toc5897"/>
      <w:bookmarkStart w:id="1266" w:name="_Toc17613"/>
      <w:bookmarkStart w:id="1267" w:name="_Toc27103"/>
      <w:bookmarkStart w:id="1268" w:name="_Toc5906"/>
      <w:bookmarkStart w:id="1269" w:name="_Toc31119"/>
      <w:bookmarkStart w:id="1270" w:name="_Toc319440190"/>
      <w:bookmarkStart w:id="1271" w:name="_Toc19196"/>
      <w:r>
        <w:rPr>
          <w:rFonts w:hint="eastAsia"/>
          <w:color w:val="auto"/>
          <w:highlight w:val="none"/>
        </w:rPr>
        <w:t>评标程序</w:t>
      </w:r>
      <w:bookmarkEnd w:id="1241"/>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p>
    <w:p>
      <w:pPr>
        <w:pStyle w:val="32"/>
        <w:numPr>
          <w:ilvl w:val="1"/>
          <w:numId w:val="36"/>
        </w:numPr>
        <w:bidi w:val="0"/>
        <w:spacing w:line="520" w:lineRule="exact"/>
        <w:rPr>
          <w:rFonts w:hint="eastAsia"/>
          <w:color w:val="auto"/>
          <w:highlight w:val="none"/>
        </w:rPr>
      </w:pPr>
      <w:r>
        <w:rPr>
          <w:rFonts w:hint="eastAsia"/>
          <w:color w:val="auto"/>
          <w:highlight w:val="none"/>
          <w:lang w:val="en-US" w:eastAsia="zh-CN"/>
        </w:rPr>
        <w:t>熟悉</w:t>
      </w:r>
      <w:r>
        <w:rPr>
          <w:rFonts w:hint="eastAsia"/>
          <w:color w:val="auto"/>
          <w:highlight w:val="none"/>
        </w:rPr>
        <w:t>招标文件和停止评标</w:t>
      </w:r>
    </w:p>
    <w:p>
      <w:pPr>
        <w:pStyle w:val="35"/>
        <w:bidi w:val="0"/>
        <w:spacing w:line="520" w:lineRule="exact"/>
        <w:rPr>
          <w:rFonts w:hint="eastAsia"/>
          <w:color w:val="auto"/>
          <w:highlight w:val="none"/>
        </w:rPr>
      </w:pPr>
      <w:r>
        <w:rPr>
          <w:rFonts w:hint="eastAsia"/>
          <w:color w:val="auto"/>
          <w:highlight w:val="none"/>
        </w:rPr>
        <w:t>评标委员会正式评标前，应当</w:t>
      </w:r>
      <w:r>
        <w:rPr>
          <w:rFonts w:hint="eastAsia"/>
          <w:color w:val="auto"/>
          <w:highlight w:val="none"/>
          <w:lang w:val="en-US" w:eastAsia="zh-CN"/>
        </w:rPr>
        <w:t>熟悉招标文件</w:t>
      </w:r>
      <w:r>
        <w:rPr>
          <w:rFonts w:hint="eastAsia"/>
          <w:color w:val="auto"/>
          <w:highlight w:val="none"/>
        </w:rPr>
        <w:t>，主要包括招标文件中</w:t>
      </w:r>
      <w:r>
        <w:rPr>
          <w:rFonts w:hint="eastAsia"/>
          <w:color w:val="auto"/>
          <w:highlight w:val="none"/>
          <w:lang w:val="en-US" w:eastAsia="zh-CN"/>
        </w:rPr>
        <w:t>符合性审查内容</w:t>
      </w:r>
      <w:r>
        <w:rPr>
          <w:rFonts w:hint="eastAsia"/>
          <w:color w:val="auto"/>
          <w:highlight w:val="none"/>
        </w:rPr>
        <w:t>、采购项目技术、服务和商务要求、评标方法和标准以及</w:t>
      </w:r>
      <w:r>
        <w:rPr>
          <w:rFonts w:hint="eastAsia"/>
          <w:color w:val="auto"/>
          <w:highlight w:val="none"/>
          <w:lang w:eastAsia="zh-CN"/>
        </w:rPr>
        <w:t>采购合同</w:t>
      </w:r>
      <w:r>
        <w:rPr>
          <w:rFonts w:hint="eastAsia"/>
          <w:color w:val="auto"/>
          <w:highlight w:val="none"/>
        </w:rPr>
        <w:t>主要条款等。</w:t>
      </w:r>
    </w:p>
    <w:p>
      <w:pPr>
        <w:pStyle w:val="35"/>
        <w:bidi w:val="0"/>
        <w:spacing w:line="520" w:lineRule="exact"/>
        <w:rPr>
          <w:rFonts w:hint="eastAsia"/>
          <w:color w:val="auto"/>
          <w:highlight w:val="none"/>
        </w:rPr>
      </w:pPr>
      <w:r>
        <w:rPr>
          <w:rFonts w:hint="eastAsia"/>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r>
        <w:rPr>
          <w:rFonts w:hint="eastAsia"/>
          <w:color w:val="auto"/>
          <w:highlight w:val="none"/>
          <w:lang w:eastAsia="zh-CN"/>
        </w:rPr>
        <w:t>。</w:t>
      </w:r>
    </w:p>
    <w:p>
      <w:pPr>
        <w:pStyle w:val="35"/>
        <w:bidi w:val="0"/>
        <w:spacing w:line="520" w:lineRule="exact"/>
        <w:rPr>
          <w:rFonts w:hint="eastAsia"/>
          <w:color w:val="auto"/>
          <w:highlight w:val="none"/>
        </w:rPr>
      </w:pPr>
      <w:r>
        <w:rPr>
          <w:rFonts w:hint="eastAsia"/>
          <w:color w:val="auto"/>
          <w:highlight w:val="none"/>
        </w:rPr>
        <w:t>评标过程中有下列情形之一的，评标委员会成员可以停止评标：</w:t>
      </w:r>
    </w:p>
    <w:p>
      <w:pPr>
        <w:pStyle w:val="36"/>
        <w:bidi w:val="0"/>
        <w:spacing w:line="520" w:lineRule="exact"/>
        <w:rPr>
          <w:rFonts w:hint="eastAsia"/>
          <w:color w:val="auto"/>
          <w:highlight w:val="none"/>
        </w:rPr>
      </w:pPr>
      <w:r>
        <w:rPr>
          <w:rFonts w:hint="eastAsia"/>
          <w:color w:val="auto"/>
          <w:highlight w:val="none"/>
        </w:rPr>
        <w:t>招标采购单位未提供必要的与采购项目有关的政策制度文件或者</w:t>
      </w:r>
      <w:r>
        <w:rPr>
          <w:rFonts w:hint="eastAsia"/>
          <w:color w:val="auto"/>
          <w:highlight w:val="none"/>
          <w:lang w:val="en-US" w:eastAsia="zh-CN"/>
        </w:rPr>
        <w:t>招标</w:t>
      </w:r>
      <w:r>
        <w:rPr>
          <w:rFonts w:hint="eastAsia"/>
          <w:color w:val="auto"/>
          <w:highlight w:val="none"/>
        </w:rPr>
        <w:t>文件，继续评标将导致违法或者错误评标的；</w:t>
      </w:r>
    </w:p>
    <w:p>
      <w:pPr>
        <w:pStyle w:val="36"/>
        <w:bidi w:val="0"/>
        <w:spacing w:line="520" w:lineRule="exact"/>
        <w:rPr>
          <w:rFonts w:hint="eastAsia"/>
          <w:color w:val="auto"/>
          <w:highlight w:val="none"/>
        </w:rPr>
      </w:pPr>
      <w:r>
        <w:rPr>
          <w:rFonts w:hint="eastAsia"/>
          <w:color w:val="auto"/>
          <w:highlight w:val="none"/>
        </w:rPr>
        <w:t>有关单位和个人非法干预评标委员会依法独立评标的；</w:t>
      </w:r>
    </w:p>
    <w:p>
      <w:pPr>
        <w:pStyle w:val="36"/>
        <w:bidi w:val="0"/>
        <w:spacing w:line="520" w:lineRule="exact"/>
        <w:rPr>
          <w:rFonts w:hint="eastAsia"/>
          <w:color w:val="auto"/>
          <w:highlight w:val="none"/>
        </w:rPr>
      </w:pPr>
      <w:r>
        <w:rPr>
          <w:rFonts w:hint="eastAsia"/>
          <w:color w:val="auto"/>
          <w:highlight w:val="none"/>
        </w:rPr>
        <w:t>其他导致评标委员会无法正常履职的情形。</w:t>
      </w:r>
    </w:p>
    <w:p>
      <w:pPr>
        <w:pStyle w:val="35"/>
        <w:bidi w:val="0"/>
        <w:spacing w:line="520" w:lineRule="exact"/>
        <w:rPr>
          <w:rFonts w:hint="eastAsia"/>
          <w:color w:val="auto"/>
          <w:highlight w:val="none"/>
        </w:rPr>
      </w:pPr>
      <w:r>
        <w:rPr>
          <w:rFonts w:hint="eastAsia"/>
          <w:color w:val="auto"/>
          <w:highlight w:val="none"/>
        </w:rPr>
        <w:t>出现本条规定应当停止评标或者可以停止评标情形的，评标委员会成员应当向招标采购单位书面说明情况。除本条规定的情形外，评标委员会成员不得以任何方式和理由停止评标。</w:t>
      </w:r>
    </w:p>
    <w:p>
      <w:pPr>
        <w:pStyle w:val="32"/>
        <w:bidi w:val="0"/>
        <w:spacing w:line="520" w:lineRule="exact"/>
        <w:rPr>
          <w:rFonts w:hint="eastAsia"/>
          <w:color w:val="auto"/>
          <w:highlight w:val="none"/>
          <w:lang w:val="en-US" w:eastAsia="zh-CN"/>
        </w:rPr>
      </w:pPr>
      <w:r>
        <w:rPr>
          <w:rFonts w:hint="eastAsia"/>
          <w:color w:val="auto"/>
          <w:highlight w:val="none"/>
          <w:lang w:val="en-US" w:eastAsia="zh-CN"/>
        </w:rPr>
        <w:t>符合性审查</w:t>
      </w:r>
    </w:p>
    <w:p>
      <w:pPr>
        <w:pStyle w:val="46"/>
        <w:bidi w:val="0"/>
        <w:spacing w:line="520" w:lineRule="exact"/>
        <w:rPr>
          <w:rFonts w:hint="eastAsia"/>
          <w:color w:val="auto"/>
          <w:highlight w:val="none"/>
        </w:rPr>
      </w:pPr>
      <w:r>
        <w:rPr>
          <w:rFonts w:hint="eastAsia"/>
          <w:color w:val="auto"/>
          <w:highlight w:val="none"/>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pStyle w:val="35"/>
        <w:bidi w:val="0"/>
        <w:spacing w:line="520" w:lineRule="exact"/>
        <w:rPr>
          <w:rFonts w:hint="eastAsia"/>
          <w:color w:val="auto"/>
          <w:highlight w:val="none"/>
        </w:rPr>
      </w:pPr>
      <w:r>
        <w:rPr>
          <w:rFonts w:hint="eastAsia"/>
          <w:color w:val="auto"/>
          <w:highlight w:val="none"/>
        </w:rPr>
        <w:t>投标文件</w:t>
      </w:r>
      <w:r>
        <w:rPr>
          <w:rFonts w:hint="eastAsia"/>
          <w:color w:val="auto"/>
          <w:highlight w:val="none"/>
          <w:lang w:eastAsia="zh-CN"/>
        </w:rPr>
        <w:t>(</w:t>
      </w:r>
      <w:r>
        <w:rPr>
          <w:rFonts w:hint="eastAsia"/>
          <w:color w:val="auto"/>
          <w:highlight w:val="none"/>
        </w:rPr>
        <w:t>包括单独递交的开标一览表</w:t>
      </w:r>
      <w:r>
        <w:rPr>
          <w:rFonts w:hint="eastAsia"/>
          <w:color w:val="auto"/>
          <w:highlight w:val="none"/>
          <w:lang w:eastAsia="zh-CN"/>
        </w:rPr>
        <w:t>)</w:t>
      </w:r>
      <w:r>
        <w:rPr>
          <w:rFonts w:hint="eastAsia"/>
          <w:color w:val="auto"/>
          <w:highlight w:val="none"/>
        </w:rPr>
        <w:t>有下列情形的，本项目不作为实质性要求进行规定，即不作为符合性审查事项，不得作为无效投标处理：</w:t>
      </w:r>
    </w:p>
    <w:p>
      <w:pPr>
        <w:pStyle w:val="36"/>
        <w:bidi w:val="0"/>
        <w:spacing w:line="520" w:lineRule="exact"/>
        <w:rPr>
          <w:rFonts w:hint="eastAsia"/>
          <w:color w:val="auto"/>
          <w:highlight w:val="none"/>
        </w:rPr>
      </w:pPr>
      <w:r>
        <w:rPr>
          <w:rFonts w:hint="eastAsia"/>
          <w:color w:val="auto"/>
          <w:highlight w:val="none"/>
          <w:lang w:val="en-US" w:eastAsia="zh-CN"/>
        </w:rPr>
        <w:t>投标文件</w:t>
      </w:r>
      <w:r>
        <w:rPr>
          <w:rFonts w:hint="eastAsia"/>
          <w:color w:val="auto"/>
          <w:highlight w:val="none"/>
        </w:rPr>
        <w:t>未按照招标文件要求进行分装或者统装的；</w:t>
      </w:r>
    </w:p>
    <w:p>
      <w:pPr>
        <w:pStyle w:val="36"/>
        <w:bidi w:val="0"/>
        <w:spacing w:line="520" w:lineRule="exact"/>
        <w:rPr>
          <w:rFonts w:hint="eastAsia"/>
          <w:color w:val="auto"/>
          <w:highlight w:val="none"/>
        </w:rPr>
      </w:pPr>
      <w:r>
        <w:rPr>
          <w:rFonts w:hint="eastAsia"/>
          <w:color w:val="auto"/>
          <w:highlight w:val="none"/>
        </w:rPr>
        <w:t>存在个别地方</w:t>
      </w:r>
      <w:r>
        <w:rPr>
          <w:rFonts w:hint="eastAsia"/>
          <w:color w:val="auto"/>
          <w:highlight w:val="none"/>
          <w:lang w:eastAsia="zh-CN"/>
        </w:rPr>
        <w:t>(</w:t>
      </w:r>
      <w:r>
        <w:rPr>
          <w:rFonts w:hint="eastAsia"/>
          <w:color w:val="auto"/>
          <w:highlight w:val="none"/>
        </w:rPr>
        <w:t>不超过2个</w:t>
      </w:r>
      <w:r>
        <w:rPr>
          <w:rFonts w:hint="eastAsia"/>
          <w:color w:val="auto"/>
          <w:highlight w:val="none"/>
          <w:lang w:eastAsia="zh-CN"/>
        </w:rPr>
        <w:t>)</w:t>
      </w:r>
      <w:r>
        <w:rPr>
          <w:rFonts w:hint="eastAsia"/>
          <w:color w:val="auto"/>
          <w:highlight w:val="none"/>
        </w:rPr>
        <w:t>没有法定代表人签字，但有法定代表人的私人印章或者有效授权代理人签字的；</w:t>
      </w:r>
    </w:p>
    <w:p>
      <w:pPr>
        <w:pStyle w:val="36"/>
        <w:bidi w:val="0"/>
        <w:spacing w:line="520" w:lineRule="exact"/>
        <w:rPr>
          <w:rFonts w:hint="eastAsia"/>
          <w:color w:val="auto"/>
          <w:highlight w:val="none"/>
        </w:rPr>
      </w:pPr>
      <w:r>
        <w:rPr>
          <w:rFonts w:hint="eastAsia"/>
          <w:color w:val="auto"/>
          <w:highlight w:val="none"/>
        </w:rPr>
        <w:t>除招标文件明确要求加盖单位(法人)公章的以外，其他地方以相关专用章加盖的；</w:t>
      </w:r>
    </w:p>
    <w:p>
      <w:pPr>
        <w:pStyle w:val="36"/>
        <w:bidi w:val="0"/>
        <w:spacing w:line="520" w:lineRule="exact"/>
        <w:rPr>
          <w:rFonts w:hint="eastAsia"/>
          <w:color w:val="auto"/>
          <w:highlight w:val="none"/>
        </w:rPr>
      </w:pPr>
      <w:r>
        <w:rPr>
          <w:rFonts w:hint="eastAsia"/>
          <w:color w:val="auto"/>
          <w:highlight w:val="none"/>
        </w:rPr>
        <w:t>以骑缝章的形式代替投标文件内容逐页盖章的</w:t>
      </w:r>
      <w:r>
        <w:rPr>
          <w:rFonts w:hint="eastAsia"/>
          <w:color w:val="auto"/>
          <w:highlight w:val="none"/>
          <w:lang w:eastAsia="zh-CN"/>
        </w:rPr>
        <w:t>(</w:t>
      </w:r>
      <w:r>
        <w:rPr>
          <w:rFonts w:hint="eastAsia"/>
          <w:color w:val="auto"/>
          <w:highlight w:val="none"/>
        </w:rPr>
        <w:t>但是骑缝章模糊不清，印章名称无法辨认的除外</w:t>
      </w:r>
      <w:r>
        <w:rPr>
          <w:rFonts w:hint="eastAsia"/>
          <w:color w:val="auto"/>
          <w:highlight w:val="none"/>
          <w:lang w:eastAsia="zh-CN"/>
        </w:rPr>
        <w:t>)</w:t>
      </w:r>
      <w:r>
        <w:rPr>
          <w:rFonts w:hint="eastAsia"/>
          <w:color w:val="auto"/>
          <w:highlight w:val="none"/>
        </w:rPr>
        <w:t>；</w:t>
      </w:r>
    </w:p>
    <w:p>
      <w:pPr>
        <w:pStyle w:val="36"/>
        <w:bidi w:val="0"/>
        <w:spacing w:line="520" w:lineRule="exact"/>
        <w:rPr>
          <w:rFonts w:hint="eastAsia"/>
          <w:color w:val="auto"/>
          <w:highlight w:val="none"/>
        </w:rPr>
      </w:pPr>
      <w:r>
        <w:rPr>
          <w:rFonts w:hint="eastAsia"/>
          <w:color w:val="auto"/>
          <w:highlight w:val="none"/>
        </w:rPr>
        <w:t>其他不影响采购项目实质性要求的情形。</w:t>
      </w:r>
    </w:p>
    <w:p>
      <w:pPr>
        <w:pStyle w:val="35"/>
        <w:bidi w:val="0"/>
        <w:spacing w:line="520" w:lineRule="exact"/>
        <w:rPr>
          <w:rFonts w:hint="eastAsia"/>
          <w:color w:val="auto"/>
          <w:highlight w:val="none"/>
        </w:rPr>
      </w:pPr>
      <w:r>
        <w:rPr>
          <w:rFonts w:hint="eastAsia"/>
          <w:color w:val="auto"/>
          <w:highlight w:val="none"/>
        </w:rPr>
        <w:t>除法律制度规定的情形外，本项目投标人或者其投标文件有下列情形之一的，作为无效投标处理：</w:t>
      </w:r>
    </w:p>
    <w:p>
      <w:pPr>
        <w:pStyle w:val="36"/>
        <w:bidi w:val="0"/>
        <w:spacing w:line="520" w:lineRule="exact"/>
        <w:rPr>
          <w:rFonts w:hint="eastAsia"/>
          <w:color w:val="auto"/>
          <w:highlight w:val="none"/>
        </w:rPr>
      </w:pPr>
      <w:r>
        <w:rPr>
          <w:rFonts w:hint="eastAsia"/>
          <w:color w:val="auto"/>
          <w:highlight w:val="none"/>
        </w:rPr>
        <w:t>投标文件组成明显不符合招标文件的规定要求，影响评标委员会评判的；</w:t>
      </w:r>
    </w:p>
    <w:p>
      <w:pPr>
        <w:pStyle w:val="36"/>
        <w:bidi w:val="0"/>
        <w:spacing w:line="520" w:lineRule="exact"/>
        <w:rPr>
          <w:rFonts w:hint="eastAsia"/>
          <w:color w:val="auto"/>
          <w:highlight w:val="none"/>
        </w:rPr>
      </w:pPr>
      <w:r>
        <w:rPr>
          <w:rFonts w:hint="eastAsia"/>
          <w:color w:val="auto"/>
          <w:highlight w:val="none"/>
        </w:rPr>
        <w:t>投标文件的格式、语言、计量单位、报价货币、知识产权、投标有效期等不符合招标文件的规定，影响评标委员会评判的；</w:t>
      </w:r>
    </w:p>
    <w:p>
      <w:pPr>
        <w:pStyle w:val="36"/>
        <w:bidi w:val="0"/>
        <w:spacing w:line="520" w:lineRule="exact"/>
        <w:rPr>
          <w:rFonts w:hint="eastAsia"/>
          <w:color w:val="auto"/>
          <w:highlight w:val="none"/>
        </w:rPr>
      </w:pPr>
      <w:r>
        <w:rPr>
          <w:rFonts w:hint="eastAsia"/>
          <w:color w:val="auto"/>
          <w:highlight w:val="none"/>
        </w:rPr>
        <w:t>投标报价不符合招标文件规定的价格标底和其他报价规定的；</w:t>
      </w:r>
    </w:p>
    <w:p>
      <w:pPr>
        <w:pStyle w:val="36"/>
        <w:bidi w:val="0"/>
        <w:spacing w:line="520" w:lineRule="exact"/>
        <w:rPr>
          <w:rFonts w:hint="eastAsia"/>
          <w:color w:val="auto"/>
          <w:highlight w:val="none"/>
        </w:rPr>
      </w:pPr>
      <w:r>
        <w:rPr>
          <w:rFonts w:hint="eastAsia"/>
          <w:color w:val="auto"/>
          <w:highlight w:val="none"/>
        </w:rPr>
        <w:t>技术、服务应答内容没有完全响应招标文件的实质性要求的；</w:t>
      </w:r>
    </w:p>
    <w:p>
      <w:pPr>
        <w:pStyle w:val="36"/>
        <w:bidi w:val="0"/>
        <w:spacing w:line="520" w:lineRule="exact"/>
        <w:rPr>
          <w:rFonts w:hint="eastAsia"/>
          <w:color w:val="auto"/>
          <w:highlight w:val="none"/>
        </w:rPr>
      </w:pPr>
      <w:r>
        <w:rPr>
          <w:rFonts w:hint="eastAsia"/>
          <w:color w:val="auto"/>
          <w:highlight w:val="none"/>
        </w:rPr>
        <w:t>招标文件有明确要求，但投标文件未载明或者载明的采购项目履约时间、方式、数量与招标文件要求不一致的</w:t>
      </w:r>
      <w:r>
        <w:rPr>
          <w:rFonts w:hint="eastAsia"/>
          <w:color w:val="auto"/>
          <w:highlight w:val="none"/>
          <w:lang w:eastAsia="zh-CN"/>
        </w:rPr>
        <w:t>；</w:t>
      </w:r>
    </w:p>
    <w:p>
      <w:pPr>
        <w:pStyle w:val="36"/>
        <w:bidi w:val="0"/>
        <w:spacing w:line="520" w:lineRule="exact"/>
        <w:rPr>
          <w:rFonts w:hint="eastAsia"/>
          <w:color w:val="auto"/>
          <w:highlight w:val="none"/>
        </w:rPr>
      </w:pPr>
      <w:r>
        <w:rPr>
          <w:rFonts w:hint="eastAsia"/>
          <w:color w:val="auto"/>
          <w:highlight w:val="none"/>
        </w:rPr>
        <w:t>投标文件含有采购人不能接受的附加条件的</w:t>
      </w:r>
      <w:r>
        <w:rPr>
          <w:rFonts w:hint="eastAsia"/>
          <w:color w:val="auto"/>
          <w:highlight w:val="none"/>
          <w:lang w:eastAsia="zh-CN"/>
        </w:rPr>
        <w:t>。</w:t>
      </w:r>
    </w:p>
    <w:p>
      <w:pPr>
        <w:keepNext w:val="0"/>
        <w:keepLines w:val="0"/>
        <w:pageBreakBefore w:val="0"/>
        <w:widowControl w:val="0"/>
        <w:tabs>
          <w:tab w:val="left" w:pos="851"/>
        </w:tabs>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注：</w:t>
      </w:r>
      <w:r>
        <w:rPr>
          <w:rFonts w:hint="eastAsia" w:cstheme="minorBidi"/>
          <w:color w:val="auto"/>
          <w:kern w:val="2"/>
          <w:sz w:val="24"/>
          <w:szCs w:val="24"/>
          <w:highlight w:val="none"/>
          <w:lang w:val="en-US" w:eastAsia="zh-CN" w:bidi="ar-SA"/>
        </w:rPr>
        <w:t>①</w:t>
      </w:r>
      <w:r>
        <w:rPr>
          <w:rFonts w:hint="eastAsia" w:ascii="宋体" w:hAnsi="宋体" w:eastAsia="宋体" w:cstheme="minorBidi"/>
          <w:color w:val="auto"/>
          <w:kern w:val="2"/>
          <w:sz w:val="24"/>
          <w:szCs w:val="24"/>
          <w:highlight w:val="none"/>
          <w:lang w:val="en-US" w:eastAsia="zh-CN" w:bidi="ar-SA"/>
        </w:rPr>
        <w:t>投标人的投标文件应全部通过上述</w:t>
      </w:r>
      <w:r>
        <w:rPr>
          <w:rFonts w:hint="eastAsia" w:cstheme="minorBidi"/>
          <w:color w:val="auto"/>
          <w:kern w:val="2"/>
          <w:sz w:val="24"/>
          <w:szCs w:val="24"/>
          <w:highlight w:val="none"/>
          <w:lang w:val="en-US" w:eastAsia="zh-CN" w:bidi="ar-SA"/>
        </w:rPr>
        <w:t>符合性审查内容</w:t>
      </w:r>
      <w:r>
        <w:rPr>
          <w:rFonts w:hint="eastAsia" w:ascii="宋体" w:hAnsi="宋体" w:eastAsia="宋体" w:cstheme="minorBidi"/>
          <w:color w:val="auto"/>
          <w:kern w:val="2"/>
          <w:sz w:val="24"/>
          <w:szCs w:val="24"/>
          <w:highlight w:val="none"/>
          <w:lang w:val="en-US" w:eastAsia="zh-CN" w:bidi="ar-SA"/>
        </w:rPr>
        <w:t>；如有任意一项未通过的，应在符合性审查报告中载明</w:t>
      </w:r>
      <w:r>
        <w:rPr>
          <w:rFonts w:hint="eastAsia" w:cstheme="minorBidi"/>
          <w:color w:val="auto"/>
          <w:kern w:val="2"/>
          <w:sz w:val="24"/>
          <w:szCs w:val="24"/>
          <w:highlight w:val="none"/>
          <w:lang w:val="en-US" w:eastAsia="zh-CN" w:bidi="ar-SA"/>
        </w:rPr>
        <w:t>未</w:t>
      </w:r>
      <w:r>
        <w:rPr>
          <w:rFonts w:hint="eastAsia" w:ascii="宋体" w:hAnsi="宋体" w:eastAsia="宋体" w:cstheme="minorBidi"/>
          <w:color w:val="auto"/>
          <w:kern w:val="2"/>
          <w:sz w:val="24"/>
          <w:szCs w:val="24"/>
          <w:highlight w:val="none"/>
          <w:lang w:val="en-US" w:eastAsia="zh-CN" w:bidi="ar-SA"/>
        </w:rPr>
        <w:t>通过的具体原因，</w:t>
      </w:r>
      <w:r>
        <w:rPr>
          <w:rFonts w:hint="eastAsia" w:cstheme="minorBidi"/>
          <w:color w:val="auto"/>
          <w:kern w:val="2"/>
          <w:sz w:val="24"/>
          <w:szCs w:val="24"/>
          <w:highlight w:val="none"/>
          <w:lang w:val="en-US" w:eastAsia="zh-CN" w:bidi="ar-SA"/>
        </w:rPr>
        <w:t>该</w:t>
      </w:r>
      <w:r>
        <w:rPr>
          <w:rFonts w:hint="eastAsia" w:ascii="宋体" w:hAnsi="宋体" w:eastAsia="宋体" w:cstheme="minorBidi"/>
          <w:color w:val="auto"/>
          <w:kern w:val="2"/>
          <w:sz w:val="24"/>
          <w:szCs w:val="24"/>
          <w:highlight w:val="none"/>
          <w:lang w:val="en-US" w:eastAsia="zh-CN" w:bidi="ar-SA"/>
        </w:rPr>
        <w:t>投标人的投标文件按无效投标文件处理。</w:t>
      </w:r>
    </w:p>
    <w:p>
      <w:pPr>
        <w:pStyle w:val="36"/>
        <w:numPr>
          <w:ilvl w:val="3"/>
          <w:numId w:val="0"/>
        </w:numPr>
        <w:bidi w:val="0"/>
        <w:spacing w:line="520" w:lineRule="exact"/>
        <w:ind w:leftChars="200"/>
        <w:rPr>
          <w:rFonts w:hint="eastAsia"/>
          <w:color w:val="auto"/>
          <w:highlight w:val="none"/>
        </w:rPr>
      </w:pPr>
      <w:r>
        <w:rPr>
          <w:rFonts w:hint="eastAsia" w:cstheme="minorBidi"/>
          <w:color w:val="auto"/>
          <w:kern w:val="2"/>
          <w:sz w:val="24"/>
          <w:szCs w:val="24"/>
          <w:highlight w:val="none"/>
          <w:lang w:val="en-US" w:eastAsia="zh-CN" w:bidi="ar-SA"/>
        </w:rPr>
        <w:t>②</w:t>
      </w:r>
      <w:r>
        <w:rPr>
          <w:rFonts w:hint="eastAsia" w:ascii="宋体" w:hAnsi="宋体" w:eastAsia="宋体" w:cstheme="minorBidi"/>
          <w:color w:val="auto"/>
          <w:kern w:val="2"/>
          <w:sz w:val="24"/>
          <w:szCs w:val="24"/>
          <w:highlight w:val="none"/>
          <w:lang w:val="en-US" w:eastAsia="zh-CN" w:bidi="ar-SA"/>
        </w:rPr>
        <w:t>通过符合性审查的</w:t>
      </w:r>
      <w:r>
        <w:rPr>
          <w:rFonts w:hint="eastAsia" w:cstheme="minorBidi"/>
          <w:color w:val="auto"/>
          <w:kern w:val="2"/>
          <w:sz w:val="24"/>
          <w:szCs w:val="24"/>
          <w:highlight w:val="none"/>
          <w:lang w:val="en-US" w:eastAsia="zh-CN" w:bidi="ar-SA"/>
        </w:rPr>
        <w:t>投标人</w:t>
      </w:r>
      <w:r>
        <w:rPr>
          <w:rFonts w:hint="eastAsia" w:ascii="宋体" w:hAnsi="宋体" w:eastAsia="宋体" w:cstheme="minorBidi"/>
          <w:color w:val="auto"/>
          <w:kern w:val="2"/>
          <w:sz w:val="24"/>
          <w:szCs w:val="24"/>
          <w:highlight w:val="none"/>
          <w:lang w:val="en-US" w:eastAsia="zh-CN" w:bidi="ar-SA"/>
        </w:rPr>
        <w:t>＜3</w:t>
      </w:r>
      <w:r>
        <w:rPr>
          <w:rFonts w:hint="eastAsia" w:cstheme="minorBidi"/>
          <w:color w:val="auto"/>
          <w:kern w:val="2"/>
          <w:sz w:val="24"/>
          <w:szCs w:val="24"/>
          <w:highlight w:val="none"/>
          <w:lang w:val="en-US" w:eastAsia="zh-CN" w:bidi="ar-SA"/>
        </w:rPr>
        <w:t>家</w:t>
      </w:r>
      <w:r>
        <w:rPr>
          <w:rFonts w:hint="eastAsia" w:ascii="宋体" w:hAnsi="宋体" w:eastAsia="宋体" w:cstheme="minorBidi"/>
          <w:color w:val="auto"/>
          <w:kern w:val="2"/>
          <w:sz w:val="24"/>
          <w:szCs w:val="24"/>
          <w:highlight w:val="none"/>
          <w:lang w:val="en-US" w:eastAsia="zh-CN" w:bidi="ar-SA"/>
        </w:rPr>
        <w:t>，本项目采购失败</w:t>
      </w:r>
      <w:r>
        <w:rPr>
          <w:rFonts w:hint="eastAsia" w:cstheme="minorBidi"/>
          <w:color w:val="auto"/>
          <w:kern w:val="2"/>
          <w:sz w:val="24"/>
          <w:szCs w:val="24"/>
          <w:highlight w:val="none"/>
          <w:lang w:val="en-US" w:eastAsia="zh-CN" w:bidi="ar-SA"/>
        </w:rPr>
        <w:t>。</w:t>
      </w:r>
    </w:p>
    <w:p>
      <w:pPr>
        <w:pStyle w:val="32"/>
        <w:bidi w:val="0"/>
        <w:spacing w:line="520" w:lineRule="exact"/>
        <w:rPr>
          <w:rFonts w:hint="eastAsia"/>
          <w:color w:val="auto"/>
          <w:highlight w:val="none"/>
          <w:lang w:val="en-US" w:eastAsia="zh-CN"/>
        </w:rPr>
      </w:pPr>
      <w:r>
        <w:rPr>
          <w:rFonts w:hint="eastAsia"/>
          <w:color w:val="auto"/>
          <w:highlight w:val="none"/>
          <w:lang w:val="en-US" w:eastAsia="zh-CN"/>
        </w:rPr>
        <w:t>比较与评价</w:t>
      </w:r>
    </w:p>
    <w:p>
      <w:pPr>
        <w:pStyle w:val="46"/>
        <w:bidi w:val="0"/>
        <w:spacing w:line="520" w:lineRule="exact"/>
        <w:rPr>
          <w:rFonts w:hint="eastAsia"/>
          <w:color w:val="auto"/>
          <w:highlight w:val="none"/>
        </w:rPr>
      </w:pPr>
      <w:r>
        <w:rPr>
          <w:rFonts w:hint="eastAsia"/>
          <w:color w:val="auto"/>
          <w:highlight w:val="none"/>
          <w:lang w:val="en-US" w:eastAsia="zh-CN"/>
        </w:rPr>
        <w:t>评标委员会应当按照</w:t>
      </w:r>
      <w:r>
        <w:rPr>
          <w:rFonts w:hint="eastAsia"/>
          <w:color w:val="auto"/>
          <w:highlight w:val="none"/>
        </w:rPr>
        <w:t>招标文件中规定的评标方法和标准，对</w:t>
      </w:r>
      <w:r>
        <w:rPr>
          <w:rFonts w:hint="eastAsia"/>
          <w:color w:val="auto"/>
          <w:highlight w:val="none"/>
          <w:lang w:val="en-US" w:eastAsia="zh-CN"/>
        </w:rPr>
        <w:t>符合性审查合格的</w:t>
      </w:r>
      <w:r>
        <w:rPr>
          <w:rFonts w:hint="eastAsia"/>
          <w:color w:val="auto"/>
          <w:highlight w:val="none"/>
        </w:rPr>
        <w:t>投标文件进行商务</w:t>
      </w:r>
      <w:r>
        <w:rPr>
          <w:rFonts w:hint="eastAsia"/>
          <w:color w:val="auto"/>
          <w:highlight w:val="none"/>
          <w:lang w:val="en-US" w:eastAsia="zh-CN"/>
        </w:rPr>
        <w:t>和技术</w:t>
      </w:r>
      <w:r>
        <w:rPr>
          <w:rFonts w:hint="eastAsia"/>
          <w:color w:val="auto"/>
          <w:highlight w:val="none"/>
        </w:rPr>
        <w:t>评估，综合比较与评价。</w:t>
      </w:r>
    </w:p>
    <w:p>
      <w:pPr>
        <w:pStyle w:val="32"/>
        <w:bidi w:val="0"/>
        <w:spacing w:line="520" w:lineRule="exact"/>
        <w:rPr>
          <w:rFonts w:hint="eastAsia"/>
          <w:color w:val="auto"/>
          <w:highlight w:val="none"/>
          <w:lang w:val="en-US" w:eastAsia="zh-CN"/>
        </w:rPr>
      </w:pPr>
      <w:r>
        <w:rPr>
          <w:rFonts w:hint="eastAsia"/>
          <w:color w:val="auto"/>
          <w:highlight w:val="none"/>
          <w:lang w:val="en-US" w:eastAsia="zh-CN"/>
        </w:rPr>
        <w:t>评标争议处理规则</w:t>
      </w:r>
    </w:p>
    <w:p>
      <w:pPr>
        <w:pStyle w:val="46"/>
        <w:bidi w:val="0"/>
        <w:spacing w:line="520" w:lineRule="exact"/>
        <w:rPr>
          <w:rFonts w:hint="eastAsia"/>
          <w:color w:val="auto"/>
          <w:highlight w:val="none"/>
        </w:rPr>
      </w:pPr>
      <w:r>
        <w:rPr>
          <w:rFonts w:hint="eastAsia"/>
          <w:color w:val="auto"/>
          <w:highlight w:val="none"/>
        </w:rPr>
        <w:t>评标委员会成员在评标过程中，对于符合性</w:t>
      </w:r>
      <w:r>
        <w:rPr>
          <w:rFonts w:hint="eastAsia"/>
          <w:color w:val="auto"/>
          <w:highlight w:val="none"/>
          <w:lang w:val="en-US" w:eastAsia="zh-CN"/>
        </w:rPr>
        <w:t>审</w:t>
      </w:r>
      <w:r>
        <w:rPr>
          <w:rFonts w:hint="eastAsia"/>
          <w:color w:val="auto"/>
          <w:highlight w:val="none"/>
        </w:rPr>
        <w:t>查、对供应商投标文件做无效处理等需要共同认定的事项存在争议的，应当以少数服从多数的原则处理，但不得违背法律法规和招标文件规定。有不同意见的评标委员会成员认为认定过程和结果不符合法律法规或者招标文件规定的，应当及时向招标采购单位书面反映。</w:t>
      </w:r>
    </w:p>
    <w:p>
      <w:pPr>
        <w:pStyle w:val="32"/>
        <w:bidi w:val="0"/>
        <w:spacing w:line="520" w:lineRule="exact"/>
        <w:rPr>
          <w:rFonts w:hint="eastAsia"/>
          <w:color w:val="auto"/>
          <w:highlight w:val="none"/>
          <w:lang w:val="en-US" w:eastAsia="zh-CN"/>
        </w:rPr>
      </w:pPr>
      <w:r>
        <w:rPr>
          <w:rFonts w:hint="eastAsia"/>
          <w:color w:val="auto"/>
          <w:highlight w:val="none"/>
          <w:lang w:val="en-US" w:eastAsia="zh-CN"/>
        </w:rPr>
        <w:t>澄清、说明或者纠正</w:t>
      </w:r>
    </w:p>
    <w:p>
      <w:pPr>
        <w:pStyle w:val="35"/>
        <w:bidi w:val="0"/>
        <w:spacing w:line="520" w:lineRule="exact"/>
        <w:rPr>
          <w:rFonts w:hint="eastAsia"/>
          <w:color w:val="auto"/>
          <w:highlight w:val="none"/>
        </w:rPr>
      </w:pPr>
      <w:r>
        <w:rPr>
          <w:rFonts w:hint="eastAsia"/>
          <w:color w:val="auto"/>
          <w:highlight w:val="none"/>
        </w:rPr>
        <w:t>评标过程中，评标委员会认为招标文件有关事项表述不明确或需要说明的，可以提请</w:t>
      </w:r>
      <w:r>
        <w:rPr>
          <w:rFonts w:hint="eastAsia"/>
          <w:color w:val="auto"/>
          <w:highlight w:val="none"/>
          <w:lang w:val="en-US" w:eastAsia="zh-CN"/>
        </w:rPr>
        <w:t>采购代理机构</w:t>
      </w:r>
      <w:r>
        <w:rPr>
          <w:rFonts w:hint="eastAsia"/>
          <w:color w:val="auto"/>
          <w:highlight w:val="none"/>
        </w:rPr>
        <w:t>书面解释。</w:t>
      </w:r>
      <w:r>
        <w:rPr>
          <w:rFonts w:hint="eastAsia"/>
          <w:color w:val="auto"/>
          <w:highlight w:val="none"/>
          <w:lang w:val="en-US" w:eastAsia="zh-CN"/>
        </w:rPr>
        <w:t>采购代理机构</w:t>
      </w:r>
      <w:r>
        <w:rPr>
          <w:rFonts w:hint="eastAsia"/>
          <w:color w:val="auto"/>
          <w:highlight w:val="none"/>
        </w:rPr>
        <w:t>的解释不得改变招标文件的原义或者影响公平、公正，解释事项如果涉及投标人权益的以有利于投标人的原则进行解释</w:t>
      </w:r>
      <w:r>
        <w:rPr>
          <w:rFonts w:hint="eastAsia"/>
          <w:color w:val="auto"/>
          <w:highlight w:val="none"/>
          <w:lang w:eastAsia="zh-CN"/>
        </w:rPr>
        <w:t>。</w:t>
      </w:r>
    </w:p>
    <w:p>
      <w:pPr>
        <w:pStyle w:val="35"/>
        <w:bidi w:val="0"/>
        <w:spacing w:line="520" w:lineRule="exact"/>
        <w:rPr>
          <w:rFonts w:hint="eastAsia"/>
          <w:color w:val="auto"/>
          <w:highlight w:val="none"/>
        </w:rPr>
      </w:pPr>
      <w:r>
        <w:rPr>
          <w:rFonts w:hint="eastAsia"/>
          <w:color w:val="auto"/>
          <w:highlight w:val="none"/>
        </w:rPr>
        <w:t>在评标过程中，评标委员会对投标文件中含义不明确、同类问题表述不一致或者有明显文字和计算错误的内容，应当以书面形式</w:t>
      </w:r>
      <w:r>
        <w:rPr>
          <w:rFonts w:hint="eastAsia"/>
          <w:color w:val="auto"/>
          <w:highlight w:val="none"/>
          <w:lang w:eastAsia="zh-CN"/>
        </w:rPr>
        <w:t>(</w:t>
      </w:r>
      <w:r>
        <w:rPr>
          <w:rFonts w:hint="eastAsia"/>
          <w:color w:val="auto"/>
          <w:highlight w:val="none"/>
        </w:rPr>
        <w:t>须由评标委员会全体成员签字</w:t>
      </w:r>
      <w:r>
        <w:rPr>
          <w:rFonts w:hint="eastAsia"/>
          <w:color w:val="auto"/>
          <w:highlight w:val="none"/>
          <w:lang w:eastAsia="zh-CN"/>
        </w:rPr>
        <w:t>)</w:t>
      </w:r>
      <w:r>
        <w:rPr>
          <w:rFonts w:hint="eastAsia"/>
          <w:color w:val="auto"/>
          <w:highlight w:val="none"/>
        </w:rPr>
        <w:t>要求供应商作出必要的书面澄清、说明或者纠正，并给予供应商必要的反馈时间。</w:t>
      </w:r>
    </w:p>
    <w:p>
      <w:pPr>
        <w:pStyle w:val="35"/>
        <w:bidi w:val="0"/>
        <w:spacing w:line="520" w:lineRule="exact"/>
        <w:rPr>
          <w:rFonts w:hint="eastAsia"/>
          <w:color w:val="auto"/>
          <w:highlight w:val="none"/>
        </w:rPr>
      </w:pPr>
      <w:r>
        <w:rPr>
          <w:rFonts w:hint="eastAsia"/>
          <w:color w:val="auto"/>
          <w:highlight w:val="none"/>
        </w:rPr>
        <w:t>供应商应当书面澄清、说明或者纠正，并加盖公章或签字确认</w:t>
      </w:r>
      <w:r>
        <w:rPr>
          <w:rFonts w:hint="eastAsia"/>
          <w:color w:val="auto"/>
          <w:highlight w:val="none"/>
          <w:lang w:eastAsia="zh-CN"/>
        </w:rPr>
        <w:t>(</w:t>
      </w:r>
      <w:r>
        <w:rPr>
          <w:rFonts w:hint="eastAsia"/>
          <w:color w:val="auto"/>
          <w:highlight w:val="none"/>
        </w:rPr>
        <w:t>供应商为法人的，应当由其法定代表人或者代理人签字确认；供应商为其他组织的，应当由其主要负责人或者代理人签字确认；供应商为自然人的，应当由其本人或者代理人签字确认</w:t>
      </w:r>
      <w:r>
        <w:rPr>
          <w:rFonts w:hint="eastAsia"/>
          <w:color w:val="auto"/>
          <w:highlight w:val="none"/>
          <w:lang w:eastAsia="zh-CN"/>
        </w:rPr>
        <w:t>)</w:t>
      </w:r>
      <w:r>
        <w:rPr>
          <w:rFonts w:hint="eastAsia"/>
          <w:color w:val="auto"/>
          <w:highlight w:val="none"/>
        </w:rPr>
        <w:t>，否则无效。澄清、说明或者纠正不影响投标文件的效力，有效的澄清、说明或者纠正材料，是投标文件的组成部分。</w:t>
      </w:r>
    </w:p>
    <w:p>
      <w:pPr>
        <w:pStyle w:val="35"/>
        <w:bidi w:val="0"/>
        <w:spacing w:line="520" w:lineRule="exact"/>
        <w:rPr>
          <w:rFonts w:hint="eastAsia"/>
          <w:color w:val="auto"/>
          <w:highlight w:val="none"/>
        </w:rPr>
      </w:pPr>
      <w:r>
        <w:rPr>
          <w:rFonts w:hint="eastAsia"/>
          <w:color w:val="auto"/>
          <w:highlight w:val="none"/>
        </w:rPr>
        <w:t>评标委员会要求供应商澄清、说明或者更正，不得超出招标文件的范围，不得以此让供应商实质改变投标文件的内容，不得影响供应商公平竞争。本项目下列内容不得澄清：</w:t>
      </w:r>
    </w:p>
    <w:p>
      <w:pPr>
        <w:pStyle w:val="36"/>
        <w:bidi w:val="0"/>
        <w:spacing w:line="520" w:lineRule="exact"/>
        <w:rPr>
          <w:rFonts w:hint="eastAsia"/>
          <w:color w:val="auto"/>
          <w:highlight w:val="none"/>
        </w:rPr>
      </w:pPr>
      <w:r>
        <w:rPr>
          <w:rFonts w:hint="eastAsia"/>
          <w:color w:val="auto"/>
          <w:highlight w:val="none"/>
        </w:rPr>
        <w:t>按财政部规定应当在评标时不予承认的投标文件内容事项；</w:t>
      </w:r>
    </w:p>
    <w:p>
      <w:pPr>
        <w:pStyle w:val="36"/>
        <w:bidi w:val="0"/>
        <w:spacing w:line="520" w:lineRule="exact"/>
        <w:rPr>
          <w:rFonts w:hint="eastAsia"/>
          <w:color w:val="auto"/>
          <w:highlight w:val="none"/>
        </w:rPr>
      </w:pPr>
      <w:r>
        <w:rPr>
          <w:rFonts w:hint="eastAsia"/>
          <w:color w:val="auto"/>
          <w:highlight w:val="none"/>
        </w:rPr>
        <w:t>投标文件中已经明确的内容事项；</w:t>
      </w:r>
    </w:p>
    <w:p>
      <w:pPr>
        <w:pStyle w:val="36"/>
        <w:bidi w:val="0"/>
        <w:spacing w:line="520" w:lineRule="exact"/>
        <w:rPr>
          <w:rFonts w:hint="eastAsia"/>
          <w:color w:val="auto"/>
          <w:highlight w:val="none"/>
        </w:rPr>
      </w:pPr>
      <w:r>
        <w:rPr>
          <w:rFonts w:hint="eastAsia"/>
          <w:color w:val="auto"/>
          <w:highlight w:val="none"/>
        </w:rPr>
        <w:t>投标文件未提供的材料。</w:t>
      </w:r>
    </w:p>
    <w:p>
      <w:pPr>
        <w:pStyle w:val="35"/>
        <w:bidi w:val="0"/>
        <w:spacing w:line="520" w:lineRule="exact"/>
        <w:rPr>
          <w:rFonts w:hint="eastAsia"/>
          <w:color w:val="auto"/>
          <w:highlight w:val="none"/>
        </w:rPr>
      </w:pPr>
      <w:r>
        <w:rPr>
          <w:rFonts w:hint="eastAsia"/>
          <w:color w:val="auto"/>
          <w:highlight w:val="none"/>
        </w:rPr>
        <w:t>本项目采购过程中，投标文件出现下列情况的，不需要供应商澄清、说明或者纠正，按照以下原则处理：</w:t>
      </w:r>
    </w:p>
    <w:p>
      <w:pPr>
        <w:pStyle w:val="36"/>
        <w:bidi w:val="0"/>
        <w:spacing w:line="520" w:lineRule="exact"/>
        <w:rPr>
          <w:rFonts w:hint="eastAsia"/>
          <w:color w:val="auto"/>
          <w:highlight w:val="none"/>
        </w:rPr>
      </w:pPr>
      <w:r>
        <w:rPr>
          <w:rFonts w:hint="eastAsia"/>
          <w:color w:val="auto"/>
          <w:highlight w:val="none"/>
        </w:rPr>
        <w:t>投标文件的大写金额和小写金额不一致的，以大写金额为准，但大写金额出现文字错误，导致金额无法判断的除外；</w:t>
      </w:r>
    </w:p>
    <w:p>
      <w:pPr>
        <w:pStyle w:val="36"/>
        <w:bidi w:val="0"/>
        <w:spacing w:line="520" w:lineRule="exact"/>
        <w:rPr>
          <w:rFonts w:hint="eastAsia"/>
          <w:color w:val="auto"/>
          <w:highlight w:val="none"/>
        </w:rPr>
      </w:pPr>
      <w:r>
        <w:rPr>
          <w:rFonts w:hint="eastAsia"/>
          <w:color w:val="auto"/>
          <w:highlight w:val="none"/>
        </w:rPr>
        <w:t>总价金额与按单价汇总金额不一致的，以单价汇总金额计算结果为准，但是单价金额出现计算错误、明显人为工作失误的除外；</w:t>
      </w:r>
    </w:p>
    <w:p>
      <w:pPr>
        <w:pStyle w:val="36"/>
        <w:bidi w:val="0"/>
        <w:spacing w:line="520" w:lineRule="exact"/>
        <w:rPr>
          <w:rFonts w:hint="eastAsia"/>
          <w:color w:val="auto"/>
          <w:highlight w:val="none"/>
        </w:rPr>
      </w:pPr>
      <w:r>
        <w:rPr>
          <w:rFonts w:hint="eastAsia"/>
          <w:color w:val="auto"/>
          <w:highlight w:val="none"/>
        </w:rPr>
        <w:t>单价金额小数点有明显错位的，应以总价为准，并修改单价；</w:t>
      </w:r>
    </w:p>
    <w:p>
      <w:pPr>
        <w:pStyle w:val="36"/>
        <w:bidi w:val="0"/>
        <w:spacing w:line="520" w:lineRule="exact"/>
        <w:rPr>
          <w:rFonts w:hint="eastAsia"/>
          <w:color w:val="auto"/>
          <w:highlight w:val="none"/>
        </w:rPr>
      </w:pPr>
      <w:r>
        <w:rPr>
          <w:rFonts w:hint="eastAsia"/>
          <w:color w:val="auto"/>
          <w:highlight w:val="none"/>
        </w:rPr>
        <w:t>对不同语言文本投标文件的解释发生异议的，以中文文本为准。</w:t>
      </w:r>
    </w:p>
    <w:p>
      <w:pPr>
        <w:pStyle w:val="46"/>
        <w:bidi w:val="0"/>
        <w:spacing w:line="520" w:lineRule="exact"/>
        <w:rPr>
          <w:rFonts w:hint="eastAsia"/>
          <w:color w:val="auto"/>
          <w:highlight w:val="none"/>
        </w:rPr>
      </w:pPr>
      <w:r>
        <w:rPr>
          <w:rFonts w:hint="eastAsia"/>
          <w:color w:val="auto"/>
          <w:highlight w:val="none"/>
        </w:rPr>
        <w:t>出现本条第</w:t>
      </w:r>
      <w:r>
        <w:rPr>
          <w:rFonts w:hint="eastAsia"/>
          <w:color w:val="auto"/>
          <w:highlight w:val="none"/>
          <w:lang w:val="en-US" w:eastAsia="zh-CN"/>
        </w:rPr>
        <w:t>5.2</w:t>
      </w:r>
      <w:r>
        <w:rPr>
          <w:rFonts w:hint="eastAsia"/>
          <w:color w:val="auto"/>
          <w:highlight w:val="none"/>
        </w:rPr>
        <w:t>项规定情形，单价汇总金额比总价金额高，且超过采购预算的，供应商投标文件应作为无效投标处理；单价汇总金额比总价金额高，但未超过采购预算的，应以单价汇总金额作为价格评分依据。</w:t>
      </w:r>
    </w:p>
    <w:p>
      <w:pPr>
        <w:pStyle w:val="47"/>
        <w:bidi w:val="0"/>
        <w:spacing w:line="520" w:lineRule="exact"/>
        <w:rPr>
          <w:rFonts w:hint="eastAsia"/>
          <w:color w:val="auto"/>
          <w:highlight w:val="none"/>
        </w:rPr>
      </w:pPr>
      <w:r>
        <w:rPr>
          <w:rFonts w:hint="eastAsia"/>
          <w:color w:val="auto"/>
          <w:highlight w:val="none"/>
        </w:rPr>
        <w:t>注：评标委员会成员应当积极履行澄清、说明或者纠正的职责，不得将应当澄清、说明或者纠正的投标文件作无效投标处理。</w:t>
      </w:r>
    </w:p>
    <w:p>
      <w:pPr>
        <w:pStyle w:val="32"/>
        <w:bidi w:val="0"/>
        <w:spacing w:line="520" w:lineRule="exact"/>
        <w:rPr>
          <w:rFonts w:hint="eastAsia"/>
          <w:color w:val="auto"/>
          <w:highlight w:val="none"/>
        </w:rPr>
      </w:pPr>
      <w:r>
        <w:rPr>
          <w:rFonts w:hint="eastAsia"/>
          <w:color w:val="auto"/>
          <w:highlight w:val="none"/>
        </w:rPr>
        <w:t>投标文件报价出现前后不一致的，除招标文件另有规定外，按照下列规定修正：</w:t>
      </w:r>
    </w:p>
    <w:p>
      <w:pPr>
        <w:pStyle w:val="35"/>
        <w:bidi w:val="0"/>
        <w:spacing w:line="520" w:lineRule="exact"/>
        <w:rPr>
          <w:rFonts w:hint="eastAsia"/>
          <w:color w:val="auto"/>
          <w:highlight w:val="none"/>
        </w:rPr>
      </w:pPr>
      <w:r>
        <w:rPr>
          <w:rFonts w:hint="eastAsia"/>
          <w:color w:val="auto"/>
          <w:highlight w:val="none"/>
        </w:rPr>
        <w:t>投标文件中开标一览表</w:t>
      </w:r>
      <w:r>
        <w:rPr>
          <w:rFonts w:hint="eastAsia"/>
          <w:color w:val="auto"/>
          <w:highlight w:val="none"/>
          <w:lang w:eastAsia="zh-CN"/>
        </w:rPr>
        <w:t>(</w:t>
      </w:r>
      <w:r>
        <w:rPr>
          <w:rFonts w:hint="eastAsia"/>
          <w:color w:val="auto"/>
          <w:highlight w:val="none"/>
        </w:rPr>
        <w:t>报价表</w:t>
      </w:r>
      <w:r>
        <w:rPr>
          <w:rFonts w:hint="eastAsia"/>
          <w:color w:val="auto"/>
          <w:highlight w:val="none"/>
          <w:lang w:eastAsia="zh-CN"/>
        </w:rPr>
        <w:t>)</w:t>
      </w:r>
      <w:r>
        <w:rPr>
          <w:rFonts w:hint="eastAsia"/>
          <w:color w:val="auto"/>
          <w:highlight w:val="none"/>
        </w:rPr>
        <w:t>内容与投标文件中相应内容不一致的，以开标唱标</w:t>
      </w:r>
      <w:r>
        <w:rPr>
          <w:rFonts w:hint="eastAsia"/>
          <w:color w:val="auto"/>
          <w:highlight w:val="none"/>
          <w:lang w:eastAsia="zh-CN"/>
        </w:rPr>
        <w:t>时</w:t>
      </w:r>
      <w:r>
        <w:rPr>
          <w:rFonts w:hint="eastAsia"/>
          <w:color w:val="auto"/>
          <w:highlight w:val="none"/>
        </w:rPr>
        <w:t>单独提交的开标一览表</w:t>
      </w:r>
      <w:r>
        <w:rPr>
          <w:rFonts w:hint="eastAsia"/>
          <w:color w:val="auto"/>
          <w:highlight w:val="none"/>
          <w:lang w:eastAsia="zh-CN"/>
        </w:rPr>
        <w:t>(</w:t>
      </w:r>
      <w:r>
        <w:rPr>
          <w:rFonts w:hint="eastAsia"/>
          <w:color w:val="auto"/>
          <w:highlight w:val="none"/>
        </w:rPr>
        <w:t>报价表</w:t>
      </w:r>
      <w:r>
        <w:rPr>
          <w:rFonts w:hint="eastAsia"/>
          <w:color w:val="auto"/>
          <w:highlight w:val="none"/>
          <w:lang w:eastAsia="zh-CN"/>
        </w:rPr>
        <w:t>)</w:t>
      </w:r>
      <w:r>
        <w:rPr>
          <w:rFonts w:hint="eastAsia"/>
          <w:color w:val="auto"/>
          <w:highlight w:val="none"/>
        </w:rPr>
        <w:t>为准；</w:t>
      </w:r>
    </w:p>
    <w:p>
      <w:pPr>
        <w:pStyle w:val="35"/>
        <w:bidi w:val="0"/>
        <w:spacing w:line="520" w:lineRule="exact"/>
        <w:rPr>
          <w:rFonts w:hint="eastAsia"/>
          <w:color w:val="auto"/>
          <w:highlight w:val="none"/>
        </w:rPr>
      </w:pPr>
      <w:r>
        <w:rPr>
          <w:rFonts w:hint="eastAsia"/>
          <w:color w:val="auto"/>
          <w:highlight w:val="none"/>
        </w:rPr>
        <w:t>大写金额和小写金额不一致的，以大写金额为准；</w:t>
      </w:r>
    </w:p>
    <w:p>
      <w:pPr>
        <w:pStyle w:val="35"/>
        <w:bidi w:val="0"/>
        <w:spacing w:line="520" w:lineRule="exact"/>
        <w:rPr>
          <w:rFonts w:hint="eastAsia"/>
          <w:color w:val="auto"/>
          <w:highlight w:val="none"/>
        </w:rPr>
      </w:pPr>
      <w:r>
        <w:rPr>
          <w:rFonts w:hint="eastAsia"/>
          <w:color w:val="auto"/>
          <w:highlight w:val="none"/>
        </w:rPr>
        <w:t>单价金额小数点或者百分比有明显错位的，以开标一览表的总价为准，并修改单价；</w:t>
      </w:r>
    </w:p>
    <w:p>
      <w:pPr>
        <w:pStyle w:val="35"/>
        <w:bidi w:val="0"/>
        <w:spacing w:line="520" w:lineRule="exact"/>
        <w:rPr>
          <w:rFonts w:hint="eastAsia"/>
          <w:color w:val="auto"/>
          <w:highlight w:val="none"/>
        </w:rPr>
      </w:pPr>
      <w:r>
        <w:rPr>
          <w:rFonts w:hint="eastAsia"/>
          <w:color w:val="auto"/>
          <w:highlight w:val="none"/>
        </w:rPr>
        <w:t>总价金额与按单价汇总金额不一致的，以单价金额计算结果为准。</w:t>
      </w:r>
    </w:p>
    <w:p>
      <w:pPr>
        <w:pStyle w:val="47"/>
        <w:bidi w:val="0"/>
        <w:spacing w:line="520" w:lineRule="exact"/>
        <w:rPr>
          <w:rFonts w:hint="eastAsia"/>
          <w:color w:val="auto"/>
          <w:highlight w:val="none"/>
          <w:lang w:val="en-US" w:eastAsia="zh-CN"/>
        </w:rPr>
      </w:pPr>
      <w:r>
        <w:rPr>
          <w:rFonts w:hint="eastAsia"/>
          <w:color w:val="auto"/>
          <w:highlight w:val="none"/>
        </w:rPr>
        <w:t>同时出现两种以上不一致的，按照前款规定的顺序修正。修正后的报价</w:t>
      </w:r>
      <w:r>
        <w:rPr>
          <w:rFonts w:hint="eastAsia"/>
          <w:color w:val="auto"/>
          <w:highlight w:val="none"/>
          <w:lang w:val="en-US" w:eastAsia="zh-CN"/>
        </w:rPr>
        <w:t>参照</w:t>
      </w:r>
      <w:r>
        <w:rPr>
          <w:rFonts w:hint="eastAsia"/>
          <w:color w:val="auto"/>
          <w:highlight w:val="none"/>
        </w:rPr>
        <w:t>《政府采购货物和服务招标投标管理办法》</w:t>
      </w:r>
      <w:r>
        <w:rPr>
          <w:rFonts w:hint="eastAsia"/>
          <w:color w:val="auto"/>
          <w:highlight w:val="none"/>
          <w:lang w:eastAsia="zh-CN"/>
        </w:rPr>
        <w:t>(</w:t>
      </w:r>
      <w:r>
        <w:rPr>
          <w:rFonts w:hint="eastAsia"/>
          <w:color w:val="auto"/>
          <w:highlight w:val="none"/>
        </w:rPr>
        <w:t>财政部令第</w:t>
      </w:r>
      <w:r>
        <w:rPr>
          <w:rFonts w:hint="eastAsia"/>
          <w:color w:val="auto"/>
          <w:highlight w:val="none"/>
          <w:lang w:val="en-US" w:eastAsia="zh-CN"/>
        </w:rPr>
        <w:t>87</w:t>
      </w:r>
      <w:r>
        <w:rPr>
          <w:rFonts w:hint="eastAsia"/>
          <w:color w:val="auto"/>
          <w:highlight w:val="none"/>
        </w:rPr>
        <w:t>号</w:t>
      </w:r>
      <w:r>
        <w:rPr>
          <w:rFonts w:hint="eastAsia"/>
          <w:color w:val="auto"/>
          <w:highlight w:val="none"/>
          <w:lang w:eastAsia="zh-CN"/>
        </w:rPr>
        <w:t>)</w:t>
      </w:r>
      <w:r>
        <w:rPr>
          <w:rFonts w:hint="eastAsia"/>
          <w:color w:val="auto"/>
          <w:highlight w:val="none"/>
        </w:rPr>
        <w:t>第五十一条第二款的规定经投标人确认后产生约束力，投标人不确认的，其投标无效。</w:t>
      </w:r>
    </w:p>
    <w:p>
      <w:pPr>
        <w:pStyle w:val="32"/>
        <w:bidi w:val="0"/>
        <w:spacing w:line="520" w:lineRule="exact"/>
        <w:rPr>
          <w:rFonts w:hint="eastAsia"/>
          <w:color w:val="auto"/>
          <w:highlight w:val="none"/>
          <w:lang w:val="en-US" w:eastAsia="zh-CN"/>
        </w:rPr>
      </w:pPr>
      <w:r>
        <w:rPr>
          <w:rFonts w:hint="eastAsia"/>
          <w:color w:val="auto"/>
          <w:highlight w:val="none"/>
          <w:lang w:val="en-US" w:eastAsia="zh-CN"/>
        </w:rPr>
        <w:t>低于成本价投标处理</w:t>
      </w:r>
    </w:p>
    <w:p>
      <w:pPr>
        <w:pStyle w:val="35"/>
        <w:bidi w:val="0"/>
        <w:spacing w:line="520" w:lineRule="exact"/>
        <w:rPr>
          <w:rFonts w:hint="eastAsia"/>
          <w:color w:val="auto"/>
          <w:highlight w:val="none"/>
          <w:lang w:val="en-US" w:eastAsia="zh-CN"/>
        </w:rPr>
      </w:pPr>
      <w:r>
        <w:rPr>
          <w:rFonts w:hint="eastAsia"/>
          <w:color w:val="auto"/>
          <w:highlight w:val="none"/>
          <w:lang w:val="en-US" w:eastAsia="zh-CN"/>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投标人书面说明应当按照国家财务会计制度的规定要求，逐项就投标人提供的货物、工程和服务的主营业务成本(应根据投标供应商企业类型予以区别)、税金及附加、销售费用、管理费用、财务费用等成本构成事项详细陈述[若投标文件未附财务报告的，则还需提供完整的财务状况报告(含三表一附注)]。</w:t>
      </w:r>
    </w:p>
    <w:p>
      <w:pPr>
        <w:pStyle w:val="35"/>
        <w:bidi w:val="0"/>
        <w:spacing w:line="520" w:lineRule="exact"/>
        <w:rPr>
          <w:rFonts w:hint="eastAsia"/>
          <w:color w:val="auto"/>
          <w:highlight w:val="none"/>
          <w:lang w:val="en-US" w:eastAsia="zh-CN"/>
        </w:rPr>
      </w:pPr>
      <w:r>
        <w:rPr>
          <w:rFonts w:hint="eastAsia"/>
          <w:color w:val="auto"/>
          <w:highlight w:val="none"/>
          <w:lang w:val="en-US" w:eastAsia="zh-CN"/>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pPr>
        <w:pStyle w:val="35"/>
        <w:bidi w:val="0"/>
        <w:spacing w:line="520" w:lineRule="exact"/>
        <w:rPr>
          <w:rFonts w:hint="eastAsia"/>
          <w:color w:val="auto"/>
          <w:highlight w:val="none"/>
        </w:rPr>
      </w:pPr>
      <w:r>
        <w:rPr>
          <w:rFonts w:hint="eastAsia"/>
          <w:color w:val="auto"/>
          <w:highlight w:val="none"/>
          <w:lang w:val="en-US" w:eastAsia="zh-CN"/>
        </w:rPr>
        <w:t>投标人提供书面说明后，评标委员会应当结合采购项目采购需求、专业实际情况、投标人财务状况报告、与其他投标人比较情况等就投标人书面说明进行审查评价。投标人拒绝或者变相拒绝(包括未在规定时间内提供的)提供有效书面说明或者书面说明不能证明其报价合理性的，评标委员会应当将其投标文件作为无效处理。</w:t>
      </w:r>
    </w:p>
    <w:p>
      <w:pPr>
        <w:pStyle w:val="34"/>
        <w:numPr>
          <w:ilvl w:val="1"/>
          <w:numId w:val="13"/>
        </w:numPr>
        <w:bidi w:val="0"/>
        <w:spacing w:line="520" w:lineRule="exact"/>
        <w:rPr>
          <w:rFonts w:hint="eastAsia"/>
          <w:color w:val="auto"/>
          <w:highlight w:val="none"/>
        </w:rPr>
      </w:pPr>
      <w:bookmarkStart w:id="1272" w:name="_Toc319439947"/>
      <w:bookmarkStart w:id="1273" w:name="_Toc24909"/>
      <w:bookmarkStart w:id="1274" w:name="_Toc25587"/>
      <w:bookmarkStart w:id="1275" w:name="_Toc23140"/>
      <w:bookmarkStart w:id="1276" w:name="_Toc217446103"/>
      <w:bookmarkStart w:id="1277" w:name="_Toc21397"/>
      <w:bookmarkStart w:id="1278" w:name="_Toc22389"/>
      <w:bookmarkStart w:id="1279" w:name="_Toc24902"/>
      <w:bookmarkStart w:id="1280" w:name="_Toc30417"/>
      <w:bookmarkStart w:id="1281" w:name="_Toc308084646"/>
      <w:bookmarkStart w:id="1282" w:name="_Toc23187"/>
      <w:bookmarkStart w:id="1283" w:name="_Toc307501155"/>
      <w:bookmarkStart w:id="1284" w:name="_Toc1756"/>
      <w:bookmarkStart w:id="1285" w:name="_Toc27402"/>
      <w:bookmarkStart w:id="1286" w:name="_Toc327196342"/>
      <w:bookmarkStart w:id="1287" w:name="_Toc308188199"/>
      <w:bookmarkStart w:id="1288" w:name="_Toc319440191"/>
      <w:bookmarkStart w:id="1289" w:name="_Toc307564897"/>
      <w:bookmarkStart w:id="1290" w:name="_Toc309897564"/>
      <w:bookmarkStart w:id="1291" w:name="_Toc26213"/>
      <w:bookmarkStart w:id="1292" w:name="_Toc1129"/>
      <w:bookmarkStart w:id="1293" w:name="_Toc2106"/>
      <w:r>
        <w:rPr>
          <w:rFonts w:hint="eastAsia"/>
          <w:color w:val="auto"/>
          <w:highlight w:val="none"/>
        </w:rPr>
        <w:t>评标细则及标准</w:t>
      </w:r>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p>
    <w:p>
      <w:pPr>
        <w:pStyle w:val="32"/>
        <w:numPr>
          <w:ilvl w:val="1"/>
          <w:numId w:val="37"/>
        </w:numPr>
        <w:bidi w:val="0"/>
        <w:spacing w:line="520" w:lineRule="exact"/>
        <w:rPr>
          <w:rFonts w:hint="eastAsia"/>
          <w:color w:val="auto"/>
          <w:highlight w:val="none"/>
        </w:rPr>
      </w:pPr>
      <w:r>
        <w:rPr>
          <w:rFonts w:hint="eastAsia"/>
          <w:color w:val="auto"/>
          <w:highlight w:val="none"/>
        </w:rPr>
        <w:t>评委会只对通过</w:t>
      </w:r>
      <w:r>
        <w:rPr>
          <w:rFonts w:hint="eastAsia"/>
          <w:color w:val="auto"/>
          <w:highlight w:val="none"/>
          <w:lang w:val="en-US" w:eastAsia="zh-CN"/>
        </w:rPr>
        <w:t>符合性检查</w:t>
      </w:r>
      <w:r>
        <w:rPr>
          <w:rFonts w:hint="eastAsia"/>
          <w:color w:val="auto"/>
          <w:highlight w:val="none"/>
        </w:rPr>
        <w:t>的投标文件，根据招标文件的要求采用相同的评标程序、评分办法及标准进行评价和比较。</w:t>
      </w:r>
    </w:p>
    <w:p>
      <w:pPr>
        <w:pStyle w:val="32"/>
        <w:numPr>
          <w:ilvl w:val="1"/>
          <w:numId w:val="37"/>
        </w:numPr>
        <w:bidi w:val="0"/>
        <w:spacing w:line="520" w:lineRule="exact"/>
        <w:rPr>
          <w:rFonts w:hint="eastAsia"/>
          <w:color w:val="auto"/>
          <w:highlight w:val="none"/>
        </w:rPr>
      </w:pPr>
      <w:r>
        <w:rPr>
          <w:rFonts w:hint="eastAsia"/>
          <w:color w:val="auto"/>
          <w:highlight w:val="none"/>
        </w:rPr>
        <w:t>本次综合评分的因素是：</w:t>
      </w:r>
      <w:r>
        <w:rPr>
          <w:rFonts w:hint="eastAsia"/>
          <w:color w:val="auto"/>
          <w:highlight w:val="none"/>
          <w:lang w:val="en-US" w:eastAsia="zh-CN"/>
        </w:rPr>
        <w:t>详见“</w:t>
      </w:r>
      <w:r>
        <w:rPr>
          <w:rFonts w:hint="eastAsia"/>
          <w:color w:val="auto"/>
          <w:highlight w:val="none"/>
        </w:rPr>
        <w:t>综合评分明细表</w:t>
      </w:r>
      <w:r>
        <w:rPr>
          <w:rFonts w:hint="eastAsia"/>
          <w:color w:val="auto"/>
          <w:highlight w:val="none"/>
          <w:lang w:val="en-US" w:eastAsia="zh-CN"/>
        </w:rPr>
        <w:t>中的评分因素及权重”。</w:t>
      </w:r>
    </w:p>
    <w:p>
      <w:pPr>
        <w:pStyle w:val="32"/>
        <w:numPr>
          <w:ilvl w:val="1"/>
          <w:numId w:val="37"/>
        </w:numPr>
        <w:bidi w:val="0"/>
        <w:spacing w:line="520" w:lineRule="exact"/>
        <w:rPr>
          <w:rFonts w:hint="eastAsia"/>
          <w:color w:val="auto"/>
          <w:highlight w:val="none"/>
        </w:rPr>
      </w:pPr>
      <w:r>
        <w:rPr>
          <w:rFonts w:hint="eastAsia"/>
          <w:color w:val="auto"/>
          <w:highlight w:val="none"/>
        </w:rPr>
        <w:t>除价格因素外，评标委员会成员应当根据自身专业情况独立对每个有效投标人的投标文件进行评价、打分。采购人代表原则上对技术、与技术有关的服务及其他技术类评分因素独立评分。价格及其他不能明确区分的评分因素由评标委员会成员共同评分。</w:t>
      </w:r>
    </w:p>
    <w:p>
      <w:pPr>
        <w:pStyle w:val="32"/>
        <w:numPr>
          <w:ilvl w:val="1"/>
          <w:numId w:val="37"/>
        </w:numPr>
        <w:bidi w:val="0"/>
        <w:spacing w:line="520" w:lineRule="exact"/>
        <w:rPr>
          <w:rFonts w:hint="eastAsia"/>
          <w:color w:val="auto"/>
          <w:highlight w:val="none"/>
        </w:rPr>
      </w:pPr>
      <w:r>
        <w:rPr>
          <w:rFonts w:hint="eastAsia"/>
          <w:color w:val="auto"/>
          <w:highlight w:val="none"/>
          <w:lang w:val="en-US" w:eastAsia="zh-CN"/>
        </w:rPr>
        <w:t>评审得分计算方法</w:t>
      </w:r>
    </w:p>
    <w:p>
      <w:pPr>
        <w:keepNext w:val="0"/>
        <w:keepLines w:val="0"/>
        <w:pageBreakBefore w:val="0"/>
        <w:widowControl w:val="0"/>
        <w:kinsoku/>
        <w:overflowPunct/>
        <w:autoSpaceDE/>
        <w:autoSpaceDN/>
        <w:bidi w:val="0"/>
        <w:adjustRightInd w:val="0"/>
        <w:snapToGrid w:val="0"/>
        <w:spacing w:line="520" w:lineRule="exact"/>
        <w:ind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评审得分＝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A1＋A2＋……＋An</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/NA＋</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B1＋B2＋……＋Bn</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NB＋</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C1＋C2＋……＋Cn</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NC＋</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D1＋D2＋……＋Dn</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/ND</w:t>
      </w:r>
    </w:p>
    <w:p>
      <w:pPr>
        <w:keepNext w:val="0"/>
        <w:keepLines w:val="0"/>
        <w:pageBreakBefore w:val="0"/>
        <w:widowControl w:val="0"/>
        <w:kinsoku/>
        <w:overflowPunct/>
        <w:autoSpaceDE/>
        <w:autoSpaceDN/>
        <w:bidi w:val="0"/>
        <w:adjustRightInd w:val="0"/>
        <w:snapToGrid w:val="0"/>
        <w:spacing w:line="520" w:lineRule="exact"/>
        <w:ind w:leftChars="0" w:firstLine="480" w:firstLineChars="200"/>
        <w:textAlignment w:val="auto"/>
        <w:rPr>
          <w:rFonts w:hint="eastAsia"/>
          <w:color w:val="auto"/>
          <w:highlight w:val="none"/>
        </w:rPr>
      </w:pPr>
      <w:r>
        <w:rPr>
          <w:rFonts w:hint="eastAsia" w:asciiTheme="minorEastAsia" w:hAnsiTheme="minorEastAsia" w:eastAsiaTheme="minorEastAsia" w:cstheme="minorEastAsia"/>
          <w:color w:val="auto"/>
          <w:sz w:val="24"/>
          <w:szCs w:val="24"/>
          <w:highlight w:val="none"/>
        </w:rPr>
        <w:t>A1、A2……An分别为每个经济类评委</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经济类专家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的打分，NA为经济类评委</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经济类专家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人数；B1、B2＋……Bn 分别为每个技术类评委</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技术类专家和采购人代表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的打分，NB为技术类评委</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技术类专家和采购人代表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人数；C1、C2……Cn 分别为每个政策合同类评委</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法律类专家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的打分，NC为政策合同类评委</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法律类专家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人数；D1、D2……Dn 分别为评审委员会每个成员的打分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共同评分类</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，ND为评审委员会人数</w:t>
      </w:r>
      <w:r>
        <w:rPr>
          <w:rFonts w:hint="eastAsia" w:asciiTheme="minorEastAsia" w:hAnsiTheme="minorEastAsia" w:eastAsiaTheme="minorEastAsia" w:cstheme="minorEastAsia"/>
          <w:color w:val="auto"/>
          <w:sz w:val="24"/>
          <w:szCs w:val="24"/>
          <w:highlight w:val="none"/>
          <w:lang w:eastAsia="zh-CN"/>
        </w:rPr>
        <w:t>。</w:t>
      </w:r>
    </w:p>
    <w:p>
      <w:pPr>
        <w:pStyle w:val="32"/>
        <w:bidi w:val="0"/>
        <w:spacing w:line="520" w:lineRule="exact"/>
        <w:rPr>
          <w:rFonts w:hint="eastAsia"/>
          <w:color w:val="auto"/>
          <w:highlight w:val="none"/>
        </w:rPr>
      </w:pPr>
      <w:r>
        <w:rPr>
          <w:rFonts w:hint="eastAsia"/>
          <w:color w:val="auto"/>
          <w:highlight w:val="none"/>
        </w:rPr>
        <w:t>综合评分明细表</w:t>
      </w:r>
    </w:p>
    <w:p>
      <w:pPr>
        <w:pStyle w:val="35"/>
        <w:bidi w:val="0"/>
        <w:spacing w:line="520" w:lineRule="exact"/>
        <w:rPr>
          <w:rFonts w:hint="eastAsia"/>
          <w:color w:val="auto"/>
          <w:highlight w:val="none"/>
        </w:rPr>
      </w:pPr>
      <w:r>
        <w:rPr>
          <w:rFonts w:hint="eastAsia"/>
          <w:color w:val="auto"/>
          <w:highlight w:val="none"/>
        </w:rPr>
        <w:t>综合评分明细表的制定以科学合理、降低评委会自由裁量权为原则。</w:t>
      </w:r>
    </w:p>
    <w:p>
      <w:pPr>
        <w:pStyle w:val="35"/>
        <w:bidi w:val="0"/>
        <w:spacing w:line="520" w:lineRule="exact"/>
        <w:rPr>
          <w:rFonts w:hint="eastAsia"/>
          <w:color w:val="auto"/>
          <w:highlight w:val="none"/>
        </w:rPr>
      </w:pPr>
      <w:r>
        <w:rPr>
          <w:rFonts w:hint="eastAsia"/>
          <w:color w:val="auto"/>
          <w:highlight w:val="none"/>
        </w:rPr>
        <w:t>综合评分明细表</w:t>
      </w:r>
    </w:p>
    <w:tbl>
      <w:tblPr>
        <w:tblStyle w:val="21"/>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1341"/>
        <w:gridCol w:w="814"/>
        <w:gridCol w:w="6210"/>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 w:type="pct"/>
            <w:vAlign w:val="center"/>
          </w:tcPr>
          <w:p>
            <w:pPr>
              <w:spacing w:line="360" w:lineRule="exact"/>
              <w:jc w:val="center"/>
              <w:rPr>
                <w:rFonts w:cs="宋体"/>
                <w:b/>
                <w:bCs/>
                <w:color w:val="auto"/>
                <w:sz w:val="21"/>
                <w:szCs w:val="21"/>
                <w:highlight w:val="none"/>
              </w:rPr>
            </w:pPr>
            <w:bookmarkStart w:id="1294" w:name="_Hlk98625475"/>
            <w:bookmarkStart w:id="1295" w:name="_Toc13245"/>
            <w:bookmarkStart w:id="1296" w:name="_Toc2682"/>
            <w:bookmarkStart w:id="1297" w:name="_Toc4648"/>
            <w:bookmarkStart w:id="1298" w:name="_Toc21671"/>
            <w:bookmarkStart w:id="1299" w:name="_Toc21363"/>
            <w:bookmarkStart w:id="1300" w:name="_Toc13513"/>
            <w:r>
              <w:rPr>
                <w:rFonts w:hint="eastAsia" w:cs="宋体"/>
                <w:b/>
                <w:bCs/>
                <w:color w:val="auto"/>
                <w:sz w:val="21"/>
                <w:szCs w:val="21"/>
                <w:highlight w:val="none"/>
              </w:rPr>
              <w:t>序号</w:t>
            </w:r>
          </w:p>
        </w:tc>
        <w:tc>
          <w:tcPr>
            <w:tcW w:w="675" w:type="pct"/>
            <w:vAlign w:val="center"/>
          </w:tcPr>
          <w:p>
            <w:pPr>
              <w:spacing w:line="360" w:lineRule="exact"/>
              <w:jc w:val="center"/>
              <w:rPr>
                <w:rFonts w:cs="宋体"/>
                <w:b/>
                <w:bCs/>
                <w:color w:val="auto"/>
                <w:sz w:val="21"/>
                <w:szCs w:val="21"/>
                <w:highlight w:val="none"/>
              </w:rPr>
            </w:pPr>
            <w:r>
              <w:rPr>
                <w:rFonts w:hint="eastAsia" w:cs="宋体"/>
                <w:b/>
                <w:bCs/>
                <w:color w:val="auto"/>
                <w:sz w:val="21"/>
                <w:szCs w:val="21"/>
                <w:highlight w:val="none"/>
              </w:rPr>
              <w:t>评分因素及权重</w:t>
            </w:r>
          </w:p>
        </w:tc>
        <w:tc>
          <w:tcPr>
            <w:tcW w:w="410" w:type="pct"/>
            <w:vAlign w:val="center"/>
          </w:tcPr>
          <w:p>
            <w:pPr>
              <w:spacing w:line="360" w:lineRule="exact"/>
              <w:jc w:val="center"/>
              <w:rPr>
                <w:rFonts w:cs="宋体"/>
                <w:b/>
                <w:bCs/>
                <w:color w:val="auto"/>
                <w:sz w:val="21"/>
                <w:szCs w:val="21"/>
                <w:highlight w:val="none"/>
              </w:rPr>
            </w:pPr>
            <w:r>
              <w:rPr>
                <w:rFonts w:hint="eastAsia" w:cs="宋体"/>
                <w:b/>
                <w:bCs/>
                <w:color w:val="auto"/>
                <w:sz w:val="21"/>
                <w:szCs w:val="21"/>
                <w:highlight w:val="none"/>
              </w:rPr>
              <w:t>分值</w:t>
            </w:r>
          </w:p>
        </w:tc>
        <w:tc>
          <w:tcPr>
            <w:tcW w:w="3127" w:type="pct"/>
            <w:vAlign w:val="center"/>
          </w:tcPr>
          <w:p>
            <w:pPr>
              <w:spacing w:line="360" w:lineRule="exact"/>
              <w:jc w:val="center"/>
              <w:rPr>
                <w:rFonts w:cs="宋体"/>
                <w:b/>
                <w:bCs/>
                <w:color w:val="auto"/>
                <w:sz w:val="21"/>
                <w:szCs w:val="21"/>
                <w:highlight w:val="none"/>
              </w:rPr>
            </w:pPr>
            <w:r>
              <w:rPr>
                <w:rFonts w:hint="eastAsia" w:cs="宋体"/>
                <w:b/>
                <w:bCs/>
                <w:color w:val="auto"/>
                <w:sz w:val="21"/>
                <w:szCs w:val="21"/>
                <w:highlight w:val="none"/>
              </w:rPr>
              <w:t>评分标准</w:t>
            </w:r>
          </w:p>
        </w:tc>
        <w:tc>
          <w:tcPr>
            <w:tcW w:w="469" w:type="pct"/>
            <w:vAlign w:val="center"/>
          </w:tcPr>
          <w:p>
            <w:pPr>
              <w:spacing w:line="360" w:lineRule="exact"/>
              <w:jc w:val="center"/>
              <w:rPr>
                <w:rFonts w:cs="宋体"/>
                <w:b/>
                <w:bCs/>
                <w:color w:val="auto"/>
                <w:sz w:val="21"/>
                <w:szCs w:val="21"/>
                <w:highlight w:val="none"/>
              </w:rPr>
            </w:pPr>
            <w:r>
              <w:rPr>
                <w:rFonts w:hint="eastAsia" w:cs="宋体"/>
                <w:b/>
                <w:bCs/>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317" w:type="pct"/>
            <w:vAlign w:val="center"/>
          </w:tcPr>
          <w:p>
            <w:pPr>
              <w:spacing w:line="360" w:lineRule="exact"/>
              <w:jc w:val="center"/>
              <w:rPr>
                <w:rFonts w:cs="宋体"/>
                <w:color w:val="auto"/>
                <w:sz w:val="21"/>
                <w:szCs w:val="21"/>
                <w:highlight w:val="none"/>
              </w:rPr>
            </w:pPr>
            <w:r>
              <w:rPr>
                <w:rFonts w:hint="eastAsia" w:cs="宋体"/>
                <w:color w:val="auto"/>
                <w:sz w:val="21"/>
                <w:szCs w:val="21"/>
                <w:highlight w:val="none"/>
              </w:rPr>
              <w:t>一</w:t>
            </w:r>
          </w:p>
        </w:tc>
        <w:tc>
          <w:tcPr>
            <w:tcW w:w="675" w:type="pct"/>
            <w:vAlign w:val="center"/>
          </w:tcPr>
          <w:p>
            <w:pPr>
              <w:spacing w:line="360" w:lineRule="exact"/>
              <w:jc w:val="center"/>
              <w:rPr>
                <w:rFonts w:cs="宋体"/>
                <w:color w:val="auto"/>
                <w:sz w:val="21"/>
                <w:szCs w:val="21"/>
                <w:highlight w:val="none"/>
              </w:rPr>
            </w:pPr>
            <w:r>
              <w:rPr>
                <w:rFonts w:hint="eastAsia" w:cs="宋体"/>
                <w:color w:val="auto"/>
                <w:sz w:val="21"/>
                <w:szCs w:val="21"/>
                <w:highlight w:val="none"/>
              </w:rPr>
              <w:t>投标报价</w:t>
            </w:r>
          </w:p>
          <w:p>
            <w:pPr>
              <w:spacing w:line="360" w:lineRule="exact"/>
              <w:jc w:val="center"/>
              <w:rPr>
                <w:rFonts w:cs="宋体"/>
                <w:color w:val="auto"/>
                <w:sz w:val="21"/>
                <w:szCs w:val="21"/>
                <w:highlight w:val="none"/>
              </w:rPr>
            </w:pPr>
            <w:r>
              <w:rPr>
                <w:rFonts w:hint="eastAsia" w:cs="宋体"/>
                <w:color w:val="auto"/>
                <w:sz w:val="21"/>
                <w:szCs w:val="21"/>
                <w:highlight w:val="none"/>
              </w:rPr>
              <w:t>3</w:t>
            </w:r>
            <w:r>
              <w:rPr>
                <w:rFonts w:hint="eastAsia" w:cs="宋体"/>
                <w:color w:val="auto"/>
                <w:sz w:val="21"/>
                <w:szCs w:val="21"/>
                <w:highlight w:val="none"/>
                <w:lang w:val="en-US" w:eastAsia="zh-CN"/>
              </w:rPr>
              <w:t>5</w:t>
            </w:r>
            <w:r>
              <w:rPr>
                <w:rFonts w:hint="eastAsia" w:cs="宋体"/>
                <w:color w:val="auto"/>
                <w:sz w:val="21"/>
                <w:szCs w:val="21"/>
                <w:highlight w:val="none"/>
              </w:rPr>
              <w:t>%</w:t>
            </w:r>
          </w:p>
        </w:tc>
        <w:tc>
          <w:tcPr>
            <w:tcW w:w="410" w:type="pct"/>
            <w:vAlign w:val="center"/>
          </w:tcPr>
          <w:p>
            <w:pPr>
              <w:spacing w:line="360" w:lineRule="exact"/>
              <w:jc w:val="center"/>
              <w:rPr>
                <w:rFonts w:cs="宋体"/>
                <w:color w:val="auto"/>
                <w:sz w:val="21"/>
                <w:szCs w:val="21"/>
                <w:highlight w:val="none"/>
              </w:rPr>
            </w:pPr>
            <w:r>
              <w:rPr>
                <w:rFonts w:hint="eastAsia" w:cs="宋体"/>
                <w:color w:val="auto"/>
                <w:sz w:val="21"/>
                <w:szCs w:val="21"/>
                <w:highlight w:val="none"/>
              </w:rPr>
              <w:t>3</w:t>
            </w:r>
            <w:r>
              <w:rPr>
                <w:rFonts w:hint="eastAsia" w:cs="宋体"/>
                <w:color w:val="auto"/>
                <w:sz w:val="21"/>
                <w:szCs w:val="21"/>
                <w:highlight w:val="none"/>
                <w:lang w:val="en-US" w:eastAsia="zh-CN"/>
              </w:rPr>
              <w:t>5</w:t>
            </w:r>
            <w:r>
              <w:rPr>
                <w:rFonts w:hint="eastAsia" w:cs="宋体"/>
                <w:color w:val="auto"/>
                <w:sz w:val="21"/>
                <w:szCs w:val="21"/>
                <w:highlight w:val="none"/>
              </w:rPr>
              <w:t>分</w:t>
            </w:r>
          </w:p>
        </w:tc>
        <w:tc>
          <w:tcPr>
            <w:tcW w:w="3127" w:type="pct"/>
            <w:vAlign w:val="center"/>
          </w:tcPr>
          <w:p>
            <w:pPr>
              <w:spacing w:line="360" w:lineRule="exact"/>
              <w:rPr>
                <w:rFonts w:cs="宋体"/>
                <w:color w:val="auto"/>
                <w:sz w:val="21"/>
                <w:szCs w:val="21"/>
                <w:highlight w:val="none"/>
              </w:rPr>
            </w:pPr>
            <w:r>
              <w:rPr>
                <w:rFonts w:hint="eastAsia" w:cs="宋体"/>
                <w:color w:val="auto"/>
                <w:sz w:val="21"/>
                <w:szCs w:val="21"/>
                <w:highlight w:val="none"/>
              </w:rPr>
              <w:t>满足招标文件要求且投标价格最低的投标报价为评标基准价，其价格分为满分。其他投标人的价格分统一按照下列公式计算：投标报价得分=(评标基准价／投标报价)×3</w:t>
            </w:r>
            <w:r>
              <w:rPr>
                <w:rFonts w:hint="eastAsia" w:cs="宋体"/>
                <w:color w:val="auto"/>
                <w:sz w:val="21"/>
                <w:szCs w:val="21"/>
                <w:highlight w:val="none"/>
                <w:lang w:val="en-US" w:eastAsia="zh-CN"/>
              </w:rPr>
              <w:t>5</w:t>
            </w:r>
            <w:r>
              <w:rPr>
                <w:rFonts w:hint="eastAsia" w:cs="宋体"/>
                <w:color w:val="auto"/>
                <w:sz w:val="21"/>
                <w:szCs w:val="21"/>
                <w:highlight w:val="none"/>
              </w:rPr>
              <w:t>%×100；</w:t>
            </w:r>
          </w:p>
          <w:p>
            <w:pPr>
              <w:spacing w:line="360" w:lineRule="exact"/>
              <w:rPr>
                <w:rFonts w:cs="宋体"/>
                <w:b/>
                <w:bCs/>
                <w:color w:val="auto"/>
                <w:sz w:val="21"/>
                <w:szCs w:val="21"/>
                <w:highlight w:val="none"/>
              </w:rPr>
            </w:pPr>
            <w:r>
              <w:rPr>
                <w:rFonts w:hint="eastAsia" w:cs="宋体"/>
                <w:b/>
                <w:bCs/>
                <w:color w:val="auto"/>
                <w:sz w:val="21"/>
                <w:szCs w:val="21"/>
                <w:highlight w:val="none"/>
              </w:rPr>
              <w:t>注：1.小微企业(残疾人福利性单位、监狱企业视同小微企业)价格扣除按照本招标文件投标人须知前附表规定执行。</w:t>
            </w:r>
          </w:p>
          <w:p>
            <w:pPr>
              <w:spacing w:line="360" w:lineRule="exact"/>
              <w:rPr>
                <w:rFonts w:cs="宋体"/>
                <w:b/>
                <w:bCs/>
                <w:color w:val="auto"/>
                <w:sz w:val="21"/>
                <w:szCs w:val="21"/>
                <w:highlight w:val="none"/>
              </w:rPr>
            </w:pPr>
            <w:r>
              <w:rPr>
                <w:rFonts w:hint="eastAsia" w:cs="宋体"/>
                <w:b/>
                <w:bCs/>
                <w:color w:val="auto"/>
                <w:sz w:val="21"/>
                <w:szCs w:val="21"/>
                <w:highlight w:val="none"/>
              </w:rPr>
              <w:t>2.评标过程中，不得去掉报价中的最高报价和最低报价。</w:t>
            </w:r>
          </w:p>
          <w:p>
            <w:pPr>
              <w:spacing w:line="360" w:lineRule="exact"/>
              <w:rPr>
                <w:rFonts w:cs="宋体"/>
                <w:color w:val="auto"/>
                <w:sz w:val="21"/>
                <w:szCs w:val="21"/>
                <w:highlight w:val="none"/>
              </w:rPr>
            </w:pPr>
            <w:r>
              <w:rPr>
                <w:rFonts w:hint="eastAsia" w:cs="宋体"/>
                <w:b/>
                <w:bCs/>
                <w:color w:val="auto"/>
                <w:sz w:val="21"/>
                <w:szCs w:val="21"/>
                <w:highlight w:val="none"/>
              </w:rPr>
              <w:t>3.因落实采购政策进行价格调整的，以调整后的价格计算评标基准价和投标报价。</w:t>
            </w:r>
          </w:p>
        </w:tc>
        <w:tc>
          <w:tcPr>
            <w:tcW w:w="469" w:type="pct"/>
            <w:vAlign w:val="center"/>
          </w:tcPr>
          <w:p>
            <w:pPr>
              <w:spacing w:line="360" w:lineRule="exact"/>
              <w:jc w:val="center"/>
              <w:rPr>
                <w:rFonts w:cs="宋体"/>
                <w:color w:val="auto"/>
                <w:sz w:val="21"/>
                <w:szCs w:val="21"/>
                <w:highlight w:val="none"/>
              </w:rPr>
            </w:pPr>
            <w:r>
              <w:rPr>
                <w:rFonts w:hint="eastAsia" w:cs="宋体"/>
                <w:color w:val="auto"/>
                <w:sz w:val="21"/>
                <w:szCs w:val="21"/>
                <w:highlight w:val="none"/>
              </w:rPr>
              <w:t>共同评</w:t>
            </w:r>
          </w:p>
          <w:p>
            <w:pPr>
              <w:spacing w:line="360" w:lineRule="exact"/>
              <w:jc w:val="center"/>
              <w:rPr>
                <w:rFonts w:cs="宋体"/>
                <w:color w:val="auto"/>
                <w:sz w:val="21"/>
                <w:szCs w:val="21"/>
                <w:highlight w:val="none"/>
              </w:rPr>
            </w:pPr>
            <w:r>
              <w:rPr>
                <w:rFonts w:hint="eastAsia" w:cs="宋体"/>
                <w:color w:val="auto"/>
                <w:sz w:val="21"/>
                <w:szCs w:val="21"/>
                <w:highlight w:val="none"/>
              </w:rPr>
              <w:t>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 w:type="pct"/>
            <w:vAlign w:val="center"/>
          </w:tcPr>
          <w:p>
            <w:pPr>
              <w:spacing w:line="360" w:lineRule="exact"/>
              <w:jc w:val="center"/>
              <w:rPr>
                <w:rFonts w:cs="宋体"/>
                <w:color w:val="auto"/>
                <w:sz w:val="21"/>
                <w:szCs w:val="21"/>
                <w:highlight w:val="none"/>
              </w:rPr>
            </w:pPr>
            <w:r>
              <w:rPr>
                <w:rFonts w:hint="eastAsia" w:cs="宋体"/>
                <w:color w:val="auto"/>
                <w:sz w:val="21"/>
                <w:szCs w:val="21"/>
                <w:highlight w:val="none"/>
              </w:rPr>
              <w:t>二</w:t>
            </w:r>
          </w:p>
        </w:tc>
        <w:tc>
          <w:tcPr>
            <w:tcW w:w="675" w:type="pct"/>
            <w:vAlign w:val="center"/>
          </w:tcPr>
          <w:p>
            <w:pPr>
              <w:spacing w:line="360" w:lineRule="exact"/>
              <w:jc w:val="center"/>
              <w:rPr>
                <w:rFonts w:cs="宋体"/>
                <w:color w:val="auto"/>
                <w:sz w:val="21"/>
                <w:szCs w:val="21"/>
                <w:highlight w:val="none"/>
              </w:rPr>
            </w:pPr>
            <w:r>
              <w:rPr>
                <w:rFonts w:hint="eastAsia" w:cs="宋体"/>
                <w:color w:val="auto"/>
                <w:sz w:val="21"/>
                <w:szCs w:val="21"/>
                <w:highlight w:val="none"/>
              </w:rPr>
              <w:t>技术参数及配置要求</w:t>
            </w:r>
          </w:p>
          <w:p>
            <w:pPr>
              <w:spacing w:line="360" w:lineRule="exact"/>
              <w:jc w:val="center"/>
              <w:rPr>
                <w:rFonts w:cs="宋体"/>
                <w:color w:val="auto"/>
                <w:sz w:val="21"/>
                <w:szCs w:val="21"/>
                <w:highlight w:val="none"/>
              </w:rPr>
            </w:pPr>
            <w:r>
              <w:rPr>
                <w:rFonts w:hint="eastAsia" w:cs="宋体"/>
                <w:color w:val="auto"/>
                <w:sz w:val="21"/>
                <w:szCs w:val="21"/>
                <w:highlight w:val="none"/>
                <w:lang w:val="en-US" w:eastAsia="zh-CN"/>
              </w:rPr>
              <w:t>54</w:t>
            </w:r>
            <w:r>
              <w:rPr>
                <w:rFonts w:hint="eastAsia" w:cs="宋体"/>
                <w:color w:val="auto"/>
                <w:sz w:val="21"/>
                <w:szCs w:val="21"/>
                <w:highlight w:val="none"/>
              </w:rPr>
              <w:t>%</w:t>
            </w:r>
          </w:p>
        </w:tc>
        <w:tc>
          <w:tcPr>
            <w:tcW w:w="410" w:type="pct"/>
            <w:vAlign w:val="center"/>
          </w:tcPr>
          <w:p>
            <w:pPr>
              <w:spacing w:line="360" w:lineRule="exact"/>
              <w:jc w:val="center"/>
              <w:rPr>
                <w:rFonts w:cs="宋体"/>
                <w:color w:val="auto"/>
                <w:sz w:val="21"/>
                <w:szCs w:val="21"/>
                <w:highlight w:val="none"/>
              </w:rPr>
            </w:pPr>
            <w:r>
              <w:rPr>
                <w:rFonts w:hint="eastAsia" w:cs="宋体"/>
                <w:color w:val="auto"/>
                <w:sz w:val="21"/>
                <w:szCs w:val="21"/>
                <w:highlight w:val="none"/>
                <w:lang w:val="en-US" w:eastAsia="zh-CN"/>
              </w:rPr>
              <w:t>54</w:t>
            </w:r>
            <w:r>
              <w:rPr>
                <w:rFonts w:hint="eastAsia" w:cs="宋体"/>
                <w:color w:val="auto"/>
                <w:sz w:val="21"/>
                <w:szCs w:val="21"/>
                <w:highlight w:val="none"/>
              </w:rPr>
              <w:t>分</w:t>
            </w:r>
          </w:p>
        </w:tc>
        <w:tc>
          <w:tcPr>
            <w:tcW w:w="3127" w:type="pct"/>
            <w:vAlign w:val="center"/>
          </w:tcPr>
          <w:p>
            <w:pPr>
              <w:keepNext w:val="0"/>
              <w:keepLines w:val="0"/>
              <w:pageBreakBefore w:val="0"/>
              <w:widowControl w:val="0"/>
              <w:kinsoku/>
              <w:overflowPunct/>
              <w:topLinePunct w:val="0"/>
              <w:autoSpaceDE/>
              <w:autoSpaceDN/>
              <w:bidi w:val="0"/>
              <w:spacing w:line="360" w:lineRule="exact"/>
              <w:jc w:val="left"/>
              <w:textAlignment w:val="auto"/>
              <w:outlineLvl w:val="9"/>
              <w:rPr>
                <w:rFonts w:hint="eastAsia" w:ascii="宋体" w:hAnsi="宋体" w:eastAsia="宋体" w:cs="宋体"/>
                <w:bCs/>
                <w:color w:val="auto"/>
                <w:kern w:val="0"/>
                <w:sz w:val="21"/>
                <w:szCs w:val="21"/>
                <w:highlight w:val="none"/>
                <w:lang w:eastAsia="zh-CN" w:bidi="ar"/>
              </w:rPr>
            </w:pPr>
            <w:r>
              <w:rPr>
                <w:rFonts w:hint="eastAsia" w:ascii="宋体" w:hAnsi="宋体" w:eastAsia="宋体" w:cs="宋体"/>
                <w:bCs/>
                <w:color w:val="auto"/>
                <w:kern w:val="0"/>
                <w:sz w:val="21"/>
                <w:szCs w:val="21"/>
                <w:highlight w:val="none"/>
                <w:lang w:bidi="ar"/>
              </w:rPr>
              <w:t>投标人针对招标文件“</w:t>
            </w:r>
            <w:r>
              <w:rPr>
                <w:rFonts w:hint="eastAsia" w:ascii="宋体" w:hAnsi="宋体" w:eastAsia="宋体" w:cs="宋体"/>
                <w:bCs/>
                <w:color w:val="auto"/>
                <w:sz w:val="21"/>
                <w:szCs w:val="21"/>
                <w:highlight w:val="none"/>
                <w:lang w:eastAsia="zh-CN"/>
              </w:rPr>
              <w:t>技术参数及</w:t>
            </w:r>
            <w:r>
              <w:rPr>
                <w:rFonts w:hint="eastAsia" w:ascii="宋体" w:hAnsi="宋体" w:eastAsia="宋体" w:cs="宋体"/>
                <w:bCs/>
                <w:color w:val="auto"/>
                <w:sz w:val="21"/>
                <w:szCs w:val="21"/>
                <w:highlight w:val="none"/>
                <w:lang w:val="en-US" w:eastAsia="zh-CN"/>
              </w:rPr>
              <w:t>功能</w:t>
            </w:r>
            <w:r>
              <w:rPr>
                <w:rFonts w:hint="eastAsia" w:ascii="宋体" w:hAnsi="宋体" w:eastAsia="宋体" w:cs="宋体"/>
                <w:bCs/>
                <w:color w:val="auto"/>
                <w:sz w:val="21"/>
                <w:szCs w:val="21"/>
                <w:highlight w:val="none"/>
                <w:lang w:eastAsia="zh-CN"/>
              </w:rPr>
              <w:t>要求</w:t>
            </w:r>
            <w:r>
              <w:rPr>
                <w:rFonts w:hint="eastAsia" w:ascii="宋体" w:hAnsi="宋体" w:eastAsia="宋体" w:cs="宋体"/>
                <w:bCs/>
                <w:color w:val="auto"/>
                <w:kern w:val="0"/>
                <w:sz w:val="21"/>
                <w:szCs w:val="21"/>
                <w:highlight w:val="none"/>
                <w:lang w:bidi="ar"/>
              </w:rPr>
              <w:t>”中的技术参数条款响应得分规则如下：【①技术参数及要求</w:t>
            </w:r>
            <w:r>
              <w:rPr>
                <w:rFonts w:hint="eastAsia" w:ascii="宋体" w:hAnsi="宋体" w:eastAsia="宋体" w:cs="宋体"/>
                <w:color w:val="auto"/>
                <w:sz w:val="21"/>
                <w:szCs w:val="21"/>
                <w:highlight w:val="none"/>
              </w:rPr>
              <w:t>条款</w:t>
            </w:r>
            <w:r>
              <w:rPr>
                <w:rFonts w:hint="eastAsia" w:ascii="宋体" w:hAnsi="宋体" w:eastAsia="宋体" w:cs="宋体"/>
                <w:bCs/>
                <w:color w:val="auto"/>
                <w:kern w:val="0"/>
                <w:sz w:val="21"/>
                <w:szCs w:val="21"/>
                <w:highlight w:val="none"/>
                <w:lang w:bidi="ar"/>
              </w:rPr>
              <w:t>以序号1、2、3……为单位；②序号中未标注“</w:t>
            </w:r>
            <w:r>
              <w:rPr>
                <w:rFonts w:hint="eastAsia" w:ascii="宋体" w:hAnsi="宋体" w:eastAsia="宋体" w:cs="宋体"/>
                <w:color w:val="auto"/>
                <w:sz w:val="21"/>
                <w:szCs w:val="21"/>
                <w:highlight w:val="none"/>
              </w:rPr>
              <w:t>▲</w:t>
            </w:r>
            <w:r>
              <w:rPr>
                <w:rFonts w:hint="eastAsia" w:ascii="宋体" w:hAnsi="宋体" w:eastAsia="宋体" w:cs="宋体"/>
                <w:bCs/>
                <w:color w:val="auto"/>
                <w:kern w:val="0"/>
                <w:sz w:val="21"/>
                <w:szCs w:val="21"/>
                <w:highlight w:val="none"/>
                <w:lang w:bidi="ar"/>
              </w:rPr>
              <w:t>”的条款，视为</w:t>
            </w:r>
            <w:r>
              <w:rPr>
                <w:rFonts w:hint="eastAsia" w:ascii="宋体" w:hAnsi="宋体" w:eastAsia="宋体" w:cs="宋体"/>
                <w:bCs/>
                <w:color w:val="auto"/>
                <w:kern w:val="0"/>
                <w:sz w:val="21"/>
                <w:szCs w:val="21"/>
                <w:highlight w:val="none"/>
                <w:lang w:val="en-US" w:eastAsia="zh-CN" w:bidi="ar"/>
              </w:rPr>
              <w:t>一般技术指标</w:t>
            </w:r>
            <w:r>
              <w:rPr>
                <w:rFonts w:hint="eastAsia" w:ascii="宋体" w:hAnsi="宋体" w:eastAsia="宋体" w:cs="宋体"/>
                <w:bCs/>
                <w:color w:val="auto"/>
                <w:kern w:val="0"/>
                <w:sz w:val="21"/>
                <w:szCs w:val="21"/>
                <w:highlight w:val="none"/>
                <w:lang w:bidi="ar"/>
              </w:rPr>
              <w:t>条款；③序号中标注“</w:t>
            </w:r>
            <w:r>
              <w:rPr>
                <w:rFonts w:hint="eastAsia" w:ascii="宋体" w:hAnsi="宋体" w:eastAsia="宋体" w:cs="宋体"/>
                <w:color w:val="auto"/>
                <w:sz w:val="21"/>
                <w:szCs w:val="21"/>
                <w:highlight w:val="none"/>
              </w:rPr>
              <w:t>▲</w:t>
            </w:r>
            <w:r>
              <w:rPr>
                <w:rFonts w:hint="eastAsia" w:ascii="宋体" w:hAnsi="宋体" w:eastAsia="宋体" w:cs="宋体"/>
                <w:bCs/>
                <w:color w:val="auto"/>
                <w:kern w:val="0"/>
                <w:sz w:val="21"/>
                <w:szCs w:val="21"/>
                <w:highlight w:val="none"/>
                <w:lang w:bidi="ar"/>
              </w:rPr>
              <w:t>”的条款，视为重要</w:t>
            </w:r>
            <w:r>
              <w:rPr>
                <w:rFonts w:hint="eastAsia" w:ascii="宋体" w:hAnsi="宋体" w:eastAsia="宋体" w:cs="宋体"/>
                <w:bCs/>
                <w:color w:val="auto"/>
                <w:kern w:val="0"/>
                <w:sz w:val="21"/>
                <w:szCs w:val="21"/>
                <w:highlight w:val="none"/>
                <w:lang w:val="en-US" w:eastAsia="zh-CN" w:bidi="ar"/>
              </w:rPr>
              <w:t>指标</w:t>
            </w:r>
            <w:r>
              <w:rPr>
                <w:rFonts w:hint="eastAsia" w:ascii="宋体" w:hAnsi="宋体" w:eastAsia="宋体" w:cs="宋体"/>
                <w:bCs/>
                <w:color w:val="auto"/>
                <w:kern w:val="0"/>
                <w:sz w:val="21"/>
                <w:szCs w:val="21"/>
                <w:highlight w:val="none"/>
                <w:lang w:bidi="ar"/>
              </w:rPr>
              <w:t>条款】</w:t>
            </w:r>
            <w:r>
              <w:rPr>
                <w:rFonts w:hint="eastAsia" w:ascii="宋体" w:hAnsi="宋体" w:eastAsia="宋体" w:cs="宋体"/>
                <w:bCs/>
                <w:color w:val="auto"/>
                <w:kern w:val="0"/>
                <w:sz w:val="21"/>
                <w:szCs w:val="21"/>
                <w:highlight w:val="none"/>
                <w:lang w:eastAsia="zh-CN" w:bidi="ar"/>
              </w:rPr>
              <w:t>。</w:t>
            </w:r>
          </w:p>
          <w:p>
            <w:pPr>
              <w:spacing w:line="360" w:lineRule="exact"/>
              <w:rPr>
                <w:rFonts w:cs="宋体"/>
                <w:color w:val="auto"/>
                <w:sz w:val="21"/>
                <w:szCs w:val="21"/>
                <w:highlight w:val="none"/>
              </w:rPr>
            </w:pPr>
            <w:r>
              <w:rPr>
                <w:rFonts w:hint="eastAsia" w:cs="宋体"/>
                <w:color w:val="auto"/>
                <w:sz w:val="21"/>
                <w:szCs w:val="21"/>
                <w:highlight w:val="none"/>
              </w:rPr>
              <w:t>投标人投标产品的技术参数及功能要求完全满足招标文件要求没有负偏离的得</w:t>
            </w:r>
            <w:r>
              <w:rPr>
                <w:rFonts w:hint="eastAsia" w:cs="宋体"/>
                <w:color w:val="auto"/>
                <w:sz w:val="21"/>
                <w:szCs w:val="21"/>
                <w:highlight w:val="none"/>
                <w:lang w:val="en-US" w:eastAsia="zh-CN"/>
              </w:rPr>
              <w:t>54</w:t>
            </w:r>
            <w:r>
              <w:rPr>
                <w:rFonts w:hint="eastAsia" w:cs="宋体"/>
                <w:color w:val="auto"/>
                <w:sz w:val="21"/>
                <w:szCs w:val="21"/>
                <w:highlight w:val="none"/>
              </w:rPr>
              <w:t>分，带▲号条款(共</w:t>
            </w:r>
            <w:r>
              <w:rPr>
                <w:rFonts w:hint="eastAsia" w:cs="宋体"/>
                <w:color w:val="auto"/>
                <w:sz w:val="21"/>
                <w:szCs w:val="21"/>
                <w:highlight w:val="none"/>
                <w:lang w:val="en-US" w:eastAsia="zh-CN"/>
              </w:rPr>
              <w:t>12</w:t>
            </w:r>
            <w:r>
              <w:rPr>
                <w:rFonts w:hint="eastAsia" w:cs="宋体"/>
                <w:color w:val="auto"/>
                <w:sz w:val="21"/>
                <w:szCs w:val="21"/>
                <w:highlight w:val="none"/>
              </w:rPr>
              <w:t>项)不满足招标文件要求(负偏离)的一项扣</w:t>
            </w:r>
            <w:r>
              <w:rPr>
                <w:rFonts w:hint="eastAsia" w:cs="宋体"/>
                <w:color w:val="auto"/>
                <w:sz w:val="21"/>
                <w:szCs w:val="21"/>
                <w:highlight w:val="none"/>
                <w:lang w:val="en-US" w:eastAsia="zh-CN"/>
              </w:rPr>
              <w:t>3</w:t>
            </w:r>
            <w:r>
              <w:rPr>
                <w:rFonts w:hint="eastAsia" w:cs="宋体"/>
                <w:color w:val="auto"/>
                <w:sz w:val="21"/>
                <w:szCs w:val="21"/>
                <w:highlight w:val="none"/>
              </w:rPr>
              <w:t>分，最多扣</w:t>
            </w:r>
            <w:r>
              <w:rPr>
                <w:rFonts w:hint="eastAsia" w:cs="宋体"/>
                <w:color w:val="auto"/>
                <w:sz w:val="21"/>
                <w:szCs w:val="21"/>
                <w:highlight w:val="none"/>
                <w:lang w:val="en-US" w:eastAsia="zh-CN"/>
              </w:rPr>
              <w:t>36分</w:t>
            </w:r>
            <w:r>
              <w:rPr>
                <w:rFonts w:hint="eastAsia" w:cs="宋体"/>
                <w:color w:val="auto"/>
                <w:sz w:val="21"/>
                <w:szCs w:val="21"/>
                <w:highlight w:val="none"/>
              </w:rPr>
              <w:t>；非带▲号条款</w:t>
            </w:r>
            <w:r>
              <w:rPr>
                <w:rFonts w:hint="eastAsia" w:cs="宋体"/>
                <w:bCs/>
                <w:color w:val="auto"/>
                <w:kern w:val="0"/>
                <w:sz w:val="21"/>
                <w:szCs w:val="21"/>
                <w:highlight w:val="none"/>
                <w:lang w:bidi="ar"/>
              </w:rPr>
              <w:t>(共</w:t>
            </w:r>
            <w:r>
              <w:rPr>
                <w:rFonts w:hint="eastAsia" w:cs="宋体"/>
                <w:bCs/>
                <w:color w:val="auto"/>
                <w:kern w:val="0"/>
                <w:sz w:val="21"/>
                <w:szCs w:val="21"/>
                <w:highlight w:val="none"/>
                <w:lang w:val="en-US" w:eastAsia="zh-CN" w:bidi="ar"/>
              </w:rPr>
              <w:t>60</w:t>
            </w:r>
            <w:r>
              <w:rPr>
                <w:rFonts w:hint="eastAsia" w:cs="宋体"/>
                <w:bCs/>
                <w:color w:val="auto"/>
                <w:kern w:val="0"/>
                <w:sz w:val="21"/>
                <w:szCs w:val="21"/>
                <w:highlight w:val="none"/>
                <w:lang w:bidi="ar"/>
              </w:rPr>
              <w:t>项)</w:t>
            </w:r>
            <w:r>
              <w:rPr>
                <w:rFonts w:hint="eastAsia" w:cs="宋体"/>
                <w:color w:val="auto"/>
                <w:sz w:val="21"/>
                <w:szCs w:val="21"/>
                <w:highlight w:val="none"/>
              </w:rPr>
              <w:t>不满足招标文件要求(负偏离)的一项扣0.</w:t>
            </w:r>
            <w:r>
              <w:rPr>
                <w:rFonts w:hint="eastAsia" w:cs="宋体"/>
                <w:color w:val="auto"/>
                <w:sz w:val="21"/>
                <w:szCs w:val="21"/>
                <w:highlight w:val="none"/>
                <w:lang w:val="en-US" w:eastAsia="zh-CN"/>
              </w:rPr>
              <w:t>3</w:t>
            </w:r>
            <w:r>
              <w:rPr>
                <w:rFonts w:hint="eastAsia" w:cs="宋体"/>
                <w:color w:val="auto"/>
                <w:sz w:val="21"/>
                <w:szCs w:val="21"/>
                <w:highlight w:val="none"/>
              </w:rPr>
              <w:t>分，最多扣</w:t>
            </w:r>
            <w:r>
              <w:rPr>
                <w:rFonts w:hint="eastAsia" w:cs="宋体"/>
                <w:color w:val="auto"/>
                <w:sz w:val="21"/>
                <w:szCs w:val="21"/>
                <w:highlight w:val="none"/>
                <w:lang w:val="en-US" w:eastAsia="zh-CN"/>
              </w:rPr>
              <w:t>18</w:t>
            </w:r>
            <w:r>
              <w:rPr>
                <w:rFonts w:hint="eastAsia" w:cs="宋体"/>
                <w:color w:val="auto"/>
                <w:sz w:val="21"/>
                <w:szCs w:val="21"/>
                <w:highlight w:val="none"/>
              </w:rPr>
              <w:t>分。扣完为止。</w:t>
            </w:r>
          </w:p>
          <w:p>
            <w:pPr>
              <w:keepNext w:val="0"/>
              <w:keepLines w:val="0"/>
              <w:pageBreakBefore w:val="0"/>
              <w:widowControl w:val="0"/>
              <w:kinsoku/>
              <w:overflowPunct/>
              <w:topLinePunct w:val="0"/>
              <w:autoSpaceDE/>
              <w:autoSpaceDN/>
              <w:bidi w:val="0"/>
              <w:spacing w:line="360" w:lineRule="exact"/>
              <w:textAlignment w:val="auto"/>
              <w:outlineLvl w:val="9"/>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sz w:val="21"/>
                <w:szCs w:val="21"/>
                <w:highlight w:val="none"/>
              </w:rPr>
              <w:t>说明：①</w:t>
            </w:r>
            <w:r>
              <w:rPr>
                <w:rFonts w:hint="eastAsia" w:ascii="宋体" w:hAnsi="宋体" w:eastAsia="宋体" w:cs="宋体"/>
                <w:b/>
                <w:bCs/>
                <w:color w:val="auto"/>
                <w:kern w:val="0"/>
                <w:sz w:val="21"/>
                <w:szCs w:val="21"/>
                <w:highlight w:val="none"/>
                <w:lang w:bidi="ar"/>
              </w:rPr>
              <w:t>标注“</w:t>
            </w: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0"/>
                <w:sz w:val="21"/>
                <w:szCs w:val="21"/>
                <w:highlight w:val="none"/>
                <w:lang w:bidi="ar"/>
              </w:rPr>
              <w:t>”的条款共</w:t>
            </w:r>
            <w:r>
              <w:rPr>
                <w:rFonts w:hint="eastAsia" w:cs="宋体"/>
                <w:b/>
                <w:bCs/>
                <w:color w:val="auto"/>
                <w:kern w:val="0"/>
                <w:sz w:val="21"/>
                <w:szCs w:val="21"/>
                <w:highlight w:val="none"/>
                <w:lang w:val="en-US" w:eastAsia="zh-CN" w:bidi="ar"/>
              </w:rPr>
              <w:t>12</w:t>
            </w:r>
            <w:r>
              <w:rPr>
                <w:rFonts w:hint="eastAsia" w:ascii="宋体" w:hAnsi="宋体" w:eastAsia="宋体" w:cs="宋体"/>
                <w:b/>
                <w:bCs/>
                <w:color w:val="auto"/>
                <w:kern w:val="0"/>
                <w:sz w:val="21"/>
                <w:szCs w:val="21"/>
                <w:highlight w:val="none"/>
                <w:lang w:bidi="ar"/>
              </w:rPr>
              <w:t>条，未标注“</w:t>
            </w: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0"/>
                <w:sz w:val="21"/>
                <w:szCs w:val="21"/>
                <w:highlight w:val="none"/>
                <w:lang w:bidi="ar"/>
              </w:rPr>
              <w:t>”的条款共</w:t>
            </w:r>
            <w:r>
              <w:rPr>
                <w:rFonts w:hint="eastAsia" w:cs="宋体"/>
                <w:b/>
                <w:bCs/>
                <w:color w:val="auto"/>
                <w:sz w:val="21"/>
                <w:szCs w:val="21"/>
                <w:highlight w:val="none"/>
                <w:lang w:val="en-US" w:eastAsia="zh-CN"/>
              </w:rPr>
              <w:t>60</w:t>
            </w:r>
            <w:r>
              <w:rPr>
                <w:rFonts w:hint="eastAsia" w:ascii="宋体" w:hAnsi="宋体" w:eastAsia="宋体" w:cs="宋体"/>
                <w:b/>
                <w:bCs/>
                <w:color w:val="auto"/>
                <w:kern w:val="0"/>
                <w:sz w:val="21"/>
                <w:szCs w:val="21"/>
                <w:highlight w:val="none"/>
                <w:lang w:bidi="ar"/>
              </w:rPr>
              <w:t>项。</w:t>
            </w:r>
          </w:p>
          <w:p>
            <w:pPr>
              <w:pStyle w:val="27"/>
              <w:keepNext w:val="0"/>
              <w:keepLines w:val="0"/>
              <w:spacing w:before="0" w:after="0" w:line="360" w:lineRule="exact"/>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②</w:t>
            </w:r>
            <w:r>
              <w:rPr>
                <w:rFonts w:hint="eastAsia" w:ascii="宋体" w:hAnsi="宋体" w:eastAsia="宋体" w:cs="宋体"/>
                <w:b/>
                <w:bCs/>
                <w:color w:val="auto"/>
                <w:kern w:val="0"/>
                <w:sz w:val="21"/>
                <w:szCs w:val="21"/>
                <w:highlight w:val="none"/>
                <w:lang w:bidi="ar"/>
              </w:rPr>
              <w:t>标注“</w:t>
            </w: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0"/>
                <w:sz w:val="21"/>
                <w:szCs w:val="21"/>
                <w:highlight w:val="none"/>
                <w:lang w:bidi="ar"/>
              </w:rPr>
              <w:t>”的条款</w:t>
            </w:r>
            <w:r>
              <w:rPr>
                <w:rFonts w:hint="eastAsia" w:ascii="宋体" w:hAnsi="宋体" w:eastAsia="宋体" w:cs="宋体"/>
                <w:b/>
                <w:bCs/>
                <w:color w:val="auto"/>
                <w:sz w:val="21"/>
                <w:szCs w:val="21"/>
                <w:highlight w:val="none"/>
              </w:rPr>
              <w:t>投标人</w:t>
            </w:r>
            <w:r>
              <w:rPr>
                <w:rFonts w:hint="eastAsia" w:ascii="宋体" w:hAnsi="宋体" w:eastAsia="宋体" w:cs="宋体"/>
                <w:b/>
                <w:bCs/>
                <w:color w:val="auto"/>
                <w:sz w:val="21"/>
                <w:szCs w:val="21"/>
                <w:highlight w:val="none"/>
                <w:lang w:val="en-US" w:eastAsia="zh-CN"/>
              </w:rPr>
              <w:t>应按照招标文件“技术参数及功能要求”要求</w:t>
            </w:r>
            <w:r>
              <w:rPr>
                <w:rFonts w:hint="eastAsia" w:ascii="宋体" w:hAnsi="宋体" w:eastAsia="宋体" w:cs="宋体"/>
                <w:b/>
                <w:bCs/>
                <w:color w:val="auto"/>
                <w:sz w:val="21"/>
                <w:szCs w:val="21"/>
                <w:highlight w:val="none"/>
              </w:rPr>
              <w:t>提供技术支撑材料，否则对应技术参数条款将视为不满足</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未要求的以投标人“技术参数应答表”响应为准</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rPr>
              <w:br w:type="textWrapping"/>
            </w:r>
            <w:r>
              <w:rPr>
                <w:rFonts w:hint="eastAsia" w:ascii="宋体" w:hAnsi="宋体" w:eastAsia="宋体" w:cs="宋体"/>
                <w:b/>
                <w:bCs/>
                <w:color w:val="auto"/>
                <w:sz w:val="21"/>
                <w:szCs w:val="21"/>
                <w:highlight w:val="none"/>
              </w:rPr>
              <w:t>③未</w:t>
            </w:r>
            <w:r>
              <w:rPr>
                <w:rFonts w:hint="eastAsia" w:ascii="宋体" w:hAnsi="宋体" w:eastAsia="宋体" w:cs="宋体"/>
                <w:b/>
                <w:bCs/>
                <w:color w:val="auto"/>
                <w:kern w:val="0"/>
                <w:sz w:val="21"/>
                <w:szCs w:val="21"/>
                <w:highlight w:val="none"/>
                <w:lang w:bidi="ar"/>
              </w:rPr>
              <w:t>标注“</w:t>
            </w: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0"/>
                <w:sz w:val="21"/>
                <w:szCs w:val="21"/>
                <w:highlight w:val="none"/>
                <w:lang w:bidi="ar"/>
              </w:rPr>
              <w:t>”的条款</w:t>
            </w:r>
            <w:r>
              <w:rPr>
                <w:rFonts w:hint="eastAsia" w:ascii="宋体" w:hAnsi="宋体" w:eastAsia="宋体" w:cs="宋体"/>
                <w:b/>
                <w:bCs/>
                <w:color w:val="auto"/>
                <w:sz w:val="21"/>
                <w:szCs w:val="21"/>
                <w:highlight w:val="none"/>
              </w:rPr>
              <w:t>如果</w:t>
            </w:r>
            <w:r>
              <w:rPr>
                <w:rFonts w:hint="eastAsia" w:ascii="宋体" w:hAnsi="宋体" w:eastAsia="宋体" w:cs="宋体"/>
                <w:b/>
                <w:bCs/>
                <w:color w:val="auto"/>
                <w:kern w:val="0"/>
                <w:sz w:val="21"/>
                <w:szCs w:val="21"/>
                <w:highlight w:val="none"/>
                <w:lang w:bidi="ar"/>
              </w:rPr>
              <w:t>招标文件“技术参数及要求”</w:t>
            </w:r>
            <w:r>
              <w:rPr>
                <w:rFonts w:hint="eastAsia" w:ascii="宋体" w:hAnsi="宋体" w:eastAsia="宋体" w:cs="宋体"/>
                <w:b/>
                <w:bCs/>
                <w:color w:val="auto"/>
                <w:sz w:val="21"/>
                <w:szCs w:val="21"/>
                <w:highlight w:val="none"/>
              </w:rPr>
              <w:t>对技术支撑材料有要求，应按要求提供，否则对应技术参数条款将视为不满足</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未要求的以投标人“技术参数应答表”响应为准</w:t>
            </w:r>
            <w:r>
              <w:rPr>
                <w:rFonts w:hint="eastAsia" w:ascii="宋体" w:hAnsi="宋体" w:eastAsia="宋体" w:cs="宋体"/>
                <w:b/>
                <w:bCs/>
                <w:color w:val="auto"/>
                <w:sz w:val="21"/>
                <w:szCs w:val="21"/>
                <w:highlight w:val="none"/>
              </w:rPr>
              <w:t>。</w:t>
            </w:r>
          </w:p>
        </w:tc>
        <w:tc>
          <w:tcPr>
            <w:tcW w:w="469" w:type="pct"/>
            <w:vAlign w:val="center"/>
          </w:tcPr>
          <w:p>
            <w:pPr>
              <w:spacing w:line="360" w:lineRule="exact"/>
              <w:jc w:val="center"/>
              <w:rPr>
                <w:rFonts w:cs="宋体"/>
                <w:color w:val="auto"/>
                <w:sz w:val="21"/>
                <w:szCs w:val="21"/>
                <w:highlight w:val="none"/>
              </w:rPr>
            </w:pPr>
            <w:r>
              <w:rPr>
                <w:rFonts w:hint="eastAsia" w:cs="宋体"/>
                <w:color w:val="auto"/>
                <w:sz w:val="21"/>
                <w:szCs w:val="21"/>
                <w:highlight w:val="none"/>
              </w:rPr>
              <w:t>技术评</w:t>
            </w:r>
          </w:p>
          <w:p>
            <w:pPr>
              <w:spacing w:line="360" w:lineRule="exact"/>
              <w:jc w:val="center"/>
              <w:rPr>
                <w:rFonts w:cs="宋体"/>
                <w:color w:val="auto"/>
                <w:sz w:val="21"/>
                <w:szCs w:val="21"/>
                <w:highlight w:val="none"/>
              </w:rPr>
            </w:pPr>
            <w:r>
              <w:rPr>
                <w:rFonts w:hint="eastAsia" w:cs="宋体"/>
                <w:color w:val="auto"/>
                <w:sz w:val="21"/>
                <w:szCs w:val="21"/>
                <w:highlight w:val="none"/>
              </w:rPr>
              <w:t>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317" w:type="pct"/>
            <w:vAlign w:val="center"/>
          </w:tcPr>
          <w:p>
            <w:pPr>
              <w:spacing w:line="360" w:lineRule="exact"/>
              <w:rPr>
                <w:rFonts w:hint="eastAsia" w:eastAsia="宋体" w:cs="宋体"/>
                <w:color w:val="auto"/>
                <w:sz w:val="21"/>
                <w:szCs w:val="21"/>
                <w:highlight w:val="none"/>
                <w:lang w:eastAsia="zh-CN"/>
              </w:rPr>
            </w:pPr>
            <w:r>
              <w:rPr>
                <w:rFonts w:hint="eastAsia" w:cs="宋体"/>
                <w:color w:val="auto"/>
                <w:sz w:val="21"/>
                <w:szCs w:val="21"/>
                <w:highlight w:val="none"/>
              </w:rPr>
              <w:t xml:space="preserve"> </w:t>
            </w:r>
            <w:r>
              <w:rPr>
                <w:rFonts w:hint="eastAsia" w:cs="宋体"/>
                <w:color w:val="auto"/>
                <w:sz w:val="21"/>
                <w:szCs w:val="21"/>
                <w:highlight w:val="none"/>
                <w:lang w:val="en-US" w:eastAsia="zh-CN"/>
              </w:rPr>
              <w:t>三</w:t>
            </w:r>
          </w:p>
        </w:tc>
        <w:tc>
          <w:tcPr>
            <w:tcW w:w="675" w:type="pct"/>
            <w:vAlign w:val="center"/>
          </w:tcPr>
          <w:p>
            <w:pPr>
              <w:spacing w:line="360" w:lineRule="exact"/>
              <w:jc w:val="center"/>
              <w:rPr>
                <w:rFonts w:hint="eastAsia" w:cs="宋体"/>
                <w:color w:val="auto"/>
                <w:sz w:val="21"/>
                <w:szCs w:val="21"/>
                <w:highlight w:val="none"/>
                <w:lang w:val="en-US" w:eastAsia="zh-CN"/>
              </w:rPr>
            </w:pPr>
            <w:r>
              <w:rPr>
                <w:rFonts w:hint="eastAsia" w:cs="宋体"/>
                <w:color w:val="auto"/>
                <w:sz w:val="21"/>
                <w:szCs w:val="21"/>
                <w:highlight w:val="none"/>
                <w:lang w:val="en-US" w:eastAsia="zh-CN"/>
              </w:rPr>
              <w:t>项目实施</w:t>
            </w:r>
          </w:p>
          <w:p>
            <w:pPr>
              <w:spacing w:line="360" w:lineRule="exact"/>
              <w:jc w:val="center"/>
              <w:rPr>
                <w:rFonts w:hint="eastAsia" w:cs="宋体"/>
                <w:color w:val="auto"/>
                <w:sz w:val="21"/>
                <w:szCs w:val="21"/>
                <w:highlight w:val="none"/>
                <w:lang w:val="en-US" w:eastAsia="zh-CN"/>
              </w:rPr>
            </w:pPr>
            <w:r>
              <w:rPr>
                <w:rFonts w:hint="eastAsia" w:cs="宋体"/>
                <w:color w:val="auto"/>
                <w:sz w:val="21"/>
                <w:szCs w:val="21"/>
                <w:highlight w:val="none"/>
                <w:lang w:val="en-US" w:eastAsia="zh-CN"/>
              </w:rPr>
              <w:t>方案</w:t>
            </w:r>
          </w:p>
          <w:p>
            <w:pPr>
              <w:spacing w:line="360" w:lineRule="exact"/>
              <w:jc w:val="center"/>
              <w:rPr>
                <w:rFonts w:cs="宋体"/>
                <w:color w:val="auto"/>
                <w:sz w:val="21"/>
                <w:szCs w:val="21"/>
                <w:highlight w:val="none"/>
              </w:rPr>
            </w:pPr>
            <w:r>
              <w:rPr>
                <w:rFonts w:hint="eastAsia" w:cs="宋体"/>
                <w:color w:val="auto"/>
                <w:sz w:val="21"/>
                <w:szCs w:val="21"/>
                <w:highlight w:val="none"/>
                <w:lang w:val="en-US" w:eastAsia="zh-CN"/>
              </w:rPr>
              <w:t>4</w:t>
            </w:r>
            <w:r>
              <w:rPr>
                <w:rFonts w:hint="eastAsia" w:cs="宋体"/>
                <w:color w:val="auto"/>
                <w:sz w:val="21"/>
                <w:szCs w:val="21"/>
                <w:highlight w:val="none"/>
              </w:rPr>
              <w:t>%</w:t>
            </w:r>
          </w:p>
        </w:tc>
        <w:tc>
          <w:tcPr>
            <w:tcW w:w="410" w:type="pct"/>
            <w:vAlign w:val="center"/>
          </w:tcPr>
          <w:p>
            <w:pPr>
              <w:spacing w:line="360" w:lineRule="exact"/>
              <w:jc w:val="center"/>
              <w:rPr>
                <w:rFonts w:cs="宋体"/>
                <w:color w:val="auto"/>
                <w:sz w:val="21"/>
                <w:szCs w:val="21"/>
                <w:highlight w:val="none"/>
              </w:rPr>
            </w:pPr>
            <w:r>
              <w:rPr>
                <w:rFonts w:hint="eastAsia" w:cs="宋体"/>
                <w:color w:val="auto"/>
                <w:sz w:val="21"/>
                <w:szCs w:val="21"/>
                <w:highlight w:val="none"/>
                <w:lang w:val="en-US" w:eastAsia="zh-CN"/>
              </w:rPr>
              <w:t>4</w:t>
            </w:r>
            <w:r>
              <w:rPr>
                <w:rFonts w:hint="eastAsia" w:cs="宋体"/>
                <w:color w:val="auto"/>
                <w:sz w:val="21"/>
                <w:szCs w:val="21"/>
                <w:highlight w:val="none"/>
              </w:rPr>
              <w:t>分</w:t>
            </w:r>
          </w:p>
        </w:tc>
        <w:tc>
          <w:tcPr>
            <w:tcW w:w="3127" w:type="pct"/>
            <w:vAlign w:val="center"/>
          </w:tcPr>
          <w:p>
            <w:pPr>
              <w:spacing w:line="360" w:lineRule="exact"/>
              <w:rPr>
                <w:rFonts w:hint="eastAsia" w:eastAsia="宋体" w:cs="宋体"/>
                <w:strike w:val="0"/>
                <w:dstrike w:val="0"/>
                <w:color w:val="auto"/>
                <w:sz w:val="21"/>
                <w:szCs w:val="21"/>
                <w:highlight w:val="none"/>
                <w:u w:val="none"/>
                <w:lang w:val="en-US" w:eastAsia="zh-CN"/>
              </w:rPr>
            </w:pPr>
            <w:r>
              <w:rPr>
                <w:rFonts w:hint="eastAsia" w:cs="宋体"/>
                <w:color w:val="auto"/>
                <w:sz w:val="21"/>
                <w:szCs w:val="21"/>
                <w:highlight w:val="none"/>
              </w:rPr>
              <w:t>投标人根据招标文件第六章要求，提供针对本项目的</w:t>
            </w:r>
            <w:bookmarkStart w:id="1301" w:name="_Hlk126537781"/>
            <w:r>
              <w:rPr>
                <w:rFonts w:hint="eastAsia" w:cs="宋体"/>
                <w:color w:val="auto"/>
                <w:sz w:val="21"/>
                <w:szCs w:val="21"/>
                <w:highlight w:val="none"/>
              </w:rPr>
              <w:t>技术服务水平，内</w:t>
            </w:r>
            <w:r>
              <w:rPr>
                <w:rFonts w:hint="eastAsia" w:cs="宋体"/>
                <w:strike w:val="0"/>
                <w:dstrike w:val="0"/>
                <w:color w:val="auto"/>
                <w:sz w:val="21"/>
                <w:szCs w:val="21"/>
                <w:highlight w:val="none"/>
                <w:u w:val="none"/>
              </w:rPr>
              <w:t>容至少包含</w:t>
            </w:r>
            <w:r>
              <w:rPr>
                <w:rFonts w:hint="eastAsia" w:cs="宋体"/>
                <w:strike w:val="0"/>
                <w:dstrike w:val="0"/>
                <w:color w:val="auto"/>
                <w:sz w:val="21"/>
                <w:szCs w:val="21"/>
                <w:highlight w:val="none"/>
                <w:u w:val="none"/>
                <w:lang w:val="en-US" w:eastAsia="zh-CN"/>
              </w:rPr>
              <w:t>①项目总体计划、②项目进度保障、③应急处理措施、④项目培训方案</w:t>
            </w:r>
            <w:r>
              <w:rPr>
                <w:rFonts w:hint="eastAsia" w:cs="宋体"/>
                <w:strike w:val="0"/>
                <w:dstrike w:val="0"/>
                <w:color w:val="auto"/>
                <w:sz w:val="21"/>
                <w:szCs w:val="21"/>
                <w:highlight w:val="none"/>
                <w:u w:val="none"/>
              </w:rPr>
              <w:t>等</w:t>
            </w:r>
            <w:r>
              <w:rPr>
                <w:rFonts w:hint="eastAsia" w:cs="宋体"/>
                <w:strike w:val="0"/>
                <w:dstrike w:val="0"/>
                <w:color w:val="auto"/>
                <w:sz w:val="21"/>
                <w:szCs w:val="21"/>
                <w:highlight w:val="none"/>
                <w:u w:val="none"/>
                <w:lang w:val="en-US" w:eastAsia="zh-CN"/>
              </w:rPr>
              <w:t>四</w:t>
            </w:r>
            <w:r>
              <w:rPr>
                <w:rFonts w:hint="eastAsia" w:cs="宋体"/>
                <w:strike w:val="0"/>
                <w:dstrike w:val="0"/>
                <w:color w:val="auto"/>
                <w:sz w:val="21"/>
                <w:szCs w:val="21"/>
                <w:highlight w:val="none"/>
                <w:u w:val="none"/>
              </w:rPr>
              <w:t>个方面</w:t>
            </w:r>
            <w:bookmarkEnd w:id="1301"/>
            <w:r>
              <w:rPr>
                <w:rFonts w:hint="eastAsia" w:cs="宋体"/>
                <w:strike w:val="0"/>
                <w:dstrike w:val="0"/>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jc w:val="left"/>
              <w:textAlignment w:val="auto"/>
              <w:outlineLvl w:val="9"/>
              <w:rPr>
                <w:rFonts w:hint="eastAsia" w:ascii="宋体" w:hAnsi="宋体" w:eastAsia="宋体" w:cs="宋体"/>
                <w:strike w:val="0"/>
                <w:dstrike w:val="0"/>
                <w:snapToGrid w:val="0"/>
                <w:color w:val="auto"/>
                <w:kern w:val="2"/>
                <w:sz w:val="21"/>
                <w:szCs w:val="21"/>
                <w:highlight w:val="none"/>
                <w:u w:val="none"/>
                <w:lang w:val="en-US" w:eastAsia="zh-CN" w:bidi="ar-SA"/>
              </w:rPr>
            </w:pPr>
            <w:r>
              <w:rPr>
                <w:rFonts w:hint="eastAsia" w:ascii="宋体" w:hAnsi="宋体" w:eastAsia="宋体" w:cs="宋体"/>
                <w:strike w:val="0"/>
                <w:dstrike w:val="0"/>
                <w:snapToGrid w:val="0"/>
                <w:color w:val="auto"/>
                <w:kern w:val="2"/>
                <w:sz w:val="21"/>
                <w:szCs w:val="21"/>
                <w:highlight w:val="none"/>
                <w:u w:val="none"/>
                <w:lang w:val="en-US" w:eastAsia="zh-CN" w:bidi="ar-SA"/>
              </w:rPr>
              <w:t>根据投标人针对上述</w:t>
            </w:r>
            <w:r>
              <w:rPr>
                <w:rFonts w:hint="eastAsia" w:cs="宋体"/>
                <w:strike w:val="0"/>
                <w:dstrike w:val="0"/>
                <w:snapToGrid w:val="0"/>
                <w:color w:val="auto"/>
                <w:kern w:val="2"/>
                <w:sz w:val="21"/>
                <w:szCs w:val="21"/>
                <w:highlight w:val="none"/>
                <w:u w:val="none"/>
                <w:lang w:val="en-US" w:eastAsia="zh-CN" w:bidi="ar-SA"/>
              </w:rPr>
              <w:t>四</w:t>
            </w:r>
            <w:r>
              <w:rPr>
                <w:rFonts w:hint="eastAsia" w:ascii="宋体" w:hAnsi="宋体" w:eastAsia="宋体" w:cs="宋体"/>
                <w:strike w:val="0"/>
                <w:dstrike w:val="0"/>
                <w:snapToGrid w:val="0"/>
                <w:color w:val="auto"/>
                <w:kern w:val="2"/>
                <w:sz w:val="21"/>
                <w:szCs w:val="21"/>
                <w:highlight w:val="none"/>
                <w:u w:val="none"/>
                <w:lang w:val="en-US" w:eastAsia="zh-CN" w:bidi="ar-SA"/>
              </w:rPr>
              <w:t>个方面内容在投标文件中的响应情况进行综合评审：其中每有一方面</w:t>
            </w:r>
            <w:r>
              <w:rPr>
                <w:rFonts w:hint="eastAsia" w:ascii="宋体" w:hAnsi="宋体" w:eastAsia="宋体" w:cs="宋体"/>
                <w:strike w:val="0"/>
                <w:dstrike w:val="0"/>
                <w:snapToGrid w:val="0"/>
                <w:color w:val="auto"/>
                <w:sz w:val="21"/>
                <w:szCs w:val="21"/>
                <w:highlight w:val="none"/>
                <w:u w:val="none"/>
              </w:rPr>
              <w:t>内容</w:t>
            </w:r>
            <w:r>
              <w:rPr>
                <w:rFonts w:hint="eastAsia" w:ascii="宋体" w:hAnsi="宋体" w:eastAsia="宋体" w:cs="宋体"/>
                <w:strike w:val="0"/>
                <w:dstrike w:val="0"/>
                <w:snapToGrid w:val="0"/>
                <w:color w:val="auto"/>
                <w:sz w:val="21"/>
                <w:szCs w:val="21"/>
                <w:highlight w:val="none"/>
                <w:u w:val="none"/>
                <w:lang w:val="en-US" w:eastAsia="zh-CN"/>
              </w:rPr>
              <w:t>满足要求的得</w:t>
            </w:r>
            <w:r>
              <w:rPr>
                <w:rFonts w:hint="eastAsia" w:cs="宋体"/>
                <w:strike w:val="0"/>
                <w:dstrike w:val="0"/>
                <w:snapToGrid w:val="0"/>
                <w:color w:val="auto"/>
                <w:sz w:val="21"/>
                <w:szCs w:val="21"/>
                <w:highlight w:val="none"/>
                <w:u w:val="none"/>
                <w:lang w:val="en-US" w:eastAsia="zh-CN"/>
              </w:rPr>
              <w:t>1</w:t>
            </w:r>
            <w:r>
              <w:rPr>
                <w:rFonts w:hint="eastAsia" w:ascii="宋体" w:hAnsi="宋体" w:eastAsia="宋体" w:cs="宋体"/>
                <w:strike w:val="0"/>
                <w:dstrike w:val="0"/>
                <w:snapToGrid w:val="0"/>
                <w:color w:val="auto"/>
                <w:sz w:val="21"/>
                <w:szCs w:val="21"/>
                <w:highlight w:val="none"/>
                <w:u w:val="none"/>
                <w:lang w:val="en-US" w:eastAsia="zh-CN"/>
              </w:rPr>
              <w:t>分</w:t>
            </w:r>
            <w:r>
              <w:rPr>
                <w:rFonts w:hint="eastAsia" w:ascii="宋体" w:hAnsi="宋体" w:eastAsia="宋体" w:cs="宋体"/>
                <w:strike w:val="0"/>
                <w:dstrike w:val="0"/>
                <w:snapToGrid w:val="0"/>
                <w:color w:val="auto"/>
                <w:kern w:val="2"/>
                <w:sz w:val="21"/>
                <w:szCs w:val="21"/>
                <w:highlight w:val="none"/>
                <w:u w:val="none"/>
                <w:lang w:val="en-US" w:eastAsia="zh-CN" w:bidi="ar-SA"/>
              </w:rPr>
              <w:t>，该方面中每有一处存在不足的扣0.</w:t>
            </w:r>
            <w:r>
              <w:rPr>
                <w:rFonts w:hint="eastAsia" w:cs="宋体"/>
                <w:strike w:val="0"/>
                <w:dstrike w:val="0"/>
                <w:snapToGrid w:val="0"/>
                <w:color w:val="auto"/>
                <w:kern w:val="2"/>
                <w:sz w:val="21"/>
                <w:szCs w:val="21"/>
                <w:highlight w:val="none"/>
                <w:u w:val="none"/>
                <w:lang w:val="en-US" w:eastAsia="zh-CN" w:bidi="ar-SA"/>
              </w:rPr>
              <w:t>5</w:t>
            </w:r>
            <w:r>
              <w:rPr>
                <w:rFonts w:hint="eastAsia" w:ascii="宋体" w:hAnsi="宋体" w:eastAsia="宋体" w:cs="宋体"/>
                <w:strike w:val="0"/>
                <w:dstrike w:val="0"/>
                <w:snapToGrid w:val="0"/>
                <w:color w:val="auto"/>
                <w:kern w:val="2"/>
                <w:sz w:val="21"/>
                <w:szCs w:val="21"/>
                <w:highlight w:val="none"/>
                <w:u w:val="none"/>
                <w:lang w:val="en-US" w:eastAsia="zh-CN" w:bidi="ar-SA"/>
              </w:rPr>
              <w:t>分，最多扣</w:t>
            </w:r>
            <w:r>
              <w:rPr>
                <w:rFonts w:hint="eastAsia" w:cs="宋体"/>
                <w:strike w:val="0"/>
                <w:dstrike w:val="0"/>
                <w:snapToGrid w:val="0"/>
                <w:color w:val="auto"/>
                <w:kern w:val="2"/>
                <w:sz w:val="21"/>
                <w:szCs w:val="21"/>
                <w:highlight w:val="none"/>
                <w:u w:val="none"/>
                <w:lang w:val="en-US" w:eastAsia="zh-CN" w:bidi="ar-SA"/>
              </w:rPr>
              <w:t>1</w:t>
            </w:r>
            <w:r>
              <w:rPr>
                <w:rFonts w:hint="eastAsia" w:ascii="宋体" w:hAnsi="宋体" w:eastAsia="宋体" w:cs="宋体"/>
                <w:strike w:val="0"/>
                <w:dstrike w:val="0"/>
                <w:snapToGrid w:val="0"/>
                <w:color w:val="auto"/>
                <w:kern w:val="2"/>
                <w:sz w:val="21"/>
                <w:szCs w:val="21"/>
                <w:highlight w:val="none"/>
                <w:u w:val="none"/>
                <w:lang w:val="en-US" w:eastAsia="zh-CN" w:bidi="ar-SA"/>
              </w:rPr>
              <w:t>分；每有一方面内容缺失或不满足要求的该方面内容不得分；本项最多得</w:t>
            </w:r>
            <w:r>
              <w:rPr>
                <w:rFonts w:hint="eastAsia" w:cs="宋体"/>
                <w:strike w:val="0"/>
                <w:dstrike w:val="0"/>
                <w:snapToGrid w:val="0"/>
                <w:color w:val="auto"/>
                <w:kern w:val="2"/>
                <w:sz w:val="21"/>
                <w:szCs w:val="21"/>
                <w:highlight w:val="none"/>
                <w:u w:val="none"/>
                <w:lang w:val="en-US" w:eastAsia="zh-CN" w:bidi="ar-SA"/>
              </w:rPr>
              <w:t>4</w:t>
            </w:r>
            <w:r>
              <w:rPr>
                <w:rFonts w:hint="eastAsia" w:ascii="宋体" w:hAnsi="宋体" w:eastAsia="宋体" w:cs="宋体"/>
                <w:strike w:val="0"/>
                <w:dstrike w:val="0"/>
                <w:snapToGrid w:val="0"/>
                <w:color w:val="auto"/>
                <w:kern w:val="2"/>
                <w:sz w:val="21"/>
                <w:szCs w:val="21"/>
                <w:highlight w:val="none"/>
                <w:u w:val="none"/>
                <w:lang w:val="en-US" w:eastAsia="zh-CN" w:bidi="ar-SA"/>
              </w:rPr>
              <w:t>分。</w:t>
            </w:r>
          </w:p>
          <w:p>
            <w:pPr>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jc w:val="left"/>
              <w:textAlignment w:val="auto"/>
              <w:outlineLvl w:val="9"/>
              <w:rPr>
                <w:rFonts w:hint="eastAsia" w:ascii="宋体" w:hAnsi="宋体" w:eastAsia="宋体" w:cs="宋体"/>
                <w:b/>
                <w:bCs/>
                <w:snapToGrid w:val="0"/>
                <w:color w:val="auto"/>
                <w:kern w:val="2"/>
                <w:sz w:val="21"/>
                <w:szCs w:val="21"/>
                <w:highlight w:val="none"/>
                <w:lang w:val="en-US" w:eastAsia="zh-CN" w:bidi="ar-SA"/>
              </w:rPr>
            </w:pPr>
            <w:r>
              <w:rPr>
                <w:rFonts w:hint="eastAsia" w:ascii="宋体" w:hAnsi="宋体" w:eastAsia="宋体" w:cs="宋体"/>
                <w:b/>
                <w:bCs/>
                <w:snapToGrid w:val="0"/>
                <w:color w:val="auto"/>
                <w:kern w:val="2"/>
                <w:sz w:val="21"/>
                <w:szCs w:val="21"/>
                <w:highlight w:val="none"/>
                <w:lang w:val="en-US" w:eastAsia="zh-CN" w:bidi="ar-SA"/>
              </w:rPr>
              <w:t>注：(1)以上内容满足要求是指①内容与项目技术服务需求吻合、层次细化，有具体详细的阐述；②阐述从实际出发，切合项目背景、项目需求以及市场供应情况发现问题并提出合理化专业技术建议或者解决方案；③内容符合国家、地方、行业标准、行业惯例以及项目特点。④内容清楚明了、表述规范、含义准确</w:t>
            </w:r>
            <w:r>
              <w:rPr>
                <w:rFonts w:hint="eastAsia" w:ascii="宋体" w:hAnsi="宋体" w:eastAsia="宋体" w:cs="宋体"/>
                <w:b/>
                <w:bCs/>
                <w:color w:val="auto"/>
                <w:sz w:val="21"/>
                <w:szCs w:val="21"/>
                <w:highlight w:val="none"/>
                <w:lang w:eastAsia="zh-CN"/>
              </w:rPr>
              <w:t>。</w:t>
            </w:r>
          </w:p>
          <w:p>
            <w:pPr>
              <w:spacing w:line="360" w:lineRule="exact"/>
              <w:rPr>
                <w:rFonts w:cs="宋体"/>
                <w:color w:val="auto"/>
                <w:sz w:val="21"/>
                <w:szCs w:val="21"/>
                <w:highlight w:val="none"/>
              </w:rPr>
            </w:pPr>
            <w:r>
              <w:rPr>
                <w:rFonts w:hint="eastAsia" w:ascii="宋体" w:hAnsi="宋体" w:eastAsia="宋体" w:cs="宋体"/>
                <w:b/>
                <w:bCs/>
                <w:snapToGrid w:val="0"/>
                <w:color w:val="auto"/>
                <w:kern w:val="2"/>
                <w:sz w:val="21"/>
                <w:szCs w:val="21"/>
                <w:highlight w:val="none"/>
                <w:lang w:val="en-US" w:eastAsia="zh-CN" w:bidi="ar-SA"/>
              </w:rPr>
              <w:t>(2)存在不足是指①内容生搬硬造，阐述存在逻辑错误，前后矛盾；②</w:t>
            </w:r>
            <w:r>
              <w:rPr>
                <w:rFonts w:hint="eastAsia" w:ascii="宋体" w:hAnsi="宋体" w:eastAsia="宋体" w:cs="宋体"/>
                <w:b/>
                <w:bCs/>
                <w:color w:val="auto"/>
                <w:sz w:val="21"/>
                <w:szCs w:val="21"/>
                <w:highlight w:val="none"/>
              </w:rPr>
              <w:t>涉及内容无重点，</w:t>
            </w:r>
            <w:r>
              <w:rPr>
                <w:rFonts w:hint="eastAsia" w:ascii="宋体" w:hAnsi="宋体" w:eastAsia="宋体" w:cs="宋体"/>
                <w:b/>
                <w:bCs/>
                <w:color w:val="auto"/>
                <w:sz w:val="21"/>
                <w:szCs w:val="21"/>
                <w:highlight w:val="none"/>
                <w:lang w:val="en-US" w:eastAsia="zh-CN"/>
              </w:rPr>
              <w:t>未</w:t>
            </w:r>
            <w:r>
              <w:rPr>
                <w:rFonts w:hint="eastAsia" w:ascii="宋体" w:hAnsi="宋体" w:eastAsia="宋体" w:cs="宋体"/>
                <w:b/>
                <w:bCs/>
                <w:color w:val="auto"/>
                <w:sz w:val="21"/>
                <w:szCs w:val="21"/>
                <w:highlight w:val="none"/>
              </w:rPr>
              <w:t>能体现出本项目的特点</w:t>
            </w:r>
            <w:r>
              <w:rPr>
                <w:rFonts w:hint="eastAsia" w:ascii="宋体" w:hAnsi="宋体" w:eastAsia="宋体" w:cs="宋体"/>
                <w:b/>
                <w:bCs/>
                <w:color w:val="auto"/>
                <w:sz w:val="21"/>
                <w:szCs w:val="21"/>
                <w:highlight w:val="none"/>
                <w:lang w:val="en-US" w:eastAsia="zh-CN"/>
              </w:rPr>
              <w:t>或</w:t>
            </w:r>
            <w:r>
              <w:rPr>
                <w:rFonts w:hint="eastAsia" w:ascii="宋体" w:hAnsi="宋体" w:eastAsia="宋体" w:cs="宋体"/>
                <w:b/>
                <w:bCs/>
                <w:color w:val="auto"/>
                <w:sz w:val="21"/>
                <w:szCs w:val="21"/>
                <w:highlight w:val="none"/>
              </w:rPr>
              <w:t>与实际</w:t>
            </w:r>
            <w:r>
              <w:rPr>
                <w:rFonts w:hint="eastAsia" w:ascii="宋体" w:hAnsi="宋体" w:eastAsia="宋体" w:cs="宋体"/>
                <w:b/>
                <w:bCs/>
                <w:color w:val="auto"/>
                <w:sz w:val="21"/>
                <w:szCs w:val="21"/>
                <w:highlight w:val="none"/>
                <w:lang w:val="en-US" w:eastAsia="zh-CN"/>
              </w:rPr>
              <w:t>需求</w:t>
            </w:r>
            <w:r>
              <w:rPr>
                <w:rFonts w:hint="eastAsia" w:ascii="宋体" w:hAnsi="宋体" w:eastAsia="宋体" w:cs="宋体"/>
                <w:b/>
                <w:bCs/>
                <w:color w:val="auto"/>
                <w:sz w:val="21"/>
                <w:szCs w:val="21"/>
                <w:highlight w:val="none"/>
              </w:rPr>
              <w:t>不完全相符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snapToGrid w:val="0"/>
                <w:color w:val="auto"/>
                <w:kern w:val="2"/>
                <w:sz w:val="21"/>
                <w:szCs w:val="21"/>
                <w:highlight w:val="none"/>
                <w:lang w:val="en-US" w:eastAsia="zh-CN" w:bidi="ar-SA"/>
              </w:rPr>
              <w:t>③语言错误或存在歧义，项目名称、实施地点、政策、规范标准与本项目不一致等情形。</w:t>
            </w:r>
          </w:p>
        </w:tc>
        <w:tc>
          <w:tcPr>
            <w:tcW w:w="469" w:type="pct"/>
            <w:vAlign w:val="center"/>
          </w:tcPr>
          <w:p>
            <w:pPr>
              <w:spacing w:line="360" w:lineRule="exact"/>
              <w:jc w:val="center"/>
              <w:rPr>
                <w:rFonts w:cs="宋体"/>
                <w:color w:val="auto"/>
                <w:sz w:val="21"/>
                <w:szCs w:val="21"/>
                <w:highlight w:val="none"/>
              </w:rPr>
            </w:pPr>
            <w:r>
              <w:rPr>
                <w:rFonts w:hint="eastAsia" w:cs="宋体"/>
                <w:color w:val="auto"/>
                <w:sz w:val="21"/>
                <w:szCs w:val="21"/>
                <w:highlight w:val="none"/>
              </w:rPr>
              <w:t>技术评</w:t>
            </w:r>
          </w:p>
          <w:p>
            <w:pPr>
              <w:spacing w:line="360" w:lineRule="exact"/>
              <w:jc w:val="center"/>
              <w:rPr>
                <w:rFonts w:cs="宋体"/>
                <w:color w:val="auto"/>
                <w:sz w:val="21"/>
                <w:szCs w:val="21"/>
                <w:highlight w:val="none"/>
              </w:rPr>
            </w:pPr>
            <w:r>
              <w:rPr>
                <w:rFonts w:hint="eastAsia" w:cs="宋体"/>
                <w:color w:val="auto"/>
                <w:sz w:val="21"/>
                <w:szCs w:val="21"/>
                <w:highlight w:val="none"/>
              </w:rPr>
              <w:t>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317" w:type="pct"/>
            <w:vAlign w:val="center"/>
          </w:tcPr>
          <w:p>
            <w:pPr>
              <w:spacing w:line="360" w:lineRule="exact"/>
              <w:jc w:val="center"/>
              <w:rPr>
                <w:rFonts w:hint="eastAsia" w:eastAsia="宋体" w:cs="宋体"/>
                <w:color w:val="auto"/>
                <w:sz w:val="21"/>
                <w:szCs w:val="21"/>
                <w:highlight w:val="none"/>
                <w:lang w:val="en-US" w:eastAsia="zh-CN"/>
              </w:rPr>
            </w:pPr>
            <w:r>
              <w:rPr>
                <w:rFonts w:hint="eastAsia" w:cs="宋体"/>
                <w:color w:val="auto"/>
                <w:sz w:val="21"/>
                <w:szCs w:val="21"/>
                <w:highlight w:val="none"/>
                <w:lang w:val="en-US" w:eastAsia="zh-CN"/>
              </w:rPr>
              <w:t>四</w:t>
            </w:r>
          </w:p>
        </w:tc>
        <w:tc>
          <w:tcPr>
            <w:tcW w:w="675" w:type="pct"/>
            <w:vAlign w:val="center"/>
          </w:tcPr>
          <w:p>
            <w:pPr>
              <w:spacing w:line="360" w:lineRule="exact"/>
              <w:jc w:val="center"/>
              <w:rPr>
                <w:rFonts w:cs="宋体"/>
                <w:color w:val="auto"/>
                <w:sz w:val="21"/>
                <w:szCs w:val="21"/>
                <w:highlight w:val="none"/>
              </w:rPr>
            </w:pPr>
            <w:r>
              <w:rPr>
                <w:rFonts w:hint="eastAsia" w:cs="宋体"/>
                <w:color w:val="auto"/>
                <w:sz w:val="21"/>
                <w:szCs w:val="21"/>
                <w:highlight w:val="none"/>
              </w:rPr>
              <w:t>履约能力</w:t>
            </w:r>
          </w:p>
          <w:p>
            <w:pPr>
              <w:spacing w:line="360" w:lineRule="exact"/>
              <w:jc w:val="center"/>
              <w:rPr>
                <w:rFonts w:cs="宋体"/>
                <w:color w:val="auto"/>
                <w:sz w:val="21"/>
                <w:szCs w:val="21"/>
                <w:highlight w:val="none"/>
              </w:rPr>
            </w:pPr>
            <w:r>
              <w:rPr>
                <w:rFonts w:hint="eastAsia" w:cs="宋体"/>
                <w:color w:val="auto"/>
                <w:sz w:val="21"/>
                <w:szCs w:val="21"/>
                <w:highlight w:val="none"/>
                <w:lang w:val="en-US" w:eastAsia="zh-CN"/>
              </w:rPr>
              <w:t>5</w:t>
            </w:r>
            <w:r>
              <w:rPr>
                <w:rFonts w:hint="eastAsia" w:cs="宋体"/>
                <w:color w:val="auto"/>
                <w:sz w:val="21"/>
                <w:szCs w:val="21"/>
                <w:highlight w:val="none"/>
              </w:rPr>
              <w:t>%</w:t>
            </w:r>
          </w:p>
        </w:tc>
        <w:tc>
          <w:tcPr>
            <w:tcW w:w="410" w:type="pct"/>
            <w:vAlign w:val="center"/>
          </w:tcPr>
          <w:p>
            <w:pPr>
              <w:spacing w:line="360" w:lineRule="exact"/>
              <w:jc w:val="center"/>
              <w:rPr>
                <w:rFonts w:cs="宋体"/>
                <w:color w:val="auto"/>
                <w:sz w:val="21"/>
                <w:szCs w:val="21"/>
                <w:highlight w:val="none"/>
              </w:rPr>
            </w:pPr>
            <w:r>
              <w:rPr>
                <w:rFonts w:hint="eastAsia" w:cs="宋体"/>
                <w:color w:val="auto"/>
                <w:sz w:val="21"/>
                <w:szCs w:val="21"/>
                <w:highlight w:val="none"/>
                <w:lang w:val="en-US" w:eastAsia="zh-CN"/>
              </w:rPr>
              <w:t>5</w:t>
            </w:r>
            <w:r>
              <w:rPr>
                <w:rFonts w:hint="eastAsia" w:cs="宋体"/>
                <w:color w:val="auto"/>
                <w:sz w:val="21"/>
                <w:szCs w:val="21"/>
                <w:highlight w:val="none"/>
              </w:rPr>
              <w:t>分</w:t>
            </w:r>
          </w:p>
        </w:tc>
        <w:tc>
          <w:tcPr>
            <w:tcW w:w="3127" w:type="pct"/>
            <w:vAlign w:val="center"/>
          </w:tcPr>
          <w:p>
            <w:pPr>
              <w:spacing w:line="360" w:lineRule="exact"/>
              <w:rPr>
                <w:rFonts w:cs="宋体"/>
                <w:color w:val="auto"/>
                <w:sz w:val="21"/>
                <w:szCs w:val="21"/>
                <w:highlight w:val="none"/>
              </w:rPr>
            </w:pPr>
            <w:r>
              <w:rPr>
                <w:rFonts w:hint="eastAsia" w:cs="宋体"/>
                <w:color w:val="auto"/>
                <w:sz w:val="21"/>
                <w:szCs w:val="21"/>
                <w:highlight w:val="none"/>
              </w:rPr>
              <w:t>1.投标人自20</w:t>
            </w:r>
            <w:r>
              <w:rPr>
                <w:rFonts w:hint="eastAsia" w:cs="宋体"/>
                <w:color w:val="auto"/>
                <w:sz w:val="21"/>
                <w:szCs w:val="21"/>
                <w:highlight w:val="none"/>
                <w:lang w:val="en-US" w:eastAsia="zh-CN"/>
              </w:rPr>
              <w:t>19</w:t>
            </w:r>
            <w:r>
              <w:rPr>
                <w:rFonts w:hint="eastAsia" w:cs="宋体"/>
                <w:color w:val="auto"/>
                <w:sz w:val="21"/>
                <w:szCs w:val="21"/>
                <w:highlight w:val="none"/>
              </w:rPr>
              <w:t>年1月1日</w:t>
            </w:r>
            <w:r>
              <w:rPr>
                <w:rFonts w:hint="eastAsia" w:cs="宋体"/>
                <w:color w:val="auto"/>
                <w:sz w:val="21"/>
                <w:szCs w:val="21"/>
                <w:highlight w:val="none"/>
                <w:lang w:eastAsia="zh-CN"/>
              </w:rPr>
              <w:t>(</w:t>
            </w:r>
            <w:r>
              <w:rPr>
                <w:rFonts w:hint="eastAsia" w:cs="宋体"/>
                <w:color w:val="auto"/>
                <w:sz w:val="21"/>
                <w:szCs w:val="21"/>
                <w:highlight w:val="none"/>
              </w:rPr>
              <w:t>含1日</w:t>
            </w:r>
            <w:r>
              <w:rPr>
                <w:rFonts w:hint="eastAsia" w:cs="宋体"/>
                <w:color w:val="auto"/>
                <w:sz w:val="21"/>
                <w:szCs w:val="21"/>
                <w:highlight w:val="none"/>
                <w:lang w:eastAsia="zh-CN"/>
              </w:rPr>
              <w:t>)</w:t>
            </w:r>
            <w:r>
              <w:rPr>
                <w:rFonts w:hint="eastAsia" w:cs="宋体"/>
                <w:color w:val="auto"/>
                <w:sz w:val="21"/>
                <w:szCs w:val="21"/>
                <w:highlight w:val="none"/>
              </w:rPr>
              <w:t>以来具有类似项目履约经验的，每提供1个得1分，最多得</w:t>
            </w:r>
            <w:r>
              <w:rPr>
                <w:rFonts w:hint="eastAsia" w:cs="宋体"/>
                <w:color w:val="auto"/>
                <w:sz w:val="21"/>
                <w:szCs w:val="21"/>
                <w:highlight w:val="none"/>
                <w:lang w:val="en-US" w:eastAsia="zh-CN"/>
              </w:rPr>
              <w:t>2</w:t>
            </w:r>
            <w:r>
              <w:rPr>
                <w:rFonts w:hint="eastAsia" w:cs="宋体"/>
                <w:color w:val="auto"/>
                <w:sz w:val="21"/>
                <w:szCs w:val="21"/>
                <w:highlight w:val="none"/>
              </w:rPr>
              <w:t>分。</w:t>
            </w:r>
          </w:p>
          <w:p>
            <w:pPr>
              <w:spacing w:line="360" w:lineRule="exact"/>
              <w:rPr>
                <w:rFonts w:cs="宋体"/>
                <w:b/>
                <w:bCs/>
                <w:color w:val="auto"/>
                <w:sz w:val="21"/>
                <w:szCs w:val="21"/>
                <w:highlight w:val="none"/>
              </w:rPr>
            </w:pPr>
            <w:r>
              <w:rPr>
                <w:rFonts w:hint="eastAsia" w:cs="宋体"/>
                <w:b/>
                <w:bCs/>
                <w:color w:val="auto"/>
                <w:sz w:val="21"/>
                <w:szCs w:val="21"/>
                <w:highlight w:val="none"/>
              </w:rPr>
              <w:t>注：提供合同复印件加盖投标人公章，未提供不得分。</w:t>
            </w:r>
          </w:p>
          <w:p>
            <w:pPr>
              <w:spacing w:line="360" w:lineRule="exact"/>
              <w:rPr>
                <w:rFonts w:hint="eastAsia" w:eastAsia="宋体" w:cs="宋体"/>
                <w:color w:val="auto"/>
                <w:sz w:val="21"/>
                <w:szCs w:val="21"/>
                <w:highlight w:val="none"/>
                <w:lang w:eastAsia="zh-CN"/>
              </w:rPr>
            </w:pPr>
            <w:r>
              <w:rPr>
                <w:rFonts w:hint="eastAsia" w:cs="宋体"/>
                <w:color w:val="auto"/>
                <w:sz w:val="21"/>
                <w:szCs w:val="21"/>
                <w:highlight w:val="none"/>
              </w:rPr>
              <w:t>2.投标人在满足</w:t>
            </w:r>
            <w:r>
              <w:rPr>
                <w:rFonts w:hint="eastAsia" w:cs="宋体"/>
                <w:color w:val="auto"/>
                <w:sz w:val="21"/>
                <w:szCs w:val="21"/>
                <w:highlight w:val="none"/>
                <w:lang w:val="en-US" w:eastAsia="zh-CN"/>
              </w:rPr>
              <w:t>招标文件要求</w:t>
            </w:r>
            <w:r>
              <w:rPr>
                <w:rFonts w:hint="eastAsia" w:cs="宋体"/>
                <w:color w:val="auto"/>
                <w:sz w:val="21"/>
                <w:szCs w:val="21"/>
                <w:highlight w:val="none"/>
              </w:rPr>
              <w:t>售后服务一年的基础上，每增加一年售后服务的得1分，最多得3分</w:t>
            </w:r>
            <w:r>
              <w:rPr>
                <w:rFonts w:hint="eastAsia" w:cs="宋体"/>
                <w:color w:val="auto"/>
                <w:sz w:val="21"/>
                <w:szCs w:val="21"/>
                <w:highlight w:val="none"/>
                <w:lang w:eastAsia="zh-CN"/>
              </w:rPr>
              <w:t>。</w:t>
            </w:r>
          </w:p>
          <w:p>
            <w:pPr>
              <w:spacing w:line="360" w:lineRule="exact"/>
              <w:rPr>
                <w:rFonts w:cs="宋体"/>
                <w:b/>
                <w:bCs/>
                <w:color w:val="auto"/>
                <w:sz w:val="21"/>
                <w:szCs w:val="21"/>
                <w:highlight w:val="none"/>
              </w:rPr>
            </w:pPr>
            <w:r>
              <w:rPr>
                <w:rFonts w:hint="eastAsia" w:cs="宋体"/>
                <w:b/>
                <w:bCs/>
                <w:color w:val="auto"/>
                <w:sz w:val="21"/>
                <w:szCs w:val="21"/>
                <w:highlight w:val="none"/>
              </w:rPr>
              <w:t>注：提供承诺函</w:t>
            </w:r>
            <w:r>
              <w:rPr>
                <w:rFonts w:hint="eastAsia" w:cs="宋体"/>
                <w:b/>
                <w:bCs/>
                <w:color w:val="auto"/>
                <w:sz w:val="21"/>
                <w:szCs w:val="21"/>
                <w:highlight w:val="none"/>
                <w:lang w:val="en-US" w:eastAsia="zh-CN"/>
              </w:rPr>
              <w:t>原件，并加盖投标人公章</w:t>
            </w:r>
            <w:r>
              <w:rPr>
                <w:rFonts w:hint="eastAsia" w:cs="宋体"/>
                <w:b/>
                <w:bCs/>
                <w:color w:val="auto"/>
                <w:sz w:val="21"/>
                <w:szCs w:val="21"/>
                <w:highlight w:val="none"/>
              </w:rPr>
              <w:t xml:space="preserve">。 </w:t>
            </w:r>
          </w:p>
        </w:tc>
        <w:tc>
          <w:tcPr>
            <w:tcW w:w="469" w:type="pct"/>
            <w:vAlign w:val="center"/>
          </w:tcPr>
          <w:p>
            <w:pPr>
              <w:spacing w:line="360" w:lineRule="exact"/>
              <w:jc w:val="center"/>
              <w:rPr>
                <w:rFonts w:cs="宋体"/>
                <w:color w:val="auto"/>
                <w:sz w:val="21"/>
                <w:szCs w:val="21"/>
                <w:highlight w:val="none"/>
              </w:rPr>
            </w:pPr>
            <w:r>
              <w:rPr>
                <w:rFonts w:hint="eastAsia" w:cs="宋体"/>
                <w:color w:val="auto"/>
                <w:sz w:val="21"/>
                <w:szCs w:val="21"/>
                <w:highlight w:val="none"/>
              </w:rPr>
              <w:t>共同评</w:t>
            </w:r>
          </w:p>
          <w:p>
            <w:pPr>
              <w:spacing w:line="360" w:lineRule="exact"/>
              <w:jc w:val="center"/>
              <w:rPr>
                <w:rFonts w:cs="宋体"/>
                <w:color w:val="auto"/>
                <w:sz w:val="21"/>
                <w:szCs w:val="21"/>
                <w:highlight w:val="none"/>
              </w:rPr>
            </w:pPr>
            <w:r>
              <w:rPr>
                <w:rFonts w:hint="eastAsia" w:cs="宋体"/>
                <w:color w:val="auto"/>
                <w:sz w:val="21"/>
                <w:szCs w:val="21"/>
                <w:highlight w:val="none"/>
              </w:rPr>
              <w:t>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17" w:type="pct"/>
            <w:vAlign w:val="center"/>
          </w:tcPr>
          <w:p>
            <w:pPr>
              <w:spacing w:line="360" w:lineRule="exact"/>
              <w:jc w:val="center"/>
              <w:rPr>
                <w:rFonts w:hint="default" w:eastAsia="宋体" w:cs="宋体"/>
                <w:color w:val="auto"/>
                <w:sz w:val="21"/>
                <w:szCs w:val="21"/>
                <w:highlight w:val="none"/>
                <w:lang w:val="en-US" w:eastAsia="zh-CN"/>
              </w:rPr>
            </w:pPr>
            <w:r>
              <w:rPr>
                <w:rFonts w:hint="eastAsia" w:cs="宋体"/>
                <w:color w:val="auto"/>
                <w:sz w:val="21"/>
                <w:szCs w:val="21"/>
                <w:highlight w:val="none"/>
                <w:lang w:val="en-US" w:eastAsia="zh-CN"/>
              </w:rPr>
              <w:t>五</w:t>
            </w:r>
          </w:p>
        </w:tc>
        <w:tc>
          <w:tcPr>
            <w:tcW w:w="675" w:type="pct"/>
            <w:vAlign w:val="center"/>
          </w:tcPr>
          <w:p>
            <w:pPr>
              <w:spacing w:line="360" w:lineRule="exact"/>
              <w:jc w:val="center"/>
              <w:rPr>
                <w:rFonts w:cs="宋体"/>
                <w:color w:val="auto"/>
                <w:kern w:val="0"/>
                <w:sz w:val="21"/>
                <w:szCs w:val="21"/>
                <w:highlight w:val="none"/>
              </w:rPr>
            </w:pPr>
            <w:r>
              <w:rPr>
                <w:rFonts w:hint="eastAsia" w:cs="宋体"/>
                <w:color w:val="auto"/>
                <w:kern w:val="0"/>
                <w:sz w:val="21"/>
                <w:szCs w:val="21"/>
                <w:highlight w:val="none"/>
              </w:rPr>
              <w:t>售后服务</w:t>
            </w:r>
          </w:p>
          <w:p>
            <w:pPr>
              <w:spacing w:line="360" w:lineRule="exact"/>
              <w:jc w:val="center"/>
              <w:rPr>
                <w:rFonts w:cs="宋体"/>
                <w:color w:val="auto"/>
                <w:kern w:val="0"/>
                <w:sz w:val="21"/>
                <w:szCs w:val="21"/>
                <w:highlight w:val="none"/>
              </w:rPr>
            </w:pPr>
            <w:r>
              <w:rPr>
                <w:rFonts w:hint="eastAsia" w:cs="宋体"/>
                <w:color w:val="auto"/>
                <w:kern w:val="0"/>
                <w:sz w:val="21"/>
                <w:szCs w:val="21"/>
                <w:highlight w:val="none"/>
              </w:rPr>
              <w:t>方案</w:t>
            </w:r>
          </w:p>
          <w:p>
            <w:pPr>
              <w:spacing w:line="360" w:lineRule="exact"/>
              <w:jc w:val="center"/>
              <w:rPr>
                <w:rFonts w:cs="宋体"/>
                <w:color w:val="auto"/>
                <w:sz w:val="21"/>
                <w:szCs w:val="21"/>
                <w:highlight w:val="none"/>
              </w:rPr>
            </w:pPr>
            <w:r>
              <w:rPr>
                <w:rFonts w:hint="eastAsia" w:cs="宋体"/>
                <w:color w:val="auto"/>
                <w:kern w:val="0"/>
                <w:sz w:val="21"/>
                <w:szCs w:val="21"/>
                <w:highlight w:val="none"/>
                <w:lang w:val="en-US" w:eastAsia="zh-CN"/>
              </w:rPr>
              <w:t>2</w:t>
            </w:r>
            <w:r>
              <w:rPr>
                <w:rFonts w:hint="eastAsia" w:cs="宋体"/>
                <w:color w:val="auto"/>
                <w:kern w:val="0"/>
                <w:sz w:val="21"/>
                <w:szCs w:val="21"/>
                <w:highlight w:val="none"/>
              </w:rPr>
              <w:t>%</w:t>
            </w:r>
          </w:p>
        </w:tc>
        <w:tc>
          <w:tcPr>
            <w:tcW w:w="410" w:type="pct"/>
            <w:vAlign w:val="center"/>
          </w:tcPr>
          <w:p>
            <w:pPr>
              <w:spacing w:line="360" w:lineRule="exact"/>
              <w:jc w:val="center"/>
              <w:rPr>
                <w:rFonts w:cs="宋体"/>
                <w:color w:val="auto"/>
                <w:sz w:val="21"/>
                <w:szCs w:val="21"/>
                <w:highlight w:val="none"/>
              </w:rPr>
            </w:pPr>
            <w:r>
              <w:rPr>
                <w:rFonts w:hint="eastAsia" w:cs="宋体"/>
                <w:color w:val="auto"/>
                <w:kern w:val="0"/>
                <w:sz w:val="21"/>
                <w:szCs w:val="21"/>
                <w:highlight w:val="none"/>
                <w:lang w:val="en-US" w:eastAsia="zh-CN"/>
              </w:rPr>
              <w:t>2</w:t>
            </w:r>
            <w:r>
              <w:rPr>
                <w:rFonts w:hint="eastAsia" w:cs="宋体"/>
                <w:color w:val="auto"/>
                <w:kern w:val="0"/>
                <w:sz w:val="21"/>
                <w:szCs w:val="21"/>
                <w:highlight w:val="none"/>
              </w:rPr>
              <w:t>分</w:t>
            </w:r>
          </w:p>
        </w:tc>
        <w:tc>
          <w:tcPr>
            <w:tcW w:w="3127" w:type="pct"/>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jc w:val="left"/>
              <w:textAlignment w:val="auto"/>
              <w:outlineLvl w:val="9"/>
              <w:rPr>
                <w:rFonts w:hint="eastAsia" w:cs="宋体"/>
                <w:color w:val="auto"/>
                <w:sz w:val="21"/>
                <w:szCs w:val="21"/>
                <w:highlight w:val="none"/>
              </w:rPr>
            </w:pPr>
            <w:r>
              <w:rPr>
                <w:rFonts w:hint="eastAsia" w:cs="宋体"/>
                <w:color w:val="auto"/>
                <w:sz w:val="21"/>
                <w:szCs w:val="21"/>
                <w:highlight w:val="none"/>
              </w:rPr>
              <w:t>投标人根据招标文件第六章要求，提供针对本项目的售后服务方案，内容至少包含</w:t>
            </w:r>
            <w:r>
              <w:rPr>
                <w:rFonts w:hint="eastAsia" w:cs="宋体"/>
                <w:color w:val="auto"/>
                <w:sz w:val="21"/>
                <w:szCs w:val="21"/>
                <w:highlight w:val="none"/>
                <w:lang w:val="en-US" w:eastAsia="zh-CN"/>
              </w:rPr>
              <w:t>①售后服务人员、②售后服务承诺、③售后服务到场时间、④售后应急保障措施</w:t>
            </w:r>
            <w:r>
              <w:rPr>
                <w:rFonts w:hint="eastAsia" w:cs="宋体"/>
                <w:color w:val="auto"/>
                <w:sz w:val="21"/>
                <w:szCs w:val="21"/>
                <w:highlight w:val="none"/>
              </w:rPr>
              <w:t>施等四个方面：</w:t>
            </w:r>
          </w:p>
          <w:p>
            <w:pPr>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jc w:val="left"/>
              <w:textAlignment w:val="auto"/>
              <w:outlineLvl w:val="9"/>
              <w:rPr>
                <w:rFonts w:hint="eastAsia" w:ascii="宋体" w:hAnsi="宋体" w:eastAsia="宋体" w:cs="宋体"/>
                <w:snapToGrid w:val="0"/>
                <w:color w:val="auto"/>
                <w:kern w:val="2"/>
                <w:sz w:val="21"/>
                <w:szCs w:val="21"/>
                <w:highlight w:val="none"/>
                <w:u w:val="none"/>
                <w:lang w:val="en-US" w:eastAsia="zh-CN" w:bidi="ar-SA"/>
              </w:rPr>
            </w:pPr>
            <w:r>
              <w:rPr>
                <w:rFonts w:hint="eastAsia" w:ascii="宋体" w:hAnsi="宋体" w:eastAsia="宋体" w:cs="宋体"/>
                <w:snapToGrid w:val="0"/>
                <w:color w:val="auto"/>
                <w:kern w:val="2"/>
                <w:sz w:val="21"/>
                <w:szCs w:val="21"/>
                <w:highlight w:val="none"/>
                <w:lang w:val="en-US" w:eastAsia="zh-CN" w:bidi="ar-SA"/>
              </w:rPr>
              <w:t>根据投标人针对上述四个方面内容在投标文件中的响应情况进行综合评审</w:t>
            </w:r>
            <w:r>
              <w:rPr>
                <w:rFonts w:hint="eastAsia" w:ascii="宋体" w:hAnsi="宋体" w:eastAsia="宋体" w:cs="宋体"/>
                <w:snapToGrid w:val="0"/>
                <w:color w:val="auto"/>
                <w:kern w:val="2"/>
                <w:sz w:val="21"/>
                <w:szCs w:val="21"/>
                <w:highlight w:val="none"/>
                <w:u w:val="none"/>
                <w:lang w:val="en-US" w:eastAsia="zh-CN" w:bidi="ar-SA"/>
              </w:rPr>
              <w:t>：其中每有一方面</w:t>
            </w:r>
            <w:r>
              <w:rPr>
                <w:rFonts w:hint="eastAsia" w:ascii="宋体" w:hAnsi="宋体" w:eastAsia="宋体" w:cs="宋体"/>
                <w:snapToGrid w:val="0"/>
                <w:color w:val="auto"/>
                <w:sz w:val="21"/>
                <w:szCs w:val="21"/>
                <w:highlight w:val="none"/>
                <w:u w:val="none"/>
              </w:rPr>
              <w:t>内容</w:t>
            </w:r>
            <w:r>
              <w:rPr>
                <w:rFonts w:hint="eastAsia" w:ascii="宋体" w:hAnsi="宋体" w:eastAsia="宋体" w:cs="宋体"/>
                <w:snapToGrid w:val="0"/>
                <w:color w:val="auto"/>
                <w:sz w:val="21"/>
                <w:szCs w:val="21"/>
                <w:highlight w:val="none"/>
                <w:u w:val="none"/>
                <w:lang w:val="en-US" w:eastAsia="zh-CN"/>
              </w:rPr>
              <w:t>满足要求的得0.5分</w:t>
            </w:r>
            <w:r>
              <w:rPr>
                <w:rFonts w:hint="eastAsia" w:ascii="宋体" w:hAnsi="宋体" w:eastAsia="宋体" w:cs="宋体"/>
                <w:snapToGrid w:val="0"/>
                <w:color w:val="auto"/>
                <w:kern w:val="2"/>
                <w:sz w:val="21"/>
                <w:szCs w:val="21"/>
                <w:highlight w:val="none"/>
                <w:u w:val="none"/>
                <w:lang w:val="en-US" w:eastAsia="zh-CN" w:bidi="ar-SA"/>
              </w:rPr>
              <w:t>，该方面中每有一处存在不足的扣0.25分，最多扣0.5分；每有一方面内容缺失或不满足要求的该方面内容不得分；本项最多得2分。</w:t>
            </w:r>
          </w:p>
          <w:p>
            <w:pPr>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jc w:val="left"/>
              <w:textAlignment w:val="auto"/>
              <w:outlineLvl w:val="9"/>
              <w:rPr>
                <w:rFonts w:hint="eastAsia" w:ascii="宋体" w:hAnsi="宋体" w:eastAsia="宋体" w:cs="宋体"/>
                <w:b/>
                <w:bCs/>
                <w:snapToGrid w:val="0"/>
                <w:color w:val="auto"/>
                <w:kern w:val="2"/>
                <w:sz w:val="21"/>
                <w:szCs w:val="21"/>
                <w:highlight w:val="none"/>
                <w:lang w:val="en-US" w:eastAsia="zh-CN" w:bidi="ar-SA"/>
              </w:rPr>
            </w:pPr>
            <w:r>
              <w:rPr>
                <w:rFonts w:hint="eastAsia" w:ascii="宋体" w:hAnsi="宋体" w:eastAsia="宋体" w:cs="宋体"/>
                <w:b/>
                <w:bCs/>
                <w:snapToGrid w:val="0"/>
                <w:color w:val="auto"/>
                <w:kern w:val="2"/>
                <w:sz w:val="21"/>
                <w:szCs w:val="21"/>
                <w:highlight w:val="none"/>
                <w:lang w:val="en-US" w:eastAsia="zh-CN" w:bidi="ar-SA"/>
              </w:rPr>
              <w:t>注：(1)以上内容满足要求是指①内容与项目技术服务需求吻合、层次细化，有具体详细的阐述；②阐述从实际出发，切合项目背景、项目需求以及市场供应情况发现问题并提出合理化专业技术建议或者解决方案；③内容符合国家、地方、行业标准、行业惯例以及项目特点。④内容清楚明了、表述规范、含义准确</w:t>
            </w:r>
            <w:r>
              <w:rPr>
                <w:rFonts w:hint="eastAsia" w:ascii="宋体" w:hAnsi="宋体" w:eastAsia="宋体" w:cs="宋体"/>
                <w:b/>
                <w:bCs/>
                <w:color w:val="auto"/>
                <w:sz w:val="21"/>
                <w:szCs w:val="21"/>
                <w:highlight w:val="none"/>
                <w:lang w:eastAsia="zh-CN"/>
              </w:rPr>
              <w:t>。</w:t>
            </w:r>
          </w:p>
          <w:p>
            <w:pPr>
              <w:spacing w:line="360" w:lineRule="exact"/>
              <w:rPr>
                <w:rFonts w:cs="宋体"/>
                <w:color w:val="auto"/>
                <w:sz w:val="21"/>
                <w:szCs w:val="21"/>
                <w:highlight w:val="none"/>
              </w:rPr>
            </w:pPr>
            <w:r>
              <w:rPr>
                <w:rFonts w:hint="eastAsia" w:ascii="宋体" w:hAnsi="宋体" w:eastAsia="宋体" w:cs="宋体"/>
                <w:b/>
                <w:bCs/>
                <w:snapToGrid w:val="0"/>
                <w:color w:val="auto"/>
                <w:kern w:val="2"/>
                <w:sz w:val="21"/>
                <w:szCs w:val="21"/>
                <w:highlight w:val="none"/>
                <w:lang w:val="en-US" w:eastAsia="zh-CN" w:bidi="ar-SA"/>
              </w:rPr>
              <w:t>(2)存在不足是指①内容生搬硬造，阐述存在逻辑错误，前后矛盾；②</w:t>
            </w:r>
            <w:r>
              <w:rPr>
                <w:rFonts w:hint="eastAsia" w:ascii="宋体" w:hAnsi="宋体" w:eastAsia="宋体" w:cs="宋体"/>
                <w:b/>
                <w:bCs/>
                <w:color w:val="auto"/>
                <w:sz w:val="21"/>
                <w:szCs w:val="21"/>
                <w:highlight w:val="none"/>
              </w:rPr>
              <w:t>涉及内容无重点，</w:t>
            </w:r>
            <w:r>
              <w:rPr>
                <w:rFonts w:hint="eastAsia" w:ascii="宋体" w:hAnsi="宋体" w:eastAsia="宋体" w:cs="宋体"/>
                <w:b/>
                <w:bCs/>
                <w:color w:val="auto"/>
                <w:sz w:val="21"/>
                <w:szCs w:val="21"/>
                <w:highlight w:val="none"/>
                <w:lang w:val="en-US" w:eastAsia="zh-CN"/>
              </w:rPr>
              <w:t>未</w:t>
            </w:r>
            <w:r>
              <w:rPr>
                <w:rFonts w:hint="eastAsia" w:ascii="宋体" w:hAnsi="宋体" w:eastAsia="宋体" w:cs="宋体"/>
                <w:b/>
                <w:bCs/>
                <w:color w:val="auto"/>
                <w:sz w:val="21"/>
                <w:szCs w:val="21"/>
                <w:highlight w:val="none"/>
              </w:rPr>
              <w:t>能体现出本项目的特点</w:t>
            </w:r>
            <w:r>
              <w:rPr>
                <w:rFonts w:hint="eastAsia" w:ascii="宋体" w:hAnsi="宋体" w:eastAsia="宋体" w:cs="宋体"/>
                <w:b/>
                <w:bCs/>
                <w:color w:val="auto"/>
                <w:sz w:val="21"/>
                <w:szCs w:val="21"/>
                <w:highlight w:val="none"/>
                <w:lang w:val="en-US" w:eastAsia="zh-CN"/>
              </w:rPr>
              <w:t>或</w:t>
            </w:r>
            <w:r>
              <w:rPr>
                <w:rFonts w:hint="eastAsia" w:ascii="宋体" w:hAnsi="宋体" w:eastAsia="宋体" w:cs="宋体"/>
                <w:b/>
                <w:bCs/>
                <w:color w:val="auto"/>
                <w:sz w:val="21"/>
                <w:szCs w:val="21"/>
                <w:highlight w:val="none"/>
              </w:rPr>
              <w:t>与实际</w:t>
            </w:r>
            <w:r>
              <w:rPr>
                <w:rFonts w:hint="eastAsia" w:ascii="宋体" w:hAnsi="宋体" w:eastAsia="宋体" w:cs="宋体"/>
                <w:b/>
                <w:bCs/>
                <w:color w:val="auto"/>
                <w:sz w:val="21"/>
                <w:szCs w:val="21"/>
                <w:highlight w:val="none"/>
                <w:lang w:val="en-US" w:eastAsia="zh-CN"/>
              </w:rPr>
              <w:t>需求</w:t>
            </w:r>
            <w:r>
              <w:rPr>
                <w:rFonts w:hint="eastAsia" w:ascii="宋体" w:hAnsi="宋体" w:eastAsia="宋体" w:cs="宋体"/>
                <w:b/>
                <w:bCs/>
                <w:color w:val="auto"/>
                <w:sz w:val="21"/>
                <w:szCs w:val="21"/>
                <w:highlight w:val="none"/>
              </w:rPr>
              <w:t>不完全相符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snapToGrid w:val="0"/>
                <w:color w:val="auto"/>
                <w:kern w:val="2"/>
                <w:sz w:val="21"/>
                <w:szCs w:val="21"/>
                <w:highlight w:val="none"/>
                <w:lang w:val="en-US" w:eastAsia="zh-CN" w:bidi="ar-SA"/>
              </w:rPr>
              <w:t>③语言错误或存在歧义，项目名称、实施地点、政策、规范标准与本项目不一致等情形。</w:t>
            </w:r>
          </w:p>
        </w:tc>
        <w:tc>
          <w:tcPr>
            <w:tcW w:w="469" w:type="pct"/>
            <w:vAlign w:val="center"/>
          </w:tcPr>
          <w:p>
            <w:pPr>
              <w:spacing w:line="360" w:lineRule="exact"/>
              <w:jc w:val="center"/>
              <w:rPr>
                <w:rFonts w:cs="宋体"/>
                <w:color w:val="auto"/>
                <w:sz w:val="21"/>
                <w:szCs w:val="21"/>
                <w:highlight w:val="none"/>
              </w:rPr>
            </w:pPr>
            <w:r>
              <w:rPr>
                <w:rFonts w:hint="eastAsia" w:cs="宋体"/>
                <w:color w:val="auto"/>
                <w:sz w:val="21"/>
                <w:szCs w:val="21"/>
                <w:highlight w:val="none"/>
              </w:rPr>
              <w:t>技术评</w:t>
            </w:r>
          </w:p>
          <w:p>
            <w:pPr>
              <w:spacing w:line="360" w:lineRule="exact"/>
              <w:jc w:val="center"/>
              <w:rPr>
                <w:rFonts w:cs="宋体"/>
                <w:color w:val="auto"/>
                <w:sz w:val="21"/>
                <w:szCs w:val="21"/>
                <w:highlight w:val="none"/>
              </w:rPr>
            </w:pPr>
            <w:r>
              <w:rPr>
                <w:rFonts w:hint="eastAsia" w:cs="宋体"/>
                <w:color w:val="auto"/>
                <w:sz w:val="21"/>
                <w:szCs w:val="21"/>
                <w:highlight w:val="none"/>
              </w:rPr>
              <w:t>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pPr>
              <w:pStyle w:val="45"/>
              <w:spacing w:line="400" w:lineRule="exact"/>
              <w:ind w:left="24" w:leftChars="10" w:right="24" w:rightChars="10"/>
              <w:jc w:val="both"/>
              <w:rPr>
                <w:rFonts w:cs="宋体"/>
                <w:color w:val="auto"/>
                <w:szCs w:val="21"/>
                <w:highlight w:val="none"/>
              </w:rPr>
            </w:pPr>
            <w:r>
              <w:rPr>
                <w:rFonts w:hint="eastAsia" w:cs="宋体"/>
                <w:color w:val="auto"/>
                <w:szCs w:val="21"/>
                <w:highlight w:val="none"/>
              </w:rPr>
              <w:t>注：①评分的取值按四舍五入法，小数点后保留两位。</w:t>
            </w:r>
          </w:p>
          <w:p>
            <w:pPr>
              <w:pStyle w:val="45"/>
              <w:spacing w:line="400" w:lineRule="exact"/>
              <w:ind w:left="24" w:leftChars="10" w:right="24" w:rightChars="10"/>
              <w:jc w:val="both"/>
              <w:rPr>
                <w:rFonts w:cs="宋体"/>
                <w:b/>
                <w:bCs/>
                <w:color w:val="auto"/>
                <w:sz w:val="21"/>
                <w:szCs w:val="21"/>
                <w:highlight w:val="none"/>
              </w:rPr>
            </w:pPr>
            <w:r>
              <w:rPr>
                <w:rFonts w:hint="eastAsia" w:cs="宋体"/>
                <w:color w:val="auto"/>
                <w:szCs w:val="21"/>
                <w:highlight w:val="none"/>
              </w:rPr>
              <w:t>②本表中要求提供各类证明材料应清晰可辨，均需加盖供应商公章，否则将不认可该项材料的有效性。</w:t>
            </w:r>
          </w:p>
        </w:tc>
      </w:tr>
      <w:bookmarkEnd w:id="1294"/>
    </w:tbl>
    <w:p>
      <w:pPr>
        <w:pStyle w:val="34"/>
        <w:numPr>
          <w:ilvl w:val="1"/>
          <w:numId w:val="13"/>
        </w:numPr>
        <w:tabs>
          <w:tab w:val="left" w:pos="3603"/>
        </w:tabs>
        <w:bidi w:val="0"/>
        <w:spacing w:line="520" w:lineRule="exact"/>
        <w:rPr>
          <w:rFonts w:hint="eastAsia"/>
          <w:color w:val="auto"/>
          <w:highlight w:val="none"/>
          <w:lang w:val="en-US" w:eastAsia="zh-CN"/>
        </w:rPr>
      </w:pPr>
      <w:bookmarkStart w:id="1302" w:name="_Toc21440"/>
      <w:r>
        <w:rPr>
          <w:rFonts w:hint="eastAsia"/>
          <w:color w:val="auto"/>
          <w:highlight w:val="none"/>
          <w:lang w:val="en-US" w:eastAsia="zh-CN"/>
        </w:rPr>
        <w:t>复核</w:t>
      </w:r>
      <w:bookmarkEnd w:id="1295"/>
      <w:bookmarkEnd w:id="1296"/>
      <w:bookmarkEnd w:id="1302"/>
      <w:r>
        <w:rPr>
          <w:rFonts w:hint="eastAsia"/>
          <w:color w:val="auto"/>
          <w:highlight w:val="none"/>
          <w:lang w:val="en-US" w:eastAsia="zh-CN"/>
        </w:rPr>
        <w:tab/>
      </w:r>
    </w:p>
    <w:p>
      <w:pPr>
        <w:pStyle w:val="32"/>
        <w:numPr>
          <w:ilvl w:val="1"/>
          <w:numId w:val="38"/>
        </w:numPr>
        <w:bidi w:val="0"/>
        <w:spacing w:line="520" w:lineRule="exact"/>
        <w:rPr>
          <w:rFonts w:hint="eastAsia"/>
          <w:color w:val="auto"/>
          <w:highlight w:val="none"/>
          <w:lang w:eastAsia="zh-CN"/>
        </w:rPr>
      </w:pPr>
      <w:r>
        <w:rPr>
          <w:rFonts w:hint="eastAsia"/>
          <w:color w:val="auto"/>
          <w:highlight w:val="none"/>
        </w:rPr>
        <w:t>评标委员会复核</w:t>
      </w:r>
    </w:p>
    <w:p>
      <w:pPr>
        <w:pStyle w:val="42"/>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color w:val="auto"/>
          <w:highlight w:val="none"/>
        </w:rPr>
      </w:pPr>
      <w:r>
        <w:rPr>
          <w:rFonts w:hint="eastAsia"/>
          <w:color w:val="auto"/>
          <w:highlight w:val="none"/>
        </w:rPr>
        <w:t>评分汇总结束后，评标委员会应当进行复核，特别要对拟推荐为中标候选供应商的、报价最低的、投标文件被认定为无效的进行重点复核。</w:t>
      </w:r>
    </w:p>
    <w:p>
      <w:pPr>
        <w:pStyle w:val="32"/>
        <w:bidi w:val="0"/>
        <w:spacing w:line="520" w:lineRule="exact"/>
        <w:rPr>
          <w:rFonts w:hint="eastAsia"/>
          <w:color w:val="auto"/>
          <w:highlight w:val="none"/>
        </w:rPr>
      </w:pPr>
      <w:r>
        <w:rPr>
          <w:rFonts w:hint="eastAsia"/>
          <w:color w:val="auto"/>
          <w:highlight w:val="none"/>
        </w:rPr>
        <w:t>采购代理机构现场复核评审结果</w:t>
      </w:r>
    </w:p>
    <w:p>
      <w:pPr>
        <w:pStyle w:val="35"/>
        <w:bidi w:val="0"/>
        <w:spacing w:line="520" w:lineRule="exact"/>
        <w:rPr>
          <w:rFonts w:hint="eastAsia"/>
          <w:color w:val="auto"/>
          <w:highlight w:val="none"/>
        </w:rPr>
      </w:pPr>
      <w:r>
        <w:rPr>
          <w:rFonts w:hint="eastAsia"/>
          <w:color w:val="auto"/>
          <w:highlight w:val="none"/>
        </w:rPr>
        <w:t>评审结果汇总完成后，评</w:t>
      </w:r>
      <w:r>
        <w:rPr>
          <w:rFonts w:hint="eastAsia"/>
          <w:color w:val="auto"/>
          <w:highlight w:val="none"/>
          <w:lang w:val="en-US" w:eastAsia="zh-CN"/>
        </w:rPr>
        <w:t>标</w:t>
      </w:r>
      <w:r>
        <w:rPr>
          <w:rFonts w:hint="eastAsia"/>
          <w:color w:val="auto"/>
          <w:highlight w:val="none"/>
        </w:rPr>
        <w:t>委员会拟出具</w:t>
      </w:r>
      <w:r>
        <w:rPr>
          <w:rFonts w:hint="eastAsia"/>
          <w:color w:val="auto"/>
          <w:highlight w:val="none"/>
          <w:lang w:eastAsia="zh-CN"/>
        </w:rPr>
        <w:t>评标报告</w:t>
      </w:r>
      <w:r>
        <w:rPr>
          <w:rFonts w:hint="eastAsia"/>
          <w:color w:val="auto"/>
          <w:highlight w:val="none"/>
        </w:rPr>
        <w:t>前，采购代理机构应当组织2名以上的本单位工作人员，在采购现场监督人员的监督之下，依据有关的法律制度和采购文件对评审结果进行复核，出具复核报告，存在下列情形之一的，应当根据情况要求评标委员会现场修改评标结果或者重新评标：</w:t>
      </w:r>
    </w:p>
    <w:p>
      <w:pPr>
        <w:pStyle w:val="36"/>
        <w:bidi w:val="0"/>
        <w:spacing w:line="520" w:lineRule="exact"/>
        <w:rPr>
          <w:rFonts w:hint="eastAsia"/>
          <w:color w:val="auto"/>
          <w:highlight w:val="none"/>
        </w:rPr>
      </w:pPr>
      <w:r>
        <w:rPr>
          <w:rFonts w:hint="eastAsia"/>
          <w:color w:val="auto"/>
          <w:highlight w:val="none"/>
        </w:rPr>
        <w:t>分值汇总计算错误的；</w:t>
      </w:r>
    </w:p>
    <w:p>
      <w:pPr>
        <w:pStyle w:val="36"/>
        <w:bidi w:val="0"/>
        <w:spacing w:line="520" w:lineRule="exact"/>
        <w:rPr>
          <w:rFonts w:hint="eastAsia"/>
          <w:color w:val="auto"/>
          <w:highlight w:val="none"/>
        </w:rPr>
      </w:pPr>
      <w:r>
        <w:rPr>
          <w:rFonts w:hint="eastAsia"/>
          <w:color w:val="auto"/>
          <w:highlight w:val="none"/>
        </w:rPr>
        <w:t>分项评分超出评分标准范围的；</w:t>
      </w:r>
    </w:p>
    <w:p>
      <w:pPr>
        <w:pStyle w:val="36"/>
        <w:bidi w:val="0"/>
        <w:spacing w:line="520" w:lineRule="exact"/>
        <w:rPr>
          <w:rFonts w:hint="eastAsia"/>
          <w:color w:val="auto"/>
          <w:highlight w:val="none"/>
        </w:rPr>
      </w:pPr>
      <w:r>
        <w:rPr>
          <w:rFonts w:hint="eastAsia"/>
          <w:color w:val="auto"/>
          <w:highlight w:val="none"/>
        </w:rPr>
        <w:t>评标委员会成员对客观评审因素评分不一致的；</w:t>
      </w:r>
    </w:p>
    <w:p>
      <w:pPr>
        <w:pStyle w:val="36"/>
        <w:bidi w:val="0"/>
        <w:spacing w:line="520" w:lineRule="exact"/>
        <w:rPr>
          <w:rFonts w:hint="eastAsia"/>
          <w:color w:val="auto"/>
          <w:highlight w:val="none"/>
        </w:rPr>
      </w:pPr>
      <w:r>
        <w:rPr>
          <w:rFonts w:hint="eastAsia"/>
          <w:color w:val="auto"/>
          <w:highlight w:val="none"/>
        </w:rPr>
        <w:t>经评标委员会认定评分畸高、畸低的。</w:t>
      </w:r>
    </w:p>
    <w:p>
      <w:pPr>
        <w:pStyle w:val="46"/>
        <w:bidi w:val="0"/>
        <w:spacing w:line="520" w:lineRule="exact"/>
        <w:rPr>
          <w:rFonts w:hint="eastAsia"/>
          <w:color w:val="auto"/>
          <w:highlight w:val="none"/>
        </w:rPr>
      </w:pPr>
      <w:r>
        <w:rPr>
          <w:rFonts w:hint="eastAsia"/>
          <w:color w:val="auto"/>
          <w:highlight w:val="none"/>
        </w:rPr>
        <w:t>存在本条上述规定情形的，由评标委员会自主决定是否采纳采购代理机构的书面建议，并承担独立评审责任。评标委员会采纳采购代理机构书面建议的，应当按照规定现场修改评标结果或者重新评标，并在评标报告中详细记载有关事宜；不采纳采购代理机构书面建议的，应当书面说明理由。采购代理机构书面建议未被评标委员会采纳的，应当按照规定程序要求继续组织实施采购活动，不得擅自中止采购活动。</w:t>
      </w:r>
    </w:p>
    <w:p>
      <w:pPr>
        <w:pStyle w:val="46"/>
        <w:bidi w:val="0"/>
        <w:spacing w:line="520" w:lineRule="exact"/>
        <w:rPr>
          <w:rFonts w:hint="eastAsia"/>
          <w:color w:val="auto"/>
          <w:highlight w:val="none"/>
        </w:rPr>
      </w:pPr>
      <w:r>
        <w:rPr>
          <w:rFonts w:hint="eastAsia"/>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w:t>
      </w:r>
    </w:p>
    <w:p>
      <w:pPr>
        <w:pStyle w:val="35"/>
        <w:bidi w:val="0"/>
        <w:spacing w:line="520" w:lineRule="exact"/>
        <w:rPr>
          <w:rFonts w:hint="eastAsia"/>
          <w:color w:val="auto"/>
          <w:highlight w:val="none"/>
        </w:rPr>
      </w:pPr>
      <w:r>
        <w:rPr>
          <w:rFonts w:hint="eastAsia"/>
          <w:color w:val="auto"/>
          <w:highlight w:val="none"/>
        </w:rPr>
        <w:t>采购代理机构复核过程中，评标委员会不得离开评标现场。</w:t>
      </w:r>
    </w:p>
    <w:p>
      <w:pPr>
        <w:pStyle w:val="35"/>
        <w:bidi w:val="0"/>
        <w:spacing w:line="520" w:lineRule="exact"/>
        <w:rPr>
          <w:rFonts w:hint="eastAsia"/>
          <w:color w:val="auto"/>
          <w:highlight w:val="none"/>
        </w:rPr>
      </w:pPr>
      <w:r>
        <w:rPr>
          <w:rFonts w:hint="eastAsia"/>
          <w:color w:val="auto"/>
          <w:highlight w:val="none"/>
        </w:rPr>
        <w:t>有下列情形之一的，不得修改评标结果或者重新评标：</w:t>
      </w:r>
    </w:p>
    <w:p>
      <w:pPr>
        <w:pStyle w:val="36"/>
        <w:bidi w:val="0"/>
        <w:spacing w:line="520" w:lineRule="exact"/>
        <w:rPr>
          <w:rFonts w:hint="eastAsia"/>
          <w:color w:val="auto"/>
          <w:highlight w:val="none"/>
        </w:rPr>
      </w:pPr>
      <w:r>
        <w:rPr>
          <w:rFonts w:hint="eastAsia"/>
          <w:color w:val="auto"/>
          <w:highlight w:val="none"/>
        </w:rPr>
        <w:t>评标委员会已经出具评标报告并且离开评标现场的；</w:t>
      </w:r>
    </w:p>
    <w:p>
      <w:pPr>
        <w:pStyle w:val="36"/>
        <w:bidi w:val="0"/>
        <w:spacing w:line="520" w:lineRule="exact"/>
        <w:rPr>
          <w:rFonts w:hint="eastAsia"/>
          <w:color w:val="auto"/>
          <w:highlight w:val="none"/>
        </w:rPr>
      </w:pPr>
      <w:r>
        <w:rPr>
          <w:rFonts w:hint="eastAsia"/>
          <w:color w:val="auto"/>
          <w:highlight w:val="none"/>
        </w:rPr>
        <w:t>采购代理机构现场复核时，复核工作人员数量不足的；</w:t>
      </w:r>
    </w:p>
    <w:p>
      <w:pPr>
        <w:pStyle w:val="36"/>
        <w:bidi w:val="0"/>
        <w:spacing w:line="520" w:lineRule="exact"/>
        <w:rPr>
          <w:rFonts w:hint="eastAsia"/>
          <w:color w:val="auto"/>
          <w:highlight w:val="none"/>
        </w:rPr>
      </w:pPr>
      <w:r>
        <w:rPr>
          <w:rFonts w:hint="eastAsia"/>
          <w:color w:val="auto"/>
          <w:highlight w:val="none"/>
        </w:rPr>
        <w:t>采购代理机构现场复核时，没有采购监督人员现场监督的；</w:t>
      </w:r>
    </w:p>
    <w:p>
      <w:pPr>
        <w:pStyle w:val="36"/>
        <w:bidi w:val="0"/>
        <w:spacing w:line="520" w:lineRule="exact"/>
        <w:rPr>
          <w:rFonts w:hint="eastAsia"/>
          <w:color w:val="auto"/>
          <w:highlight w:val="none"/>
        </w:rPr>
      </w:pPr>
      <w:r>
        <w:rPr>
          <w:rFonts w:hint="eastAsia"/>
          <w:color w:val="auto"/>
          <w:highlight w:val="none"/>
        </w:rPr>
        <w:t>采购代理机构现场复核内容超出规定范围的；</w:t>
      </w:r>
    </w:p>
    <w:p>
      <w:pPr>
        <w:pStyle w:val="36"/>
        <w:bidi w:val="0"/>
        <w:spacing w:line="520" w:lineRule="exact"/>
        <w:rPr>
          <w:rFonts w:hint="eastAsia"/>
          <w:color w:val="auto"/>
          <w:highlight w:val="none"/>
        </w:rPr>
      </w:pPr>
      <w:r>
        <w:rPr>
          <w:rFonts w:hint="eastAsia"/>
          <w:color w:val="auto"/>
          <w:highlight w:val="none"/>
        </w:rPr>
        <w:t>采购代理机构未提供书面建议的。</w:t>
      </w:r>
    </w:p>
    <w:p>
      <w:pPr>
        <w:pStyle w:val="34"/>
        <w:numPr>
          <w:ilvl w:val="1"/>
          <w:numId w:val="13"/>
        </w:numPr>
        <w:bidi w:val="0"/>
        <w:spacing w:line="520" w:lineRule="exact"/>
        <w:rPr>
          <w:rFonts w:hint="eastAsia"/>
          <w:color w:val="auto"/>
          <w:highlight w:val="none"/>
          <w:lang w:val="en-US" w:eastAsia="zh-CN"/>
        </w:rPr>
      </w:pPr>
      <w:bookmarkStart w:id="1303" w:name="_Toc9013"/>
      <w:bookmarkStart w:id="1304" w:name="_Toc31256"/>
      <w:bookmarkStart w:id="1305" w:name="_Toc26745"/>
      <w:r>
        <w:rPr>
          <w:rFonts w:hint="eastAsia"/>
          <w:color w:val="auto"/>
          <w:highlight w:val="none"/>
          <w:lang w:val="en-US" w:eastAsia="zh-CN"/>
        </w:rPr>
        <w:t>推荐中标候选供应商</w:t>
      </w:r>
      <w:bookmarkEnd w:id="1303"/>
      <w:bookmarkEnd w:id="1304"/>
      <w:bookmarkEnd w:id="1305"/>
    </w:p>
    <w:p>
      <w:pPr>
        <w:pStyle w:val="46"/>
        <w:bidi w:val="0"/>
        <w:spacing w:line="520" w:lineRule="exact"/>
        <w:rPr>
          <w:rFonts w:hint="eastAsia"/>
          <w:color w:val="auto"/>
          <w:highlight w:val="none"/>
        </w:rPr>
      </w:pPr>
      <w:r>
        <w:rPr>
          <w:rFonts w:hint="eastAsia"/>
          <w:color w:val="auto"/>
          <w:highlight w:val="none"/>
        </w:rPr>
        <w:t>中标候选供应商数量应当根据招标文件的规定确定，但必须按顺序排列中标候选供应商。评标结果按评审后得分由高到低顺序排列。得分相同的，按投标报价由低到高顺序排列。得分且投标报价相同的并列</w:t>
      </w:r>
      <w:r>
        <w:rPr>
          <w:rFonts w:hint="eastAsia"/>
          <w:color w:val="auto"/>
          <w:highlight w:val="none"/>
          <w:lang w:eastAsia="zh-CN"/>
        </w:rPr>
        <w:t>，</w:t>
      </w:r>
      <w:r>
        <w:rPr>
          <w:rFonts w:hint="eastAsia"/>
          <w:color w:val="auto"/>
          <w:highlight w:val="none"/>
        </w:rPr>
        <w:t>投标文件满足招标文件全部实质性要求，且按照评审因素的量化指标评审得分最高的投标人为排名第一的中标候选人。报价相同且满足招标文件全部实质性要求且按照评审因素的量化指标评审得分也相同，且企业</w:t>
      </w:r>
      <w:r>
        <w:rPr>
          <w:rFonts w:hint="eastAsia"/>
          <w:color w:val="auto"/>
          <w:highlight w:val="none"/>
          <w:lang w:val="en-US" w:eastAsia="zh-CN"/>
        </w:rPr>
        <w:t>性质相同</w:t>
      </w:r>
      <w:r>
        <w:rPr>
          <w:rFonts w:hint="eastAsia"/>
          <w:color w:val="auto"/>
          <w:highlight w:val="none"/>
        </w:rPr>
        <w:t>的并列，由采购人自主采取公平、择优的方式选择中标</w:t>
      </w:r>
      <w:r>
        <w:rPr>
          <w:rFonts w:hint="eastAsia"/>
          <w:color w:val="auto"/>
          <w:highlight w:val="none"/>
          <w:lang w:val="en-US" w:eastAsia="zh-CN"/>
        </w:rPr>
        <w:t>候选</w:t>
      </w:r>
      <w:r>
        <w:rPr>
          <w:rFonts w:hint="eastAsia"/>
          <w:color w:val="auto"/>
          <w:highlight w:val="none"/>
        </w:rPr>
        <w:t>供应商。</w:t>
      </w:r>
    </w:p>
    <w:p>
      <w:pPr>
        <w:pStyle w:val="46"/>
        <w:bidi w:val="0"/>
        <w:spacing w:line="520" w:lineRule="exact"/>
        <w:rPr>
          <w:rFonts w:hint="eastAsia"/>
          <w:color w:val="auto"/>
          <w:highlight w:val="none"/>
        </w:rPr>
      </w:pPr>
      <w:r>
        <w:rPr>
          <w:rFonts w:hint="eastAsia"/>
          <w:color w:val="auto"/>
          <w:highlight w:val="none"/>
        </w:rPr>
        <w:t>评标委员会可推荐的中标候选供应商数量不能满足招标文件规定的数量的，只有在获得采购人书面同意后，可以根据实际情况推荐中标候选供应商。未获得采购人的书面同意</w:t>
      </w:r>
      <w:r>
        <w:rPr>
          <w:rFonts w:hint="eastAsia"/>
          <w:color w:val="auto"/>
          <w:highlight w:val="none"/>
          <w:lang w:eastAsia="zh-CN"/>
        </w:rPr>
        <w:t>，</w:t>
      </w:r>
      <w:r>
        <w:rPr>
          <w:rFonts w:hint="eastAsia"/>
          <w:color w:val="auto"/>
          <w:highlight w:val="none"/>
        </w:rPr>
        <w:t>评标委员会不得在招标文件规定之外推荐中标候选供应商，否则，采购人不予认可。</w:t>
      </w:r>
    </w:p>
    <w:p>
      <w:pPr>
        <w:pStyle w:val="34"/>
        <w:numPr>
          <w:ilvl w:val="1"/>
          <w:numId w:val="13"/>
        </w:numPr>
        <w:bidi w:val="0"/>
        <w:spacing w:line="520" w:lineRule="exact"/>
        <w:rPr>
          <w:rFonts w:hint="eastAsia"/>
          <w:color w:val="auto"/>
          <w:highlight w:val="none"/>
          <w:lang w:val="en-US" w:eastAsia="zh-CN"/>
        </w:rPr>
      </w:pPr>
      <w:bookmarkStart w:id="1306" w:name="_Toc19311"/>
      <w:bookmarkStart w:id="1307" w:name="_Toc28097"/>
      <w:bookmarkStart w:id="1308" w:name="_Toc7685"/>
      <w:r>
        <w:rPr>
          <w:rFonts w:hint="eastAsia"/>
          <w:color w:val="auto"/>
          <w:highlight w:val="none"/>
          <w:lang w:val="en-US" w:eastAsia="zh-CN"/>
        </w:rPr>
        <w:t>出具评标报告</w:t>
      </w:r>
      <w:bookmarkEnd w:id="1306"/>
      <w:bookmarkEnd w:id="1307"/>
      <w:bookmarkEnd w:id="1308"/>
    </w:p>
    <w:p>
      <w:pPr>
        <w:pStyle w:val="46"/>
        <w:bidi w:val="0"/>
        <w:spacing w:line="520" w:lineRule="exact"/>
        <w:rPr>
          <w:rFonts w:hint="eastAsia"/>
          <w:color w:val="auto"/>
          <w:highlight w:val="none"/>
        </w:rPr>
      </w:pPr>
      <w:r>
        <w:rPr>
          <w:rFonts w:hint="eastAsia"/>
          <w:color w:val="auto"/>
          <w:highlight w:val="none"/>
        </w:rPr>
        <w:t>评标委员会推荐中标候选供应商后，应当向招标采购单位出具评标报告。评标报告应当包括下列内容：</w:t>
      </w:r>
    </w:p>
    <w:p>
      <w:pPr>
        <w:pStyle w:val="32"/>
        <w:numPr>
          <w:ilvl w:val="1"/>
          <w:numId w:val="39"/>
        </w:numPr>
        <w:bidi w:val="0"/>
        <w:spacing w:line="520" w:lineRule="exact"/>
        <w:rPr>
          <w:rFonts w:hint="eastAsia"/>
          <w:color w:val="auto"/>
          <w:highlight w:val="none"/>
        </w:rPr>
      </w:pPr>
      <w:r>
        <w:rPr>
          <w:rFonts w:hint="eastAsia"/>
          <w:color w:val="auto"/>
          <w:highlight w:val="none"/>
        </w:rPr>
        <w:t>招标公告刊登的媒体名称、开标日期和地点；</w:t>
      </w:r>
    </w:p>
    <w:p>
      <w:pPr>
        <w:pStyle w:val="32"/>
        <w:numPr>
          <w:ilvl w:val="1"/>
          <w:numId w:val="39"/>
        </w:numPr>
        <w:bidi w:val="0"/>
        <w:spacing w:line="520" w:lineRule="exact"/>
        <w:rPr>
          <w:rFonts w:hint="eastAsia"/>
          <w:color w:val="auto"/>
          <w:highlight w:val="none"/>
        </w:rPr>
      </w:pPr>
      <w:r>
        <w:rPr>
          <w:rFonts w:hint="eastAsia"/>
          <w:color w:val="auto"/>
          <w:highlight w:val="none"/>
        </w:rPr>
        <w:t>投标人名单和评标委员会成员名单；</w:t>
      </w:r>
    </w:p>
    <w:p>
      <w:pPr>
        <w:pStyle w:val="32"/>
        <w:numPr>
          <w:ilvl w:val="1"/>
          <w:numId w:val="39"/>
        </w:numPr>
        <w:bidi w:val="0"/>
        <w:spacing w:line="520" w:lineRule="exact"/>
        <w:rPr>
          <w:rFonts w:hint="eastAsia"/>
          <w:color w:val="auto"/>
          <w:highlight w:val="none"/>
        </w:rPr>
      </w:pPr>
      <w:r>
        <w:rPr>
          <w:rFonts w:hint="eastAsia"/>
          <w:color w:val="auto"/>
          <w:highlight w:val="none"/>
        </w:rPr>
        <w:t>评标方法和标准；</w:t>
      </w:r>
    </w:p>
    <w:p>
      <w:pPr>
        <w:pStyle w:val="32"/>
        <w:numPr>
          <w:ilvl w:val="1"/>
          <w:numId w:val="39"/>
        </w:numPr>
        <w:bidi w:val="0"/>
        <w:spacing w:line="520" w:lineRule="exact"/>
        <w:rPr>
          <w:rFonts w:hint="eastAsia"/>
          <w:color w:val="auto"/>
          <w:highlight w:val="none"/>
        </w:rPr>
      </w:pPr>
      <w:r>
        <w:rPr>
          <w:rFonts w:hint="eastAsia"/>
          <w:color w:val="auto"/>
          <w:highlight w:val="none"/>
        </w:rPr>
        <w:t>开标记录和评标情况及说明，包括无效投标人名单及原因；</w:t>
      </w:r>
    </w:p>
    <w:p>
      <w:pPr>
        <w:pStyle w:val="32"/>
        <w:numPr>
          <w:ilvl w:val="1"/>
          <w:numId w:val="39"/>
        </w:numPr>
        <w:bidi w:val="0"/>
        <w:spacing w:line="520" w:lineRule="exact"/>
        <w:rPr>
          <w:rFonts w:hint="eastAsia"/>
          <w:color w:val="auto"/>
          <w:highlight w:val="none"/>
        </w:rPr>
      </w:pPr>
      <w:r>
        <w:rPr>
          <w:rFonts w:hint="eastAsia"/>
          <w:color w:val="auto"/>
          <w:highlight w:val="none"/>
        </w:rPr>
        <w:t>评标结果，确定的中标候选人名单或者经采购人委托直接确定的中标人；</w:t>
      </w:r>
    </w:p>
    <w:p>
      <w:pPr>
        <w:pStyle w:val="32"/>
        <w:numPr>
          <w:ilvl w:val="1"/>
          <w:numId w:val="39"/>
        </w:numPr>
        <w:bidi w:val="0"/>
        <w:spacing w:line="520" w:lineRule="exact"/>
        <w:rPr>
          <w:rFonts w:hint="eastAsia"/>
          <w:color w:val="auto"/>
          <w:highlight w:val="none"/>
          <w:lang w:val="en-US" w:eastAsia="zh-CN"/>
        </w:rPr>
      </w:pPr>
      <w:r>
        <w:rPr>
          <w:rFonts w:hint="eastAsia"/>
          <w:color w:val="auto"/>
          <w:highlight w:val="none"/>
          <w:lang w:val="en-US" w:eastAsia="zh-CN"/>
        </w:rPr>
        <w:t>其他需要说明的情况，包括评标过程中投标人根据评标委员会要求进行的澄清、说明或者补正，评标委员会成员的更换等。</w:t>
      </w:r>
    </w:p>
    <w:p>
      <w:pPr>
        <w:pStyle w:val="47"/>
        <w:bidi w:val="0"/>
        <w:spacing w:line="520" w:lineRule="exact"/>
        <w:rPr>
          <w:rFonts w:hint="eastAsia"/>
          <w:color w:val="auto"/>
          <w:highlight w:val="none"/>
          <w:lang w:val="en-US" w:eastAsia="zh-CN"/>
        </w:rPr>
      </w:pPr>
      <w:r>
        <w:rPr>
          <w:rFonts w:hint="eastAsia"/>
          <w:color w:val="auto"/>
          <w:highlight w:val="none"/>
          <w:lang w:val="en-US" w:eastAsia="zh-CN"/>
        </w:rPr>
        <w:t>注：评标委员会成员应当在评标报告中签字确认，对评标过程和结果有不同意见的，应当在评标报告中写明并说明理由。签字但不写明不同意见或者不说明理由的，视同无意见。拒不签字又不另行书面说明其不同意见和理由的，视为同意评标结果。</w:t>
      </w:r>
    </w:p>
    <w:p>
      <w:pPr>
        <w:pStyle w:val="34"/>
        <w:numPr>
          <w:ilvl w:val="1"/>
          <w:numId w:val="13"/>
        </w:numPr>
        <w:bidi w:val="0"/>
        <w:spacing w:line="520" w:lineRule="exact"/>
        <w:rPr>
          <w:rFonts w:hint="eastAsia"/>
          <w:color w:val="auto"/>
          <w:highlight w:val="none"/>
        </w:rPr>
      </w:pPr>
      <w:bookmarkStart w:id="1309" w:name="_Toc17073"/>
      <w:bookmarkStart w:id="1310" w:name="_Toc11762"/>
      <w:bookmarkStart w:id="1311" w:name="_Toc28802"/>
      <w:r>
        <w:rPr>
          <w:rFonts w:hint="eastAsia"/>
          <w:color w:val="auto"/>
          <w:highlight w:val="none"/>
        </w:rPr>
        <w:t>废标</w:t>
      </w:r>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297"/>
      <w:bookmarkEnd w:id="1298"/>
      <w:bookmarkEnd w:id="1299"/>
      <w:bookmarkEnd w:id="1300"/>
      <w:bookmarkEnd w:id="1309"/>
      <w:bookmarkEnd w:id="1310"/>
      <w:bookmarkEnd w:id="1311"/>
    </w:p>
    <w:p>
      <w:pPr>
        <w:pStyle w:val="46"/>
        <w:bidi w:val="0"/>
        <w:spacing w:line="520" w:lineRule="exact"/>
        <w:rPr>
          <w:rFonts w:hint="eastAsia"/>
          <w:color w:val="auto"/>
          <w:highlight w:val="none"/>
        </w:rPr>
      </w:pPr>
      <w:r>
        <w:rPr>
          <w:rFonts w:hint="eastAsia"/>
          <w:color w:val="auto"/>
          <w:highlight w:val="none"/>
        </w:rPr>
        <w:t>本次</w:t>
      </w:r>
      <w:r>
        <w:rPr>
          <w:rFonts w:hint="eastAsia"/>
          <w:color w:val="auto"/>
          <w:highlight w:val="none"/>
          <w:lang w:eastAsia="zh-CN"/>
        </w:rPr>
        <w:t>采购</w:t>
      </w:r>
      <w:r>
        <w:rPr>
          <w:rFonts w:hint="eastAsia"/>
          <w:color w:val="auto"/>
          <w:highlight w:val="none"/>
        </w:rPr>
        <w:t>活动中，出现下列情形之一的，予以废标：</w:t>
      </w:r>
    </w:p>
    <w:p>
      <w:pPr>
        <w:pStyle w:val="35"/>
        <w:bidi w:val="0"/>
        <w:spacing w:line="520" w:lineRule="exact"/>
        <w:rPr>
          <w:rFonts w:hint="eastAsia"/>
          <w:color w:val="auto"/>
          <w:highlight w:val="none"/>
        </w:rPr>
      </w:pPr>
      <w:r>
        <w:rPr>
          <w:rFonts w:hint="eastAsia"/>
          <w:color w:val="auto"/>
          <w:highlight w:val="none"/>
        </w:rPr>
        <w:t>符合专业条件的供应商或者对招标文件作实质响应的供应商不足三家的；</w:t>
      </w:r>
    </w:p>
    <w:p>
      <w:pPr>
        <w:pStyle w:val="35"/>
        <w:bidi w:val="0"/>
        <w:spacing w:line="520" w:lineRule="exact"/>
        <w:rPr>
          <w:rFonts w:hint="eastAsia"/>
          <w:color w:val="auto"/>
          <w:highlight w:val="none"/>
        </w:rPr>
      </w:pPr>
      <w:r>
        <w:rPr>
          <w:rFonts w:hint="eastAsia"/>
          <w:color w:val="auto"/>
          <w:highlight w:val="none"/>
        </w:rPr>
        <w:t>出现影响采购公正的违法、违规行为的；</w:t>
      </w:r>
    </w:p>
    <w:p>
      <w:pPr>
        <w:pStyle w:val="35"/>
        <w:bidi w:val="0"/>
        <w:spacing w:line="520" w:lineRule="exact"/>
        <w:rPr>
          <w:rFonts w:hint="eastAsia"/>
          <w:color w:val="auto"/>
          <w:highlight w:val="none"/>
        </w:rPr>
      </w:pPr>
      <w:r>
        <w:rPr>
          <w:rFonts w:hint="eastAsia"/>
          <w:color w:val="auto"/>
          <w:highlight w:val="none"/>
        </w:rPr>
        <w:t>投标人的报价均超过了采购预算，采购人不能支付的；</w:t>
      </w:r>
    </w:p>
    <w:p>
      <w:pPr>
        <w:pStyle w:val="35"/>
        <w:bidi w:val="0"/>
        <w:spacing w:line="520" w:lineRule="exact"/>
        <w:rPr>
          <w:rFonts w:hint="eastAsia"/>
          <w:color w:val="auto"/>
          <w:highlight w:val="none"/>
        </w:rPr>
      </w:pPr>
      <w:r>
        <w:rPr>
          <w:rFonts w:hint="eastAsia"/>
          <w:color w:val="auto"/>
          <w:highlight w:val="none"/>
        </w:rPr>
        <w:t>因重大变故，采购任务取消的。</w:t>
      </w:r>
    </w:p>
    <w:p>
      <w:pPr>
        <w:pStyle w:val="46"/>
        <w:bidi w:val="0"/>
        <w:spacing w:line="520" w:lineRule="exact"/>
        <w:ind w:firstLine="480" w:firstLineChars="200"/>
        <w:rPr>
          <w:rFonts w:hint="eastAsia"/>
          <w:color w:val="auto"/>
          <w:highlight w:val="none"/>
        </w:rPr>
      </w:pPr>
      <w:r>
        <w:rPr>
          <w:rFonts w:hint="eastAsia"/>
          <w:color w:val="auto"/>
          <w:highlight w:val="none"/>
        </w:rPr>
        <w:t>废标后，采购代理机构应在</w:t>
      </w:r>
      <w:r>
        <w:rPr>
          <w:rFonts w:hint="eastAsia"/>
          <w:color w:val="auto"/>
          <w:highlight w:val="none"/>
          <w:lang w:eastAsia="zh-CN"/>
        </w:rPr>
        <w:t>“中国招标投标公共服务平台”</w:t>
      </w:r>
      <w:r>
        <w:rPr>
          <w:rFonts w:hint="eastAsia"/>
          <w:color w:val="auto"/>
          <w:highlight w:val="none"/>
        </w:rPr>
        <w:t>公告，并公告废标的理由。</w:t>
      </w:r>
    </w:p>
    <w:p>
      <w:pPr>
        <w:pStyle w:val="34"/>
        <w:numPr>
          <w:ilvl w:val="1"/>
          <w:numId w:val="13"/>
        </w:numPr>
        <w:bidi w:val="0"/>
        <w:spacing w:line="520" w:lineRule="exact"/>
        <w:rPr>
          <w:rFonts w:hint="eastAsia"/>
          <w:color w:val="auto"/>
          <w:highlight w:val="none"/>
        </w:rPr>
      </w:pPr>
      <w:bookmarkStart w:id="1312" w:name="_Toc25875"/>
      <w:bookmarkStart w:id="1313" w:name="_Toc308188202"/>
      <w:bookmarkStart w:id="1314" w:name="_Toc7121"/>
      <w:bookmarkStart w:id="1315" w:name="_Toc31281"/>
      <w:bookmarkStart w:id="1316" w:name="_Toc307501158"/>
      <w:bookmarkStart w:id="1317" w:name="_Toc319439949"/>
      <w:bookmarkStart w:id="1318" w:name="_Toc768"/>
      <w:bookmarkStart w:id="1319" w:name="_Toc2453"/>
      <w:bookmarkStart w:id="1320" w:name="_Toc307564900"/>
      <w:bookmarkStart w:id="1321" w:name="_Toc4475"/>
      <w:bookmarkStart w:id="1322" w:name="_Toc4794"/>
      <w:bookmarkStart w:id="1323" w:name="_Toc24655"/>
      <w:bookmarkStart w:id="1324" w:name="_Toc21352"/>
      <w:bookmarkStart w:id="1325" w:name="_Toc308084649"/>
      <w:bookmarkStart w:id="1326" w:name="_Toc327196344"/>
      <w:bookmarkStart w:id="1327" w:name="_Toc319440193"/>
      <w:bookmarkStart w:id="1328" w:name="_Toc309897567"/>
      <w:bookmarkStart w:id="1329" w:name="_Toc22949"/>
      <w:bookmarkStart w:id="1330" w:name="_Toc10846"/>
      <w:bookmarkStart w:id="1331" w:name="_Toc7554"/>
      <w:bookmarkStart w:id="1332" w:name="_Toc13169"/>
      <w:r>
        <w:rPr>
          <w:rFonts w:hint="eastAsia"/>
          <w:color w:val="auto"/>
          <w:highlight w:val="none"/>
        </w:rPr>
        <w:t>定标</w:t>
      </w:r>
      <w:bookmarkEnd w:id="1116"/>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Start w:id="1333" w:name="_Toc217446061"/>
    </w:p>
    <w:p>
      <w:pPr>
        <w:pStyle w:val="32"/>
        <w:numPr>
          <w:ilvl w:val="1"/>
          <w:numId w:val="40"/>
        </w:numPr>
        <w:bidi w:val="0"/>
        <w:spacing w:line="520" w:lineRule="exact"/>
        <w:rPr>
          <w:rFonts w:hint="eastAsia"/>
          <w:color w:val="auto"/>
          <w:highlight w:val="none"/>
        </w:rPr>
      </w:pPr>
      <w:r>
        <w:rPr>
          <w:rFonts w:hint="eastAsia"/>
          <w:color w:val="auto"/>
          <w:highlight w:val="none"/>
        </w:rPr>
        <w:t>定标原则</w:t>
      </w:r>
      <w:bookmarkEnd w:id="1333"/>
      <w:r>
        <w:rPr>
          <w:rFonts w:hint="eastAsia"/>
          <w:color w:val="auto"/>
          <w:highlight w:val="none"/>
        </w:rPr>
        <w:t>：本项目根据评委会推荐的中标候选人名单，按顺序确定中标人。</w:t>
      </w:r>
    </w:p>
    <w:p>
      <w:pPr>
        <w:pStyle w:val="32"/>
        <w:numPr>
          <w:ilvl w:val="1"/>
          <w:numId w:val="40"/>
        </w:numPr>
        <w:bidi w:val="0"/>
        <w:spacing w:line="520" w:lineRule="exact"/>
        <w:rPr>
          <w:rFonts w:hint="eastAsia"/>
          <w:color w:val="auto"/>
          <w:highlight w:val="none"/>
        </w:rPr>
      </w:pPr>
      <w:bookmarkStart w:id="1334" w:name="_Toc217446062"/>
      <w:r>
        <w:rPr>
          <w:rFonts w:hint="eastAsia"/>
          <w:color w:val="auto"/>
          <w:highlight w:val="none"/>
        </w:rPr>
        <w:t>定标程序</w:t>
      </w:r>
      <w:bookmarkEnd w:id="1334"/>
    </w:p>
    <w:p>
      <w:pPr>
        <w:pStyle w:val="35"/>
        <w:bidi w:val="0"/>
        <w:spacing w:line="520" w:lineRule="exact"/>
        <w:rPr>
          <w:rFonts w:hint="eastAsia"/>
          <w:color w:val="auto"/>
          <w:highlight w:val="none"/>
        </w:rPr>
      </w:pPr>
      <w:r>
        <w:rPr>
          <w:rFonts w:hint="eastAsia"/>
          <w:color w:val="auto"/>
          <w:highlight w:val="none"/>
          <w:lang w:val="en-US" w:eastAsia="zh-CN"/>
        </w:rPr>
        <w:t>评标委员会根据全体评标成员签字的原始评标记录和评标结果编写评标报告</w:t>
      </w:r>
      <w:r>
        <w:rPr>
          <w:rFonts w:hint="eastAsia"/>
          <w:color w:val="auto"/>
          <w:highlight w:val="none"/>
        </w:rPr>
        <w:t>，推荐</w:t>
      </w:r>
      <w:r>
        <w:rPr>
          <w:rFonts w:hint="eastAsia"/>
          <w:color w:val="auto"/>
          <w:highlight w:val="none"/>
          <w:lang w:val="en-US" w:eastAsia="zh-CN"/>
        </w:rPr>
        <w:t>不少于三名</w:t>
      </w:r>
      <w:r>
        <w:rPr>
          <w:rFonts w:hint="eastAsia"/>
          <w:color w:val="auto"/>
          <w:highlight w:val="none"/>
        </w:rPr>
        <w:t>中标候选人，并按照综合得分高低标明排列顺序。</w:t>
      </w:r>
    </w:p>
    <w:p>
      <w:pPr>
        <w:pStyle w:val="35"/>
        <w:bidi w:val="0"/>
        <w:spacing w:line="520" w:lineRule="exact"/>
        <w:rPr>
          <w:rFonts w:hint="eastAsia"/>
          <w:color w:val="auto"/>
          <w:highlight w:val="none"/>
        </w:rPr>
      </w:pPr>
      <w:r>
        <w:rPr>
          <w:rFonts w:hint="eastAsia"/>
          <w:color w:val="auto"/>
          <w:highlight w:val="none"/>
        </w:rPr>
        <w:t>采购代理机构在评标结束后2个工作日内将评标报告送采购人。</w:t>
      </w:r>
    </w:p>
    <w:p>
      <w:pPr>
        <w:pStyle w:val="35"/>
        <w:bidi w:val="0"/>
        <w:spacing w:line="520" w:lineRule="exact"/>
        <w:rPr>
          <w:rFonts w:hint="eastAsia"/>
          <w:color w:val="auto"/>
          <w:highlight w:val="none"/>
        </w:rPr>
      </w:pPr>
      <w:r>
        <w:rPr>
          <w:rFonts w:hint="eastAsia"/>
          <w:color w:val="auto"/>
          <w:highlight w:val="none"/>
        </w:rPr>
        <w:t>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如果中标候选人及其现任法定代表人、主要负责人存在行贿犯罪记录，采购人将不确定其为中标人。采购人在确认</w:t>
      </w:r>
      <w:r>
        <w:rPr>
          <w:rFonts w:hint="eastAsia"/>
          <w:color w:val="auto"/>
          <w:highlight w:val="none"/>
          <w:lang w:val="en-US" w:eastAsia="zh-CN"/>
        </w:rPr>
        <w:t>中标</w:t>
      </w:r>
      <w:r>
        <w:rPr>
          <w:rFonts w:hint="eastAsia"/>
          <w:color w:val="auto"/>
          <w:highlight w:val="none"/>
        </w:rPr>
        <w:t>供应商前，应到中国裁判文书网</w:t>
      </w:r>
      <w:r>
        <w:rPr>
          <w:rFonts w:hint="eastAsia"/>
          <w:color w:val="auto"/>
          <w:highlight w:val="none"/>
          <w:lang w:eastAsia="zh-CN"/>
        </w:rPr>
        <w:t>(</w:t>
      </w:r>
      <w:r>
        <w:rPr>
          <w:rFonts w:hint="eastAsia"/>
          <w:color w:val="auto"/>
          <w:highlight w:val="none"/>
        </w:rPr>
        <w:t>https</w:t>
      </w:r>
      <w:r>
        <w:rPr>
          <w:rFonts w:hint="eastAsia"/>
          <w:color w:val="auto"/>
          <w:highlight w:val="none"/>
          <w:lang w:eastAsia="zh-CN"/>
        </w:rPr>
        <w:t>：</w:t>
      </w:r>
      <w:r>
        <w:rPr>
          <w:rFonts w:hint="eastAsia"/>
          <w:color w:val="auto"/>
          <w:highlight w:val="none"/>
        </w:rPr>
        <w:t>//wenshu.court.gov.cn</w:t>
      </w:r>
      <w:r>
        <w:rPr>
          <w:rFonts w:hint="eastAsia"/>
          <w:color w:val="auto"/>
          <w:highlight w:val="none"/>
          <w:lang w:eastAsia="zh-CN"/>
        </w:rPr>
        <w:t>)</w:t>
      </w:r>
      <w:r>
        <w:rPr>
          <w:rFonts w:hint="eastAsia"/>
          <w:color w:val="auto"/>
          <w:highlight w:val="none"/>
        </w:rPr>
        <w:t>查询</w:t>
      </w:r>
      <w:r>
        <w:rPr>
          <w:rFonts w:hint="eastAsia"/>
          <w:color w:val="auto"/>
          <w:highlight w:val="none"/>
          <w:lang w:val="en-US" w:eastAsia="zh-CN"/>
        </w:rPr>
        <w:t>中标</w:t>
      </w:r>
      <w:r>
        <w:rPr>
          <w:rFonts w:hint="eastAsia"/>
          <w:color w:val="auto"/>
          <w:highlight w:val="none"/>
        </w:rPr>
        <w:t>候选供应商及其现任法定代表人、主要负责人是否存在行贿犯罪记录</w:t>
      </w:r>
      <w:r>
        <w:rPr>
          <w:rFonts w:hint="eastAsia"/>
          <w:color w:val="auto"/>
          <w:highlight w:val="none"/>
          <w:lang w:eastAsia="zh-CN"/>
        </w:rPr>
        <w:t>。</w:t>
      </w:r>
    </w:p>
    <w:p>
      <w:pPr>
        <w:pStyle w:val="46"/>
        <w:bidi w:val="0"/>
        <w:spacing w:line="520" w:lineRule="exact"/>
        <w:rPr>
          <w:rFonts w:hint="eastAsia"/>
          <w:color w:val="auto"/>
          <w:highlight w:val="none"/>
        </w:rPr>
      </w:pPr>
      <w:r>
        <w:rPr>
          <w:rFonts w:hint="eastAsia"/>
          <w:color w:val="auto"/>
          <w:highlight w:val="none"/>
          <w:lang w:val="en-US" w:eastAsia="zh-CN"/>
        </w:rPr>
        <w:t>采</w:t>
      </w:r>
      <w:r>
        <w:rPr>
          <w:rFonts w:hint="eastAsia"/>
          <w:color w:val="auto"/>
          <w:highlight w:val="none"/>
        </w:rPr>
        <w:t>购人在收到评标报告5个工作日内未按评标报告推荐的中标候选人顺序确定中标人，又不能说明合法理由的，视同按评标报告推荐的顺序确定排名第一的中标候选人为中标人。</w:t>
      </w:r>
    </w:p>
    <w:p>
      <w:pPr>
        <w:pStyle w:val="35"/>
        <w:bidi w:val="0"/>
        <w:spacing w:line="520" w:lineRule="exact"/>
        <w:rPr>
          <w:rFonts w:hint="eastAsia"/>
          <w:color w:val="auto"/>
          <w:highlight w:val="none"/>
        </w:rPr>
      </w:pPr>
      <w:r>
        <w:rPr>
          <w:rFonts w:hint="eastAsia"/>
          <w:color w:val="auto"/>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供应商为中标供应商；报价相同且满足招标文件全部实质性要求且按照评审因素的量化指标评审得分也相同，且企业</w:t>
      </w:r>
      <w:r>
        <w:rPr>
          <w:rFonts w:hint="eastAsia"/>
          <w:color w:val="auto"/>
          <w:highlight w:val="none"/>
          <w:lang w:val="en-US" w:eastAsia="zh-CN"/>
        </w:rPr>
        <w:t>性质相同</w:t>
      </w:r>
      <w:r>
        <w:rPr>
          <w:rFonts w:hint="eastAsia"/>
          <w:color w:val="auto"/>
          <w:highlight w:val="none"/>
        </w:rPr>
        <w:t>的并列，由采购人自主采取公平、择优的方式选择中标供应商。</w:t>
      </w:r>
    </w:p>
    <w:p>
      <w:pPr>
        <w:pStyle w:val="35"/>
        <w:bidi w:val="0"/>
        <w:spacing w:line="520" w:lineRule="exact"/>
        <w:rPr>
          <w:rFonts w:hint="eastAsia"/>
          <w:color w:val="auto"/>
          <w:highlight w:val="none"/>
        </w:rPr>
      </w:pPr>
      <w:r>
        <w:rPr>
          <w:rFonts w:hint="eastAsia"/>
          <w:color w:val="auto"/>
          <w:highlight w:val="none"/>
        </w:rPr>
        <w:t>采购代理机构在中标人确定后2个工作日内，在</w:t>
      </w:r>
      <w:r>
        <w:rPr>
          <w:rFonts w:hint="eastAsia"/>
          <w:color w:val="auto"/>
          <w:highlight w:val="none"/>
          <w:lang w:eastAsia="zh-CN"/>
        </w:rPr>
        <w:t>“中国招标投标公共服务平台”</w:t>
      </w:r>
      <w:r>
        <w:rPr>
          <w:rFonts w:hint="eastAsia"/>
          <w:color w:val="auto"/>
          <w:highlight w:val="none"/>
        </w:rPr>
        <w:t>发布中标公告，同时采购代理机构将中标通知书快递至中标人。</w:t>
      </w:r>
    </w:p>
    <w:p>
      <w:pPr>
        <w:pStyle w:val="35"/>
        <w:bidi w:val="0"/>
        <w:spacing w:line="520" w:lineRule="exact"/>
        <w:rPr>
          <w:rFonts w:hint="eastAsia"/>
          <w:color w:val="auto"/>
          <w:highlight w:val="none"/>
        </w:rPr>
      </w:pPr>
      <w:r>
        <w:rPr>
          <w:rFonts w:hint="eastAsia"/>
          <w:color w:val="auto"/>
          <w:highlight w:val="none"/>
        </w:rPr>
        <w:t>招标采购单位不退回投标人投标文件和其他投标资料。</w:t>
      </w:r>
    </w:p>
    <w:bookmarkEnd w:id="1117"/>
    <w:p>
      <w:pPr>
        <w:pStyle w:val="42"/>
        <w:bidi w:val="0"/>
        <w:rPr>
          <w:rFonts w:hint="eastAsia"/>
          <w:color w:val="auto"/>
          <w:highlight w:val="none"/>
        </w:rPr>
      </w:pPr>
      <w:bookmarkStart w:id="1335" w:name="_Toc28956"/>
    </w:p>
    <w:p>
      <w:pPr>
        <w:pStyle w:val="48"/>
        <w:numPr>
          <w:ilvl w:val="0"/>
          <w:numId w:val="13"/>
        </w:numPr>
        <w:bidi w:val="0"/>
        <w:rPr>
          <w:rFonts w:hint="eastAsia"/>
          <w:color w:val="auto"/>
          <w:highlight w:val="none"/>
        </w:rPr>
      </w:pPr>
      <w:r>
        <w:rPr>
          <w:rFonts w:hint="eastAsia"/>
          <w:color w:val="auto"/>
          <w:highlight w:val="none"/>
        </w:rPr>
        <w:br w:type="page"/>
      </w:r>
      <w:bookmarkEnd w:id="1335"/>
      <w:bookmarkStart w:id="1336" w:name="_Toc18908"/>
      <w:bookmarkStart w:id="1337" w:name="_Toc653"/>
      <w:bookmarkStart w:id="1338" w:name="_Toc13264"/>
      <w:bookmarkStart w:id="1339" w:name="_Toc229"/>
      <w:bookmarkStart w:id="1340" w:name="_Toc7547"/>
      <w:bookmarkStart w:id="1341" w:name="_Toc3704"/>
      <w:r>
        <w:rPr>
          <w:rFonts w:hint="eastAsia"/>
          <w:color w:val="auto"/>
          <w:highlight w:val="none"/>
        </w:rPr>
        <w:t>采购合同</w:t>
      </w:r>
      <w:bookmarkEnd w:id="1336"/>
      <w:bookmarkEnd w:id="1337"/>
      <w:bookmarkEnd w:id="1338"/>
      <w:bookmarkEnd w:id="1339"/>
      <w:bookmarkEnd w:id="1340"/>
      <w:bookmarkEnd w:id="1341"/>
    </w:p>
    <w:p>
      <w:pPr>
        <w:pStyle w:val="48"/>
        <w:keepNext w:val="0"/>
        <w:keepLines w:val="0"/>
        <w:pageBreakBefore w:val="0"/>
        <w:widowControl w:val="0"/>
        <w:numPr>
          <w:ilvl w:val="0"/>
          <w:numId w:val="0"/>
        </w:numPr>
        <w:kinsoku/>
        <w:wordWrap w:val="0"/>
        <w:overflowPunct/>
        <w:topLinePunct/>
        <w:autoSpaceDE/>
        <w:autoSpaceDN/>
        <w:bidi w:val="0"/>
        <w:adjustRightInd/>
        <w:snapToGrid/>
        <w:spacing w:beforeLines="0" w:afterLines="0"/>
        <w:jc w:val="both"/>
        <w:textAlignment w:val="auto"/>
        <w:outlineLvl w:val="9"/>
        <w:rPr>
          <w:rFonts w:hint="eastAsia"/>
          <w:color w:val="auto"/>
          <w:highlight w:val="none"/>
        </w:rPr>
      </w:pPr>
    </w:p>
    <w:p>
      <w:pPr>
        <w:pStyle w:val="42"/>
        <w:bidi w:val="0"/>
        <w:rPr>
          <w:rFonts w:hint="eastAsia"/>
          <w:color w:val="auto"/>
          <w:highlight w:val="none"/>
        </w:rPr>
      </w:pPr>
    </w:p>
    <w:p>
      <w:pPr>
        <w:pStyle w:val="66"/>
        <w:keepNext w:val="0"/>
        <w:keepLines w:val="0"/>
        <w:pageBreakBefore w:val="0"/>
        <w:widowControl w:val="0"/>
        <w:kinsoku/>
        <w:wordWrap/>
        <w:overflowPunct/>
        <w:topLinePunct w:val="0"/>
        <w:autoSpaceDE/>
        <w:autoSpaceDN/>
        <w:bidi w:val="0"/>
        <w:adjustRightInd w:val="0"/>
        <w:snapToGrid/>
        <w:spacing w:line="520" w:lineRule="exact"/>
        <w:ind w:firstLine="0" w:firstLineChars="0"/>
        <w:jc w:val="center"/>
        <w:textAlignment w:val="auto"/>
        <w:outlineLvl w:val="9"/>
        <w:rPr>
          <w:rFonts w:hint="eastAsia" w:ascii="宋体" w:hAnsi="宋体" w:eastAsia="宋体" w:cs="宋体"/>
          <w:b w:val="0"/>
          <w:bCs/>
          <w:color w:val="auto"/>
          <w:sz w:val="24"/>
          <w:szCs w:val="24"/>
          <w:highlight w:val="none"/>
          <w:u w:val="none"/>
        </w:rPr>
      </w:pPr>
      <w:r>
        <w:rPr>
          <w:rFonts w:hint="eastAsia" w:ascii="宋体" w:hAnsi="宋体" w:eastAsia="宋体" w:cs="宋体"/>
          <w:b/>
          <w:bCs w:val="0"/>
          <w:color w:val="auto"/>
          <w:sz w:val="28"/>
          <w:szCs w:val="28"/>
          <w:highlight w:val="none"/>
          <w:u w:val="none"/>
          <w:lang w:val="en-US" w:eastAsia="zh-CN"/>
        </w:rPr>
        <w:t>成都市技师学院成都市技师学院工业机器人数字化虚拟仿真实训基地设备</w:t>
      </w:r>
      <w:r>
        <w:rPr>
          <w:rFonts w:hint="eastAsia" w:ascii="宋体" w:hAnsi="宋体" w:eastAsia="宋体" w:cs="宋体"/>
          <w:b/>
          <w:bCs w:val="0"/>
          <w:color w:val="auto"/>
          <w:sz w:val="28"/>
          <w:szCs w:val="28"/>
          <w:highlight w:val="none"/>
          <w:u w:val="none"/>
        </w:rPr>
        <w:t>采购项目合同文本主要条款</w:t>
      </w:r>
    </w:p>
    <w:p>
      <w:pPr>
        <w:pStyle w:val="66"/>
        <w:keepNext w:val="0"/>
        <w:keepLines w:val="0"/>
        <w:pageBreakBefore w:val="0"/>
        <w:widowControl w:val="0"/>
        <w:kinsoku/>
        <w:overflowPunct/>
        <w:autoSpaceDE/>
        <w:autoSpaceDN/>
        <w:bidi w:val="0"/>
        <w:adjustRightInd w:val="0"/>
        <w:snapToGrid/>
        <w:spacing w:line="520" w:lineRule="exact"/>
        <w:ind w:left="0" w:leftChars="0"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重要说明：</w:t>
      </w:r>
      <w:r>
        <w:rPr>
          <w:rFonts w:hint="eastAsia" w:ascii="宋体" w:hAnsi="宋体" w:eastAsia="宋体" w:cs="宋体"/>
          <w:b/>
          <w:bCs/>
          <w:color w:val="auto"/>
          <w:sz w:val="24"/>
          <w:szCs w:val="24"/>
          <w:highlight w:val="none"/>
          <w:lang w:val="en-US" w:eastAsia="zh-CN"/>
        </w:rPr>
        <w:t>招标人、投标人</w:t>
      </w:r>
      <w:r>
        <w:rPr>
          <w:rFonts w:hint="eastAsia" w:ascii="宋体" w:hAnsi="宋体" w:eastAsia="宋体" w:cs="宋体"/>
          <w:b/>
          <w:bCs/>
          <w:color w:val="auto"/>
          <w:sz w:val="24"/>
          <w:szCs w:val="24"/>
          <w:highlight w:val="none"/>
        </w:rPr>
        <w:t>在签订</w:t>
      </w:r>
      <w:r>
        <w:rPr>
          <w:rFonts w:hint="eastAsia" w:ascii="宋体" w:hAnsi="宋体" w:eastAsia="宋体" w:cs="宋体"/>
          <w:b/>
          <w:bCs/>
          <w:color w:val="auto"/>
          <w:sz w:val="24"/>
          <w:szCs w:val="24"/>
          <w:highlight w:val="none"/>
          <w:lang w:val="en-US" w:eastAsia="zh-CN"/>
        </w:rPr>
        <w:t>正式</w:t>
      </w:r>
      <w:r>
        <w:rPr>
          <w:rFonts w:hint="eastAsia" w:ascii="宋体" w:hAnsi="宋体" w:eastAsia="宋体" w:cs="宋体"/>
          <w:b/>
          <w:bCs/>
          <w:color w:val="auto"/>
          <w:sz w:val="24"/>
          <w:szCs w:val="24"/>
          <w:highlight w:val="none"/>
        </w:rPr>
        <w:t>合同前</w:t>
      </w:r>
      <w:r>
        <w:rPr>
          <w:rFonts w:hint="eastAsia" w:ascii="宋体" w:hAnsi="宋体" w:eastAsia="宋体" w:cs="宋体"/>
          <w:b/>
          <w:bCs/>
          <w:color w:val="auto"/>
          <w:sz w:val="24"/>
          <w:szCs w:val="24"/>
          <w:highlight w:val="none"/>
          <w:lang w:val="en-US" w:eastAsia="zh-CN"/>
        </w:rPr>
        <w:t>应</w:t>
      </w:r>
      <w:r>
        <w:rPr>
          <w:rFonts w:hint="eastAsia" w:ascii="宋体" w:hAnsi="宋体" w:eastAsia="宋体" w:cs="宋体"/>
          <w:b/>
          <w:bCs/>
          <w:color w:val="auto"/>
          <w:sz w:val="24"/>
          <w:szCs w:val="24"/>
          <w:highlight w:val="none"/>
        </w:rPr>
        <w:t>依据</w:t>
      </w:r>
      <w:r>
        <w:rPr>
          <w:rFonts w:hint="eastAsia" w:ascii="宋体" w:hAnsi="宋体" w:eastAsia="宋体" w:cs="宋体"/>
          <w:b/>
          <w:bCs/>
          <w:color w:val="auto"/>
          <w:sz w:val="24"/>
          <w:szCs w:val="24"/>
          <w:highlight w:val="none"/>
          <w:lang w:val="en-US" w:eastAsia="zh-CN"/>
        </w:rPr>
        <w:t>本项目的招标文件、投标文件、项目的澄清文件等</w:t>
      </w:r>
      <w:r>
        <w:rPr>
          <w:rFonts w:hint="eastAsia" w:ascii="宋体" w:hAnsi="宋体" w:eastAsia="宋体" w:cs="宋体"/>
          <w:b/>
          <w:bCs/>
          <w:color w:val="auto"/>
          <w:sz w:val="24"/>
          <w:szCs w:val="24"/>
          <w:highlight w:val="none"/>
        </w:rPr>
        <w:t>对以下合同内容进行</w:t>
      </w:r>
      <w:r>
        <w:rPr>
          <w:rFonts w:hint="eastAsia" w:ascii="宋体" w:hAnsi="宋体" w:eastAsia="宋体" w:cs="宋体"/>
          <w:b/>
          <w:bCs/>
          <w:color w:val="auto"/>
          <w:sz w:val="24"/>
          <w:szCs w:val="24"/>
          <w:highlight w:val="none"/>
          <w:lang w:val="en-US" w:eastAsia="zh-CN"/>
        </w:rPr>
        <w:t>修正和完善)</w:t>
      </w:r>
    </w:p>
    <w:p>
      <w:pPr>
        <w:pStyle w:val="42"/>
        <w:keepNext w:val="0"/>
        <w:keepLines w:val="0"/>
        <w:pageBreakBefore w:val="0"/>
        <w:widowControl w:val="0"/>
        <w:kinsoku/>
        <w:wordWrap w:val="0"/>
        <w:overflowPunct/>
        <w:topLinePunct/>
        <w:autoSpaceDE/>
        <w:autoSpaceDN/>
        <w:bidi w:val="0"/>
        <w:adjustRightInd w:val="0"/>
        <w:snapToGrid/>
        <w:spacing w:line="520" w:lineRule="exact"/>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合同编号：</w:t>
      </w:r>
    </w:p>
    <w:p>
      <w:pPr>
        <w:pStyle w:val="42"/>
        <w:keepNext w:val="0"/>
        <w:keepLines w:val="0"/>
        <w:pageBreakBefore w:val="0"/>
        <w:widowControl w:val="0"/>
        <w:kinsoku/>
        <w:wordWrap w:val="0"/>
        <w:overflowPunct/>
        <w:topLinePunct/>
        <w:autoSpaceDE/>
        <w:autoSpaceDN/>
        <w:bidi w:val="0"/>
        <w:adjustRightInd w:val="0"/>
        <w:snapToGrid/>
        <w:spacing w:line="520" w:lineRule="exact"/>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签订地点：</w:t>
      </w:r>
    </w:p>
    <w:p>
      <w:pPr>
        <w:pStyle w:val="42"/>
        <w:keepNext w:val="0"/>
        <w:keepLines w:val="0"/>
        <w:pageBreakBefore w:val="0"/>
        <w:widowControl w:val="0"/>
        <w:kinsoku/>
        <w:wordWrap w:val="0"/>
        <w:overflowPunct/>
        <w:topLinePunct/>
        <w:autoSpaceDE/>
        <w:autoSpaceDN/>
        <w:bidi w:val="0"/>
        <w:adjustRightInd w:val="0"/>
        <w:snapToGrid/>
        <w:spacing w:line="520" w:lineRule="exact"/>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签订时间：</w:t>
      </w:r>
    </w:p>
    <w:p>
      <w:pPr>
        <w:pStyle w:val="42"/>
        <w:keepNext w:val="0"/>
        <w:keepLines w:val="0"/>
        <w:pageBreakBefore w:val="0"/>
        <w:widowControl w:val="0"/>
        <w:kinsoku/>
        <w:wordWrap w:val="0"/>
        <w:overflowPunct/>
        <w:topLinePunct/>
        <w:autoSpaceDE/>
        <w:autoSpaceDN/>
        <w:bidi w:val="0"/>
        <w:adjustRightInd w:val="0"/>
        <w:snapToGrid/>
        <w:spacing w:line="520" w:lineRule="exact"/>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甲方</w:t>
      </w:r>
      <w:r>
        <w:rPr>
          <w:rFonts w:hint="eastAsia" w:ascii="宋体" w:hAnsi="宋体" w:eastAsia="宋体" w:cs="宋体"/>
          <w:snapToGrid/>
          <w:color w:val="auto"/>
          <w:sz w:val="24"/>
          <w:szCs w:val="24"/>
          <w:highlight w:val="none"/>
        </w:rPr>
        <w:t>(</w:t>
      </w:r>
      <w:r>
        <w:rPr>
          <w:rFonts w:hint="eastAsia" w:ascii="宋体" w:hAnsi="宋体" w:eastAsia="宋体" w:cs="宋体"/>
          <w:b w:val="0"/>
          <w:bCs w:val="0"/>
          <w:snapToGrid/>
          <w:color w:val="auto"/>
          <w:kern w:val="2"/>
          <w:sz w:val="24"/>
          <w:szCs w:val="24"/>
          <w:highlight w:val="none"/>
          <w:lang w:val="en-US" w:eastAsia="zh-CN" w:bidi="ar-SA"/>
        </w:rPr>
        <w:t>招标人</w:t>
      </w:r>
      <w:r>
        <w:rPr>
          <w:rFonts w:hint="eastAsia" w:ascii="宋体" w:hAnsi="宋体" w:eastAsia="宋体" w:cs="宋体"/>
          <w:snapToGrid/>
          <w:color w:val="auto"/>
          <w:sz w:val="24"/>
          <w:szCs w:val="24"/>
          <w:highlight w:val="none"/>
        </w:rPr>
        <w:t>)</w:t>
      </w:r>
      <w:r>
        <w:rPr>
          <w:rFonts w:hint="eastAsia" w:ascii="宋体" w:hAnsi="宋体" w:eastAsia="宋体" w:cs="宋体"/>
          <w:b w:val="0"/>
          <w:bCs w:val="0"/>
          <w:snapToGrid/>
          <w:color w:val="auto"/>
          <w:kern w:val="2"/>
          <w:sz w:val="24"/>
          <w:szCs w:val="24"/>
          <w:highlight w:val="none"/>
          <w:lang w:val="en-US" w:eastAsia="zh-CN" w:bidi="ar-SA"/>
        </w:rPr>
        <w:t>：成都市技师学院</w:t>
      </w:r>
    </w:p>
    <w:p>
      <w:pPr>
        <w:pStyle w:val="42"/>
        <w:keepNext w:val="0"/>
        <w:keepLines w:val="0"/>
        <w:pageBreakBefore w:val="0"/>
        <w:widowControl w:val="0"/>
        <w:kinsoku/>
        <w:wordWrap w:val="0"/>
        <w:overflowPunct/>
        <w:topLinePunct/>
        <w:autoSpaceDE/>
        <w:autoSpaceDN/>
        <w:bidi w:val="0"/>
        <w:adjustRightInd w:val="0"/>
        <w:snapToGrid/>
        <w:spacing w:line="520" w:lineRule="exact"/>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乙方</w:t>
      </w:r>
      <w:r>
        <w:rPr>
          <w:rFonts w:hint="eastAsia" w:ascii="宋体" w:hAnsi="宋体" w:eastAsia="宋体" w:cs="宋体"/>
          <w:snapToGrid/>
          <w:color w:val="auto"/>
          <w:sz w:val="24"/>
          <w:szCs w:val="24"/>
          <w:highlight w:val="none"/>
        </w:rPr>
        <w:t>(</w:t>
      </w:r>
      <w:r>
        <w:rPr>
          <w:rFonts w:hint="eastAsia" w:ascii="宋体" w:hAnsi="宋体" w:eastAsia="宋体" w:cs="宋体"/>
          <w:b w:val="0"/>
          <w:bCs w:val="0"/>
          <w:snapToGrid/>
          <w:color w:val="auto"/>
          <w:kern w:val="2"/>
          <w:sz w:val="24"/>
          <w:szCs w:val="24"/>
          <w:highlight w:val="none"/>
          <w:lang w:val="en-US" w:eastAsia="zh-CN" w:bidi="ar-SA"/>
        </w:rPr>
        <w:t>投标人</w:t>
      </w:r>
      <w:r>
        <w:rPr>
          <w:rFonts w:hint="eastAsia" w:ascii="宋体" w:hAnsi="宋体" w:eastAsia="宋体" w:cs="宋体"/>
          <w:snapToGrid/>
          <w:color w:val="auto"/>
          <w:sz w:val="24"/>
          <w:szCs w:val="24"/>
          <w:highlight w:val="none"/>
        </w:rPr>
        <w:t>)</w:t>
      </w:r>
      <w:r>
        <w:rPr>
          <w:rFonts w:hint="eastAsia" w:ascii="宋体" w:hAnsi="宋体" w:eastAsia="宋体" w:cs="宋体"/>
          <w:b w:val="0"/>
          <w:bCs w:val="0"/>
          <w:snapToGrid/>
          <w:color w:val="auto"/>
          <w:kern w:val="2"/>
          <w:sz w:val="24"/>
          <w:szCs w:val="24"/>
          <w:highlight w:val="none"/>
          <w:lang w:val="en-US" w:eastAsia="zh-CN" w:bidi="ar-SA"/>
        </w:rPr>
        <w:t xml:space="preserve">：    </w:t>
      </w:r>
    </w:p>
    <w:p>
      <w:pPr>
        <w:pStyle w:val="42"/>
        <w:keepNext w:val="0"/>
        <w:keepLines w:val="0"/>
        <w:pageBreakBefore w:val="0"/>
        <w:widowControl w:val="0"/>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bookmarkStart w:id="1342" w:name="_Toc3039"/>
      <w:bookmarkStart w:id="1343" w:name="_Toc31384"/>
    </w:p>
    <w:p>
      <w:pPr>
        <w:pStyle w:val="42"/>
        <w:keepNext w:val="0"/>
        <w:keepLines w:val="0"/>
        <w:pageBreakBefore w:val="0"/>
        <w:widowControl w:val="0"/>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w:t>
      </w:r>
      <w:r>
        <w:rPr>
          <w:rFonts w:hint="eastAsia" w:ascii="宋体" w:hAnsi="宋体" w:eastAsia="宋体" w:cs="宋体"/>
          <w:b w:val="0"/>
          <w:bCs w:val="0"/>
          <w:color w:val="auto"/>
          <w:sz w:val="24"/>
          <w:szCs w:val="24"/>
          <w:highlight w:val="none"/>
          <w:lang w:val="en-US" w:eastAsia="zh-Hans"/>
        </w:rPr>
        <w:t>据《中华人民共和国民法典》及</w:t>
      </w:r>
      <w:r>
        <w:rPr>
          <w:rFonts w:hint="eastAsia" w:ascii="宋体" w:hAnsi="宋体" w:eastAsia="宋体" w:cs="宋体"/>
          <w:b w:val="0"/>
          <w:bCs w:val="0"/>
          <w:color w:val="auto"/>
          <w:sz w:val="24"/>
          <w:szCs w:val="24"/>
          <w:highlight w:val="none"/>
          <w:lang w:val="en-US" w:eastAsia="zh-CN"/>
        </w:rPr>
        <w:t>成都市技师学院成都市技师学院工业机器人数字化虚拟仿真实训基地设备采购项目</w:t>
      </w:r>
      <w:r>
        <w:rPr>
          <w:rFonts w:hint="eastAsia" w:ascii="宋体" w:hAnsi="宋体" w:eastAsia="宋体" w:cs="宋体"/>
          <w:b w:val="0"/>
          <w:bCs w:val="0"/>
          <w:color w:val="auto"/>
          <w:sz w:val="24"/>
          <w:szCs w:val="24"/>
          <w:highlight w:val="none"/>
          <w:lang w:val="en-US" w:eastAsia="zh-Hans"/>
        </w:rPr>
        <w:t>（项目编号：</w:t>
      </w:r>
      <w:r>
        <w:rPr>
          <w:rFonts w:hint="eastAsia" w:ascii="宋体" w:hAnsi="宋体" w:eastAsia="宋体" w:cs="宋体"/>
          <w:color w:val="auto"/>
          <w:sz w:val="24"/>
          <w:szCs w:val="24"/>
          <w:highlight w:val="none"/>
        </w:rPr>
        <w:t>XXX</w:t>
      </w:r>
      <w:r>
        <w:rPr>
          <w:rFonts w:hint="eastAsia" w:ascii="宋体" w:hAnsi="宋体" w:eastAsia="宋体" w:cs="宋体"/>
          <w:b w:val="0"/>
          <w:bCs w:val="0"/>
          <w:color w:val="auto"/>
          <w:sz w:val="24"/>
          <w:szCs w:val="24"/>
          <w:highlight w:val="none"/>
          <w:lang w:val="en-US" w:eastAsia="zh-Hans"/>
        </w:rPr>
        <w:t>）的</w:t>
      </w:r>
      <w:r>
        <w:rPr>
          <w:rFonts w:hint="eastAsia" w:ascii="宋体" w:hAnsi="宋体" w:eastAsia="宋体" w:cs="宋体"/>
          <w:b w:val="0"/>
          <w:bCs w:val="0"/>
          <w:color w:val="auto"/>
          <w:sz w:val="24"/>
          <w:szCs w:val="24"/>
          <w:highlight w:val="none"/>
          <w:lang w:val="en-US" w:eastAsia="zh-CN"/>
        </w:rPr>
        <w:t>招标</w:t>
      </w:r>
      <w:r>
        <w:rPr>
          <w:rFonts w:hint="eastAsia" w:ascii="宋体" w:hAnsi="宋体" w:eastAsia="宋体" w:cs="宋体"/>
          <w:b w:val="0"/>
          <w:bCs w:val="0"/>
          <w:color w:val="auto"/>
          <w:sz w:val="24"/>
          <w:szCs w:val="24"/>
          <w:highlight w:val="none"/>
          <w:lang w:val="en-US" w:eastAsia="zh-Hans"/>
        </w:rPr>
        <w:t>文件、乙方的</w:t>
      </w:r>
      <w:r>
        <w:rPr>
          <w:rFonts w:hint="eastAsia" w:ascii="宋体" w:hAnsi="宋体" w:eastAsia="宋体" w:cs="宋体"/>
          <w:b w:val="0"/>
          <w:bCs w:val="0"/>
          <w:color w:val="auto"/>
          <w:sz w:val="24"/>
          <w:szCs w:val="24"/>
          <w:highlight w:val="none"/>
          <w:lang w:val="en-US" w:eastAsia="zh-CN"/>
        </w:rPr>
        <w:t>投标</w:t>
      </w:r>
      <w:r>
        <w:rPr>
          <w:rFonts w:hint="eastAsia" w:ascii="宋体" w:hAnsi="宋体" w:eastAsia="宋体" w:cs="宋体"/>
          <w:b w:val="0"/>
          <w:bCs w:val="0"/>
          <w:color w:val="auto"/>
          <w:sz w:val="24"/>
          <w:szCs w:val="24"/>
          <w:highlight w:val="none"/>
          <w:lang w:val="en-US" w:eastAsia="zh-Hans"/>
        </w:rPr>
        <w:t>文件及</w:t>
      </w:r>
      <w:r>
        <w:rPr>
          <w:rFonts w:hint="eastAsia" w:ascii="宋体" w:hAnsi="宋体" w:eastAsia="宋体" w:cs="宋体"/>
          <w:b w:val="0"/>
          <w:bCs w:val="0"/>
          <w:color w:val="auto"/>
          <w:sz w:val="24"/>
          <w:szCs w:val="24"/>
          <w:highlight w:val="none"/>
          <w:lang w:val="en-US" w:eastAsia="zh-CN"/>
        </w:rPr>
        <w:t>中标</w:t>
      </w:r>
      <w:r>
        <w:rPr>
          <w:rFonts w:hint="eastAsia" w:ascii="宋体" w:hAnsi="宋体" w:eastAsia="宋体" w:cs="宋体"/>
          <w:b w:val="0"/>
          <w:bCs w:val="0"/>
          <w:color w:val="auto"/>
          <w:sz w:val="24"/>
          <w:szCs w:val="24"/>
          <w:highlight w:val="none"/>
          <w:lang w:val="en-US" w:eastAsia="zh-Hans"/>
        </w:rPr>
        <w:t>通知书，甲、乙双方同意签订本合同，共同遵守如下条款：</w:t>
      </w:r>
    </w:p>
    <w:p>
      <w:pPr>
        <w:keepNext w:val="0"/>
        <w:keepLines w:val="0"/>
        <w:pageBreakBefore w:val="0"/>
        <w:widowControl w:val="0"/>
        <w:numPr>
          <w:ilvl w:val="0"/>
          <w:numId w:val="0"/>
        </w:numPr>
        <w:kinsoku/>
        <w:overflowPunct/>
        <w:autoSpaceDE/>
        <w:autoSpaceDN/>
        <w:bidi w:val="0"/>
        <w:adjustRightInd w:val="0"/>
        <w:snapToGrid/>
        <w:spacing w:line="520" w:lineRule="exact"/>
        <w:ind w:firstLine="482" w:firstLineChars="200"/>
        <w:jc w:val="left"/>
        <w:textAlignment w:val="auto"/>
        <w:outlineLvl w:val="9"/>
        <w:rPr>
          <w:rFonts w:hint="eastAsia" w:ascii="宋体" w:hAnsi="宋体" w:eastAsia="宋体" w:cs="宋体"/>
          <w:b/>
          <w:bCs/>
          <w:color w:val="auto"/>
          <w:sz w:val="24"/>
          <w:szCs w:val="24"/>
          <w:highlight w:val="none"/>
          <w:lang w:val="en-US" w:eastAsia="zh-CN"/>
        </w:rPr>
      </w:pPr>
      <w:bookmarkStart w:id="1344" w:name="_Toc28089"/>
      <w:r>
        <w:rPr>
          <w:rFonts w:hint="eastAsia" w:ascii="宋体" w:hAnsi="宋体" w:eastAsia="宋体" w:cs="宋体"/>
          <w:b/>
          <w:bCs/>
          <w:color w:val="auto"/>
          <w:sz w:val="24"/>
          <w:szCs w:val="24"/>
          <w:highlight w:val="none"/>
          <w:lang w:val="en-US" w:eastAsia="zh-CN"/>
        </w:rPr>
        <w:t>一、项目基本情况</w:t>
      </w:r>
      <w:bookmarkEnd w:id="1344"/>
    </w:p>
    <w:p>
      <w:pPr>
        <w:keepNext w:val="0"/>
        <w:keepLines w:val="0"/>
        <w:pageBreakBefore w:val="0"/>
        <w:widowControl w:val="0"/>
        <w:numPr>
          <w:ilvl w:val="0"/>
          <w:numId w:val="0"/>
        </w:numPr>
        <w:kinsoku/>
        <w:overflowPunct/>
        <w:autoSpaceDE/>
        <w:autoSpaceDN/>
        <w:bidi w:val="0"/>
        <w:adjustRightInd w:val="0"/>
        <w:snapToGrid/>
        <w:spacing w:line="520" w:lineRule="exact"/>
        <w:ind w:firstLine="480" w:firstLineChars="200"/>
        <w:jc w:val="left"/>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sz w:val="24"/>
          <w:szCs w:val="24"/>
          <w:highlight w:val="none"/>
          <w:u w:val="none"/>
        </w:rPr>
        <w:t>拟通过本项目的</w:t>
      </w:r>
      <w:r>
        <w:rPr>
          <w:rFonts w:hint="eastAsia" w:ascii="宋体" w:hAnsi="宋体" w:eastAsia="宋体" w:cs="宋体"/>
          <w:bCs/>
          <w:color w:val="auto"/>
          <w:sz w:val="24"/>
          <w:szCs w:val="24"/>
          <w:highlight w:val="none"/>
          <w:u w:val="none"/>
          <w:lang w:val="en-US" w:eastAsia="zh-CN"/>
        </w:rPr>
        <w:t>专用设备采购</w:t>
      </w:r>
      <w:r>
        <w:rPr>
          <w:rFonts w:hint="eastAsia" w:ascii="宋体" w:hAnsi="宋体" w:eastAsia="宋体" w:cs="宋体"/>
          <w:bCs/>
          <w:color w:val="auto"/>
          <w:sz w:val="24"/>
          <w:szCs w:val="24"/>
          <w:highlight w:val="none"/>
          <w:u w:val="none"/>
          <w:lang w:eastAsia="zh-CN"/>
        </w:rPr>
        <w:t>主要是</w:t>
      </w:r>
      <w:r>
        <w:rPr>
          <w:rFonts w:hint="eastAsia" w:ascii="宋体" w:hAnsi="宋体" w:eastAsia="宋体" w:cs="宋体"/>
          <w:bCs/>
          <w:color w:val="auto"/>
          <w:sz w:val="24"/>
          <w:szCs w:val="24"/>
          <w:highlight w:val="none"/>
          <w:u w:val="none"/>
          <w:lang w:val="en-US" w:eastAsia="zh-CN"/>
        </w:rPr>
        <w:t>满足工业机器人数字化虚拟仿真实训基地建设需要，并</w:t>
      </w:r>
      <w:r>
        <w:rPr>
          <w:rFonts w:hint="eastAsia" w:ascii="宋体" w:hAnsi="宋体" w:eastAsia="宋体" w:cs="宋体"/>
          <w:color w:val="auto"/>
          <w:sz w:val="24"/>
          <w:szCs w:val="24"/>
          <w:highlight w:val="none"/>
        </w:rPr>
        <w:t>引入工程应用技术</w:t>
      </w:r>
      <w:r>
        <w:rPr>
          <w:rFonts w:hint="eastAsia" w:ascii="宋体" w:hAnsi="宋体" w:eastAsia="宋体" w:cs="宋体"/>
          <w:color w:val="auto"/>
          <w:sz w:val="24"/>
          <w:szCs w:val="24"/>
          <w:highlight w:val="none"/>
          <w:lang w:val="en-US" w:eastAsia="zh-CN"/>
        </w:rPr>
        <w:t>以及</w:t>
      </w:r>
      <w:r>
        <w:rPr>
          <w:rFonts w:hint="eastAsia" w:ascii="宋体" w:hAnsi="宋体" w:eastAsia="宋体" w:cs="宋体"/>
          <w:bCs/>
          <w:color w:val="auto"/>
          <w:sz w:val="24"/>
          <w:szCs w:val="24"/>
          <w:highlight w:val="none"/>
        </w:rPr>
        <w:t>工业物联</w:t>
      </w:r>
      <w:r>
        <w:rPr>
          <w:rFonts w:hint="eastAsia" w:ascii="宋体" w:hAnsi="宋体" w:eastAsia="宋体" w:cs="宋体"/>
          <w:bCs/>
          <w:color w:val="auto"/>
          <w:sz w:val="24"/>
          <w:szCs w:val="24"/>
          <w:highlight w:val="none"/>
          <w:lang w:eastAsia="zh-CN"/>
        </w:rPr>
        <w:t>网技术</w:t>
      </w:r>
      <w:r>
        <w:rPr>
          <w:rFonts w:hint="eastAsia" w:ascii="宋体" w:hAnsi="宋体" w:eastAsia="宋体" w:cs="宋体"/>
          <w:bCs/>
          <w:color w:val="auto"/>
          <w:sz w:val="24"/>
          <w:szCs w:val="24"/>
          <w:highlight w:val="none"/>
          <w:lang w:val="en-US" w:eastAsia="zh-CN"/>
        </w:rPr>
        <w:t>。适合</w:t>
      </w:r>
      <w:r>
        <w:rPr>
          <w:rFonts w:hint="eastAsia" w:ascii="宋体" w:hAnsi="宋体" w:eastAsia="宋体" w:cs="宋体"/>
          <w:color w:val="auto"/>
          <w:sz w:val="24"/>
          <w:szCs w:val="24"/>
          <w:highlight w:val="none"/>
          <w:lang w:val="en-US" w:eastAsia="zh-CN"/>
        </w:rPr>
        <w:t>应用于</w:t>
      </w:r>
      <w:r>
        <w:rPr>
          <w:rFonts w:hint="eastAsia" w:ascii="宋体" w:hAnsi="宋体" w:eastAsia="宋体" w:cs="宋体"/>
          <w:color w:val="auto"/>
          <w:sz w:val="24"/>
          <w:szCs w:val="24"/>
          <w:highlight w:val="none"/>
          <w:lang w:eastAsia="zh-CN"/>
        </w:rPr>
        <w:t>工业机器人技术安装与调试、</w:t>
      </w:r>
      <w:r>
        <w:rPr>
          <w:rFonts w:hint="eastAsia" w:ascii="宋体" w:hAnsi="宋体" w:eastAsia="宋体" w:cs="宋体"/>
          <w:color w:val="auto"/>
          <w:sz w:val="24"/>
          <w:szCs w:val="24"/>
          <w:highlight w:val="none"/>
        </w:rPr>
        <w:t>建筑设备安装、建筑智能化工程技术、</w:t>
      </w:r>
      <w:r>
        <w:rPr>
          <w:rFonts w:hint="eastAsia" w:ascii="宋体" w:hAnsi="宋体" w:eastAsia="宋体" w:cs="宋体"/>
          <w:color w:val="auto"/>
          <w:sz w:val="24"/>
          <w:szCs w:val="24"/>
          <w:highlight w:val="none"/>
          <w:lang w:eastAsia="zh-CN"/>
        </w:rPr>
        <w:t>机电一体化</w:t>
      </w:r>
      <w:r>
        <w:rPr>
          <w:rFonts w:hint="eastAsia" w:ascii="宋体" w:hAnsi="宋体" w:eastAsia="宋体" w:cs="宋体"/>
          <w:color w:val="auto"/>
          <w:sz w:val="24"/>
          <w:szCs w:val="24"/>
          <w:highlight w:val="none"/>
        </w:rPr>
        <w:t>等相关专业的实训</w:t>
      </w:r>
      <w:r>
        <w:rPr>
          <w:rFonts w:hint="eastAsia" w:ascii="宋体" w:hAnsi="宋体" w:eastAsia="宋体" w:cs="宋体"/>
          <w:color w:val="auto"/>
          <w:sz w:val="24"/>
          <w:szCs w:val="24"/>
          <w:highlight w:val="none"/>
          <w:lang w:val="en-US" w:eastAsia="zh-CN"/>
        </w:rPr>
        <w:t>课程</w:t>
      </w:r>
      <w:r>
        <w:rPr>
          <w:rFonts w:hint="eastAsia" w:ascii="宋体" w:hAnsi="宋体" w:eastAsia="宋体" w:cs="宋体"/>
          <w:color w:val="auto"/>
          <w:sz w:val="24"/>
          <w:szCs w:val="24"/>
          <w:highlight w:val="none"/>
        </w:rPr>
        <w:t>教学</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overflowPunct/>
        <w:autoSpaceDE/>
        <w:autoSpaceDN/>
        <w:bidi w:val="0"/>
        <w:adjustRightInd w:val="0"/>
        <w:snapToGrid/>
        <w:spacing w:line="520" w:lineRule="exact"/>
        <w:ind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二、合同标的</w:t>
      </w:r>
    </w:p>
    <w:p>
      <w:pPr>
        <w:keepNext w:val="0"/>
        <w:keepLines w:val="0"/>
        <w:pageBreakBefore w:val="0"/>
        <w:widowControl w:val="0"/>
        <w:numPr>
          <w:ilvl w:val="0"/>
          <w:numId w:val="0"/>
        </w:numPr>
        <w:kinsoku/>
        <w:overflowPunct/>
        <w:autoSpaceDE/>
        <w:autoSpaceDN/>
        <w:bidi w:val="0"/>
        <w:adjustRightInd w:val="0"/>
        <w:snapToGrid/>
        <w:spacing w:line="520" w:lineRule="exact"/>
        <w:ind w:firstLine="480" w:firstLineChars="200"/>
        <w:jc w:val="left"/>
        <w:textAlignment w:val="auto"/>
        <w:outlineLvl w:val="9"/>
        <w:rPr>
          <w:rFonts w:hint="eastAsia" w:ascii="宋体" w:hAnsi="宋体" w:eastAsia="宋体" w:cs="宋体"/>
          <w:b w:val="0"/>
          <w:bCs/>
          <w:color w:val="auto"/>
          <w:kern w:val="0"/>
          <w:sz w:val="24"/>
          <w:szCs w:val="24"/>
          <w:highlight w:val="none"/>
          <w:lang w:val="en-US" w:eastAsia="zh-CN" w:bidi="ar-SA"/>
        </w:rPr>
      </w:pPr>
      <w:bookmarkStart w:id="1345" w:name="_Toc26626"/>
      <w:r>
        <w:rPr>
          <w:rFonts w:hint="eastAsia" w:ascii="宋体" w:hAnsi="宋体" w:eastAsia="宋体" w:cs="宋体"/>
          <w:bCs/>
          <w:color w:val="auto"/>
          <w:kern w:val="0"/>
          <w:sz w:val="24"/>
          <w:szCs w:val="24"/>
          <w:highlight w:val="none"/>
        </w:rPr>
        <w:t>本项目的内容为</w:t>
      </w:r>
      <w:r>
        <w:rPr>
          <w:rFonts w:hint="eastAsia" w:ascii="宋体" w:hAnsi="宋体" w:eastAsia="宋体" w:cs="宋体"/>
          <w:bCs/>
          <w:color w:val="auto"/>
          <w:kern w:val="0"/>
          <w:sz w:val="24"/>
          <w:szCs w:val="24"/>
          <w:highlight w:val="none"/>
          <w:u w:val="none"/>
          <w:lang w:val="en-US" w:eastAsia="zh-CN"/>
        </w:rPr>
        <w:t>成都市技师学院工业机器人数字化虚拟仿真实训基地专用设备</w:t>
      </w:r>
      <w:r>
        <w:rPr>
          <w:rFonts w:hint="eastAsia" w:ascii="宋体" w:hAnsi="宋体" w:eastAsia="宋体" w:cs="宋体"/>
          <w:bCs/>
          <w:color w:val="auto"/>
          <w:kern w:val="0"/>
          <w:sz w:val="24"/>
          <w:szCs w:val="24"/>
          <w:highlight w:val="none"/>
          <w:lang w:eastAsia="zh-CN"/>
        </w:rPr>
        <w:t>。</w:t>
      </w:r>
    </w:p>
    <w:p>
      <w:pPr>
        <w:keepNext w:val="0"/>
        <w:keepLines w:val="0"/>
        <w:pageBreakBefore w:val="0"/>
        <w:widowControl w:val="0"/>
        <w:numPr>
          <w:ilvl w:val="0"/>
          <w:numId w:val="0"/>
        </w:numPr>
        <w:kinsoku/>
        <w:overflowPunct/>
        <w:autoSpaceDE/>
        <w:autoSpaceDN/>
        <w:bidi w:val="0"/>
        <w:adjustRightInd w:val="0"/>
        <w:snapToGrid/>
        <w:spacing w:line="520" w:lineRule="exact"/>
        <w:ind w:firstLine="482" w:firstLineChars="200"/>
        <w:jc w:val="left"/>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三、履约时间和方式</w:t>
      </w:r>
    </w:p>
    <w:bookmarkEnd w:id="1345"/>
    <w:p>
      <w:pPr>
        <w:keepNext w:val="0"/>
        <w:keepLines w:val="0"/>
        <w:pageBreakBefore w:val="0"/>
        <w:widowControl w:val="0"/>
        <w:numPr>
          <w:ilvl w:val="0"/>
          <w:numId w:val="0"/>
        </w:numPr>
        <w:kinsoku/>
        <w:overflowPunct/>
        <w:autoSpaceDE/>
        <w:autoSpaceDN/>
        <w:bidi w:val="0"/>
        <w:adjustRightInd w:val="0"/>
        <w:snapToGrid/>
        <w:spacing w:line="520" w:lineRule="exact"/>
        <w:ind w:firstLine="480" w:firstLineChars="200"/>
        <w:jc w:val="left"/>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合同签订之日起30个日历天(含法定节假日和试运行)内，乙方在甲方指定交货地点完成</w:t>
      </w:r>
      <w:r>
        <w:rPr>
          <w:rFonts w:hint="eastAsia" w:ascii="宋体" w:hAnsi="宋体" w:eastAsia="宋体" w:cs="宋体"/>
          <w:bCs w:val="0"/>
          <w:color w:val="auto"/>
          <w:sz w:val="24"/>
          <w:szCs w:val="24"/>
          <w:highlight w:val="none"/>
          <w:u w:val="none"/>
          <w:lang w:eastAsia="zh-CN"/>
        </w:rPr>
        <w:t>成都市技师学院工业机器人数字化虚拟仿真实训基地设备</w:t>
      </w:r>
      <w:r>
        <w:rPr>
          <w:rFonts w:hint="eastAsia" w:ascii="宋体" w:hAnsi="宋体" w:eastAsia="宋体" w:cs="宋体"/>
          <w:bCs w:val="0"/>
          <w:color w:val="auto"/>
          <w:sz w:val="24"/>
          <w:szCs w:val="24"/>
          <w:highlight w:val="none"/>
          <w:u w:val="none"/>
          <w:lang w:val="en-US" w:eastAsia="zh-CN"/>
        </w:rPr>
        <w:t>的</w:t>
      </w:r>
      <w:r>
        <w:rPr>
          <w:rFonts w:hint="eastAsia" w:ascii="宋体" w:hAnsi="宋体" w:eastAsia="宋体" w:cs="宋体"/>
          <w:bCs/>
          <w:color w:val="auto"/>
          <w:kern w:val="0"/>
          <w:sz w:val="24"/>
          <w:szCs w:val="24"/>
          <w:highlight w:val="none"/>
          <w:lang w:val="en-US" w:eastAsia="zh-CN"/>
        </w:rPr>
        <w:t>送货、安装、调试</w:t>
      </w:r>
      <w:r>
        <w:rPr>
          <w:rFonts w:hint="eastAsia" w:ascii="宋体" w:hAnsi="宋体" w:eastAsia="宋体" w:cs="宋体"/>
          <w:bCs/>
          <w:color w:val="auto"/>
          <w:kern w:val="0"/>
          <w:sz w:val="24"/>
          <w:szCs w:val="24"/>
          <w:highlight w:val="none"/>
        </w:rPr>
        <w:t>等工作。</w:t>
      </w:r>
    </w:p>
    <w:p>
      <w:pPr>
        <w:keepNext w:val="0"/>
        <w:keepLines w:val="0"/>
        <w:pageBreakBefore w:val="0"/>
        <w:widowControl w:val="0"/>
        <w:numPr>
          <w:ilvl w:val="0"/>
          <w:numId w:val="0"/>
        </w:numPr>
        <w:kinsoku/>
        <w:overflowPunct/>
        <w:autoSpaceDE/>
        <w:autoSpaceDN/>
        <w:bidi w:val="0"/>
        <w:adjustRightInd w:val="0"/>
        <w:snapToGrid/>
        <w:spacing w:line="520" w:lineRule="exact"/>
        <w:ind w:firstLine="482" w:firstLineChars="200"/>
        <w:jc w:val="left"/>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四、履约地点</w:t>
      </w:r>
    </w:p>
    <w:p>
      <w:pPr>
        <w:keepNext w:val="0"/>
        <w:keepLines w:val="0"/>
        <w:pageBreakBefore w:val="0"/>
        <w:widowControl w:val="0"/>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成都市郫都区港通北三路1899号</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成都市技师学院</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bidi="ar-SA"/>
        </w:rPr>
        <w:t>。</w:t>
      </w:r>
    </w:p>
    <w:p>
      <w:pPr>
        <w:keepNext w:val="0"/>
        <w:keepLines w:val="0"/>
        <w:pageBreakBefore w:val="0"/>
        <w:widowControl w:val="0"/>
        <w:kinsoku/>
        <w:overflowPunct/>
        <w:autoSpaceDE/>
        <w:autoSpaceDN/>
        <w:bidi w:val="0"/>
        <w:adjustRightInd w:val="0"/>
        <w:snapToGrid/>
        <w:spacing w:line="520" w:lineRule="exact"/>
        <w:ind w:firstLine="482" w:firstLineChars="20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五、合同总价、付款安排、支付方式</w:t>
      </w:r>
    </w:p>
    <w:p>
      <w:pPr>
        <w:keepNext w:val="0"/>
        <w:keepLines w:val="0"/>
        <w:pageBreakBefore w:val="0"/>
        <w:widowControl w:val="0"/>
        <w:numPr>
          <w:ilvl w:val="0"/>
          <w:numId w:val="0"/>
        </w:numPr>
        <w:kinsoku/>
        <w:overflowPunct/>
        <w:autoSpaceDE/>
        <w:autoSpaceDN/>
        <w:bidi w:val="0"/>
        <w:adjustRightInd w:val="0"/>
        <w:snapToGrid/>
        <w:spacing w:line="520" w:lineRule="exact"/>
        <w:ind w:firstLine="480" w:firstLineChars="200"/>
        <w:jc w:val="left"/>
        <w:textAlignment w:val="auto"/>
        <w:outlineLvl w:val="9"/>
        <w:rPr>
          <w:rFonts w:hint="eastAsia" w:ascii="宋体" w:hAnsi="宋体" w:eastAsia="宋体" w:cs="宋体"/>
          <w:bCs/>
          <w:color w:val="auto"/>
          <w:kern w:val="0"/>
          <w:sz w:val="24"/>
          <w:szCs w:val="24"/>
          <w:highlight w:val="none"/>
          <w:lang w:eastAsia="zh-CN"/>
        </w:rPr>
      </w:pPr>
      <w:bookmarkStart w:id="1346" w:name="_Toc19079"/>
      <w:r>
        <w:rPr>
          <w:rFonts w:hint="eastAsia" w:ascii="宋体" w:hAnsi="宋体" w:eastAsia="宋体" w:cs="宋体"/>
          <w:bCs/>
          <w:color w:val="auto"/>
          <w:kern w:val="0"/>
          <w:sz w:val="24"/>
          <w:szCs w:val="24"/>
          <w:highlight w:val="none"/>
          <w:lang w:val="en-US" w:eastAsia="zh-CN"/>
        </w:rPr>
        <w:t>1.中标价：      元（大写：人民币      ）。</w:t>
      </w:r>
      <w:r>
        <w:rPr>
          <w:rFonts w:hint="eastAsia" w:ascii="宋体" w:hAnsi="宋体" w:eastAsia="宋体" w:cs="宋体"/>
          <w:bCs/>
          <w:color w:val="auto"/>
          <w:kern w:val="0"/>
          <w:sz w:val="24"/>
          <w:szCs w:val="24"/>
          <w:highlight w:val="none"/>
          <w:lang w:eastAsia="zh-CN"/>
        </w:rPr>
        <w:t>中标价为固定包干价，包括但不限于</w:t>
      </w:r>
      <w:r>
        <w:rPr>
          <w:rFonts w:hint="eastAsia" w:ascii="宋体" w:hAnsi="宋体" w:eastAsia="宋体" w:cs="宋体"/>
          <w:bCs w:val="0"/>
          <w:color w:val="auto"/>
          <w:sz w:val="24"/>
          <w:szCs w:val="24"/>
          <w:highlight w:val="none"/>
          <w:u w:val="none"/>
          <w:lang w:eastAsia="zh-CN"/>
        </w:rPr>
        <w:t>成都市技师学院工业机器人数字化虚拟仿真实训基地设备</w:t>
      </w:r>
      <w:r>
        <w:rPr>
          <w:rFonts w:hint="eastAsia" w:ascii="宋体" w:hAnsi="宋体" w:eastAsia="宋体" w:cs="宋体"/>
          <w:bCs/>
          <w:color w:val="auto"/>
          <w:kern w:val="0"/>
          <w:sz w:val="24"/>
          <w:szCs w:val="24"/>
          <w:highlight w:val="none"/>
          <w:lang w:eastAsia="zh-CN"/>
        </w:rPr>
        <w:t>的供货、包装、运输、安装、调试、检测、</w:t>
      </w:r>
      <w:r>
        <w:rPr>
          <w:rFonts w:hint="eastAsia" w:ascii="宋体" w:hAnsi="宋体" w:eastAsia="宋体" w:cs="宋体"/>
          <w:bCs/>
          <w:color w:val="auto"/>
          <w:kern w:val="0"/>
          <w:sz w:val="24"/>
          <w:szCs w:val="24"/>
          <w:highlight w:val="none"/>
          <w:lang w:val="en-US" w:eastAsia="zh-CN"/>
        </w:rPr>
        <w:t>售后服务、</w:t>
      </w:r>
      <w:r>
        <w:rPr>
          <w:rFonts w:hint="eastAsia" w:ascii="宋体" w:hAnsi="宋体" w:eastAsia="宋体" w:cs="宋体"/>
          <w:bCs/>
          <w:color w:val="auto"/>
          <w:kern w:val="0"/>
          <w:sz w:val="24"/>
          <w:szCs w:val="24"/>
          <w:highlight w:val="none"/>
          <w:lang w:eastAsia="zh-CN"/>
        </w:rPr>
        <w:t>税费等</w:t>
      </w:r>
      <w:r>
        <w:rPr>
          <w:rFonts w:hint="eastAsia" w:ascii="宋体" w:hAnsi="宋体" w:eastAsia="宋体" w:cs="宋体"/>
          <w:bCs/>
          <w:color w:val="auto"/>
          <w:kern w:val="0"/>
          <w:sz w:val="24"/>
          <w:szCs w:val="24"/>
          <w:highlight w:val="none"/>
          <w:lang w:val="en-US" w:eastAsia="zh-CN"/>
        </w:rPr>
        <w:t>与乙方</w:t>
      </w:r>
      <w:r>
        <w:rPr>
          <w:rFonts w:hint="eastAsia" w:ascii="宋体" w:hAnsi="宋体" w:eastAsia="宋体" w:cs="宋体"/>
          <w:bCs/>
          <w:color w:val="auto"/>
          <w:kern w:val="0"/>
          <w:sz w:val="24"/>
          <w:szCs w:val="24"/>
          <w:highlight w:val="none"/>
          <w:lang w:eastAsia="zh-CN"/>
        </w:rPr>
        <w:t>完成本项目有关的所有费用。本项目执行期间合同总价不变，甲方无须另向乙方支付本合同规定之外的其他任何费用。</w:t>
      </w:r>
    </w:p>
    <w:p>
      <w:pPr>
        <w:keepNext w:val="0"/>
        <w:keepLines w:val="0"/>
        <w:pageBreakBefore w:val="0"/>
        <w:widowControl w:val="0"/>
        <w:numPr>
          <w:ilvl w:val="0"/>
          <w:numId w:val="0"/>
        </w:numPr>
        <w:kinsoku/>
        <w:overflowPunct/>
        <w:autoSpaceDE/>
        <w:autoSpaceDN/>
        <w:bidi w:val="0"/>
        <w:adjustRightInd w:val="0"/>
        <w:snapToGrid/>
        <w:spacing w:line="520" w:lineRule="exact"/>
        <w:ind w:firstLine="480" w:firstLineChars="200"/>
        <w:jc w:val="left"/>
        <w:textAlignment w:val="auto"/>
        <w:outlineLvl w:val="9"/>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2.</w:t>
      </w:r>
      <w:r>
        <w:rPr>
          <w:rFonts w:hint="eastAsia" w:ascii="宋体" w:hAnsi="宋体" w:eastAsia="宋体" w:cs="宋体"/>
          <w:bCs/>
          <w:color w:val="auto"/>
          <w:kern w:val="0"/>
          <w:sz w:val="24"/>
          <w:szCs w:val="24"/>
          <w:highlight w:val="none"/>
          <w:lang w:val="en-US" w:eastAsia="zh-CN"/>
        </w:rPr>
        <w:t>乙方</w:t>
      </w:r>
      <w:r>
        <w:rPr>
          <w:rFonts w:hint="eastAsia" w:ascii="宋体" w:hAnsi="宋体" w:eastAsia="宋体" w:cs="宋体"/>
          <w:bCs/>
          <w:color w:val="auto"/>
          <w:kern w:val="0"/>
          <w:sz w:val="24"/>
          <w:szCs w:val="24"/>
          <w:highlight w:val="none"/>
        </w:rPr>
        <w:t>将</w:t>
      </w:r>
      <w:r>
        <w:rPr>
          <w:rFonts w:hint="eastAsia" w:ascii="宋体" w:hAnsi="宋体" w:eastAsia="宋体" w:cs="宋体"/>
          <w:bCs/>
          <w:color w:val="auto"/>
          <w:kern w:val="0"/>
          <w:sz w:val="24"/>
          <w:szCs w:val="24"/>
          <w:highlight w:val="none"/>
          <w:u w:val="none"/>
          <w:lang w:eastAsia="zh-CN"/>
        </w:rPr>
        <w:t>成都市技师学院工业机器人数字化虚拟仿真实训基地设备</w:t>
      </w:r>
      <w:r>
        <w:rPr>
          <w:rFonts w:hint="eastAsia" w:ascii="宋体" w:hAnsi="宋体" w:eastAsia="宋体" w:cs="宋体"/>
          <w:bCs/>
          <w:color w:val="auto"/>
          <w:kern w:val="0"/>
          <w:sz w:val="24"/>
          <w:szCs w:val="24"/>
          <w:highlight w:val="none"/>
        </w:rPr>
        <w:t>运输到</w:t>
      </w:r>
      <w:r>
        <w:rPr>
          <w:rFonts w:hint="eastAsia" w:ascii="宋体" w:hAnsi="宋体" w:eastAsia="宋体" w:cs="宋体"/>
          <w:bCs/>
          <w:color w:val="auto"/>
          <w:kern w:val="0"/>
          <w:sz w:val="24"/>
          <w:szCs w:val="24"/>
          <w:highlight w:val="none"/>
          <w:lang w:eastAsia="zh-CN"/>
        </w:rPr>
        <w:t>甲方</w:t>
      </w:r>
      <w:r>
        <w:rPr>
          <w:rFonts w:hint="eastAsia" w:ascii="宋体" w:hAnsi="宋体" w:eastAsia="宋体" w:cs="宋体"/>
          <w:bCs/>
          <w:color w:val="auto"/>
          <w:kern w:val="0"/>
          <w:sz w:val="24"/>
          <w:szCs w:val="24"/>
          <w:highlight w:val="none"/>
        </w:rPr>
        <w:t>指定地点，安装、调试</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培训</w:t>
      </w:r>
      <w:r>
        <w:rPr>
          <w:rFonts w:hint="eastAsia" w:ascii="宋体" w:hAnsi="宋体" w:eastAsia="宋体" w:cs="宋体"/>
          <w:bCs/>
          <w:color w:val="auto"/>
          <w:kern w:val="0"/>
          <w:sz w:val="24"/>
          <w:szCs w:val="24"/>
          <w:highlight w:val="none"/>
        </w:rPr>
        <w:t>完毕</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且</w:t>
      </w:r>
      <w:r>
        <w:rPr>
          <w:rFonts w:hint="eastAsia" w:ascii="宋体" w:hAnsi="宋体" w:eastAsia="宋体" w:cs="宋体"/>
          <w:bCs/>
          <w:color w:val="auto"/>
          <w:kern w:val="0"/>
          <w:sz w:val="24"/>
          <w:szCs w:val="24"/>
          <w:highlight w:val="none"/>
          <w:lang w:val="en-US" w:eastAsia="zh-CN"/>
        </w:rPr>
        <w:t>设备</w:t>
      </w:r>
      <w:r>
        <w:rPr>
          <w:rFonts w:hint="eastAsia" w:ascii="宋体" w:hAnsi="宋体" w:eastAsia="宋体" w:cs="宋体"/>
          <w:bCs/>
          <w:color w:val="auto"/>
          <w:kern w:val="0"/>
          <w:sz w:val="24"/>
          <w:szCs w:val="24"/>
          <w:highlight w:val="none"/>
        </w:rPr>
        <w:t>经</w:t>
      </w:r>
      <w:r>
        <w:rPr>
          <w:rFonts w:hint="eastAsia" w:ascii="宋体" w:hAnsi="宋体" w:eastAsia="宋体" w:cs="宋体"/>
          <w:bCs/>
          <w:color w:val="auto"/>
          <w:kern w:val="0"/>
          <w:sz w:val="24"/>
          <w:szCs w:val="24"/>
          <w:highlight w:val="none"/>
          <w:lang w:eastAsia="zh-CN"/>
        </w:rPr>
        <w:t>甲方</w:t>
      </w:r>
      <w:r>
        <w:rPr>
          <w:rFonts w:hint="eastAsia" w:ascii="宋体" w:hAnsi="宋体" w:eastAsia="宋体" w:cs="宋体"/>
          <w:bCs/>
          <w:color w:val="auto"/>
          <w:kern w:val="0"/>
          <w:sz w:val="24"/>
          <w:szCs w:val="24"/>
          <w:highlight w:val="none"/>
          <w:lang w:val="en-US" w:eastAsia="zh-CN"/>
        </w:rPr>
        <w:t>终</w:t>
      </w:r>
      <w:r>
        <w:rPr>
          <w:rFonts w:hint="eastAsia" w:ascii="宋体" w:hAnsi="宋体" w:eastAsia="宋体" w:cs="宋体"/>
          <w:bCs/>
          <w:color w:val="auto"/>
          <w:kern w:val="0"/>
          <w:sz w:val="24"/>
          <w:szCs w:val="24"/>
          <w:highlight w:val="none"/>
        </w:rPr>
        <w:t>验合格后</w:t>
      </w:r>
      <w:r>
        <w:rPr>
          <w:rFonts w:hint="eastAsia" w:ascii="宋体" w:hAnsi="宋体" w:eastAsia="宋体" w:cs="宋体"/>
          <w:bCs/>
          <w:color w:val="auto"/>
          <w:kern w:val="0"/>
          <w:sz w:val="24"/>
          <w:szCs w:val="24"/>
          <w:highlight w:val="none"/>
          <w:lang w:eastAsia="zh-CN"/>
        </w:rPr>
        <w:t>，自</w:t>
      </w:r>
      <w:r>
        <w:rPr>
          <w:rFonts w:hint="eastAsia" w:ascii="宋体" w:hAnsi="宋体" w:eastAsia="宋体" w:cs="宋体"/>
          <w:bCs/>
          <w:color w:val="auto"/>
          <w:kern w:val="0"/>
          <w:sz w:val="24"/>
          <w:szCs w:val="24"/>
          <w:highlight w:val="none"/>
        </w:rPr>
        <w:t>甲方</w:t>
      </w:r>
      <w:r>
        <w:rPr>
          <w:rFonts w:hint="eastAsia" w:ascii="宋体" w:hAnsi="宋体" w:eastAsia="宋体" w:cs="宋体"/>
          <w:bCs/>
          <w:color w:val="auto"/>
          <w:kern w:val="0"/>
          <w:sz w:val="24"/>
          <w:szCs w:val="24"/>
          <w:highlight w:val="none"/>
          <w:lang w:eastAsia="zh-CN"/>
        </w:rPr>
        <w:t>收到</w:t>
      </w:r>
      <w:r>
        <w:rPr>
          <w:rFonts w:hint="eastAsia" w:ascii="宋体" w:hAnsi="宋体" w:eastAsia="宋体" w:cs="宋体"/>
          <w:bCs/>
          <w:color w:val="auto"/>
          <w:kern w:val="0"/>
          <w:sz w:val="24"/>
          <w:szCs w:val="24"/>
          <w:highlight w:val="none"/>
        </w:rPr>
        <w:t>乙方</w:t>
      </w:r>
      <w:r>
        <w:rPr>
          <w:rFonts w:hint="eastAsia" w:ascii="宋体" w:hAnsi="宋体" w:eastAsia="宋体" w:cs="宋体"/>
          <w:bCs/>
          <w:color w:val="auto"/>
          <w:kern w:val="0"/>
          <w:sz w:val="24"/>
          <w:szCs w:val="24"/>
          <w:highlight w:val="none"/>
          <w:lang w:eastAsia="zh-CN"/>
        </w:rPr>
        <w:t>提供的符合</w:t>
      </w:r>
      <w:r>
        <w:rPr>
          <w:rFonts w:hint="eastAsia" w:ascii="宋体" w:hAnsi="宋体" w:eastAsia="宋体" w:cs="宋体"/>
          <w:bCs/>
          <w:color w:val="auto"/>
          <w:kern w:val="0"/>
          <w:sz w:val="24"/>
          <w:szCs w:val="24"/>
          <w:highlight w:val="none"/>
        </w:rPr>
        <w:t>甲方</w:t>
      </w:r>
      <w:r>
        <w:rPr>
          <w:rFonts w:hint="eastAsia" w:ascii="宋体" w:hAnsi="宋体" w:eastAsia="宋体" w:cs="宋体"/>
          <w:bCs/>
          <w:color w:val="auto"/>
          <w:kern w:val="0"/>
          <w:sz w:val="24"/>
          <w:szCs w:val="24"/>
          <w:highlight w:val="none"/>
          <w:lang w:eastAsia="zh-CN"/>
        </w:rPr>
        <w:t>财务要求且合法有效完整的等额完税发票之日起15个日历天内支付</w:t>
      </w:r>
      <w:r>
        <w:rPr>
          <w:rFonts w:hint="eastAsia" w:ascii="宋体" w:hAnsi="宋体" w:eastAsia="宋体" w:cs="宋体"/>
          <w:bCs/>
          <w:color w:val="auto"/>
          <w:kern w:val="0"/>
          <w:sz w:val="24"/>
          <w:szCs w:val="24"/>
          <w:highlight w:val="none"/>
          <w:lang w:val="en-US" w:eastAsia="zh-CN"/>
        </w:rPr>
        <w:t>合同</w:t>
      </w:r>
      <w:r>
        <w:rPr>
          <w:rFonts w:hint="eastAsia" w:ascii="宋体" w:hAnsi="宋体" w:eastAsia="宋体" w:cs="宋体"/>
          <w:bCs/>
          <w:color w:val="auto"/>
          <w:kern w:val="0"/>
          <w:sz w:val="24"/>
          <w:szCs w:val="24"/>
          <w:highlight w:val="none"/>
          <w:lang w:val="en-US" w:eastAsia="zh-Hans"/>
        </w:rPr>
        <w:t>总金额的百分之百的</w:t>
      </w:r>
      <w:r>
        <w:rPr>
          <w:rFonts w:hint="eastAsia" w:ascii="宋体" w:hAnsi="宋体" w:eastAsia="宋体" w:cs="宋体"/>
          <w:bCs/>
          <w:color w:val="auto"/>
          <w:kern w:val="0"/>
          <w:sz w:val="24"/>
          <w:szCs w:val="24"/>
          <w:highlight w:val="none"/>
          <w:lang w:val="en-US" w:eastAsia="zh-CN"/>
        </w:rPr>
        <w:t>货款</w:t>
      </w:r>
      <w:r>
        <w:rPr>
          <w:rFonts w:hint="eastAsia" w:ascii="宋体" w:hAnsi="宋体" w:eastAsia="宋体" w:cs="宋体"/>
          <w:bCs/>
          <w:color w:val="auto"/>
          <w:kern w:val="0"/>
          <w:sz w:val="24"/>
          <w:szCs w:val="24"/>
          <w:highlight w:val="none"/>
          <w:lang w:eastAsia="zh-CN"/>
        </w:rPr>
        <w:t>；若收到</w:t>
      </w:r>
      <w:r>
        <w:rPr>
          <w:rFonts w:hint="eastAsia" w:ascii="宋体" w:hAnsi="宋体" w:eastAsia="宋体" w:cs="宋体"/>
          <w:bCs/>
          <w:color w:val="auto"/>
          <w:kern w:val="0"/>
          <w:sz w:val="24"/>
          <w:szCs w:val="24"/>
          <w:highlight w:val="none"/>
        </w:rPr>
        <w:t>乙方</w:t>
      </w:r>
      <w:r>
        <w:rPr>
          <w:rFonts w:hint="eastAsia" w:ascii="宋体" w:hAnsi="宋体" w:eastAsia="宋体" w:cs="宋体"/>
          <w:bCs/>
          <w:color w:val="auto"/>
          <w:kern w:val="0"/>
          <w:sz w:val="24"/>
          <w:szCs w:val="24"/>
          <w:highlight w:val="none"/>
          <w:lang w:eastAsia="zh-CN"/>
        </w:rPr>
        <w:t>发票之日早于验收合格之日，则自验收合格之日起15个日历天内支付。</w:t>
      </w:r>
    </w:p>
    <w:p>
      <w:pPr>
        <w:keepNext w:val="0"/>
        <w:keepLines w:val="0"/>
        <w:pageBreakBefore w:val="0"/>
        <w:widowControl w:val="0"/>
        <w:numPr>
          <w:ilvl w:val="0"/>
          <w:numId w:val="0"/>
        </w:numPr>
        <w:kinsoku/>
        <w:overflowPunct/>
        <w:autoSpaceDE/>
        <w:autoSpaceDN/>
        <w:bidi w:val="0"/>
        <w:adjustRightInd w:val="0"/>
        <w:snapToGrid/>
        <w:spacing w:line="520" w:lineRule="exact"/>
        <w:ind w:firstLine="480" w:firstLineChars="200"/>
        <w:jc w:val="left"/>
        <w:textAlignment w:val="auto"/>
        <w:outlineLvl w:val="9"/>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3.</w:t>
      </w:r>
      <w:r>
        <w:rPr>
          <w:rFonts w:hint="eastAsia" w:ascii="宋体" w:hAnsi="宋体" w:eastAsia="宋体" w:cs="宋体"/>
          <w:bCs/>
          <w:color w:val="auto"/>
          <w:kern w:val="0"/>
          <w:sz w:val="24"/>
          <w:szCs w:val="24"/>
          <w:highlight w:val="none"/>
        </w:rPr>
        <w:t>乙方</w:t>
      </w:r>
      <w:r>
        <w:rPr>
          <w:rFonts w:hint="eastAsia" w:ascii="宋体" w:hAnsi="宋体" w:eastAsia="宋体" w:cs="宋体"/>
          <w:bCs/>
          <w:color w:val="auto"/>
          <w:kern w:val="0"/>
          <w:sz w:val="24"/>
          <w:szCs w:val="24"/>
          <w:highlight w:val="none"/>
          <w:lang w:eastAsia="zh-CN"/>
        </w:rPr>
        <w:t>未提供增值税发票（普票），或发票经国税网验审不合格的，或者</w:t>
      </w:r>
      <w:r>
        <w:rPr>
          <w:rFonts w:hint="eastAsia" w:ascii="宋体" w:hAnsi="宋体" w:eastAsia="宋体" w:cs="宋体"/>
          <w:bCs/>
          <w:color w:val="auto"/>
          <w:kern w:val="0"/>
          <w:sz w:val="24"/>
          <w:szCs w:val="24"/>
          <w:highlight w:val="none"/>
        </w:rPr>
        <w:t>乙方</w:t>
      </w:r>
      <w:r>
        <w:rPr>
          <w:rFonts w:hint="eastAsia" w:ascii="宋体" w:hAnsi="宋体" w:eastAsia="宋体" w:cs="宋体"/>
          <w:bCs/>
          <w:color w:val="auto"/>
          <w:kern w:val="0"/>
          <w:sz w:val="24"/>
          <w:szCs w:val="24"/>
          <w:highlight w:val="none"/>
          <w:lang w:eastAsia="zh-CN"/>
        </w:rPr>
        <w:t>提供的发票不满足</w:t>
      </w:r>
      <w:r>
        <w:rPr>
          <w:rFonts w:hint="eastAsia" w:ascii="宋体" w:hAnsi="宋体" w:eastAsia="宋体" w:cs="宋体"/>
          <w:bCs/>
          <w:color w:val="auto"/>
          <w:kern w:val="0"/>
          <w:sz w:val="24"/>
          <w:szCs w:val="24"/>
          <w:highlight w:val="none"/>
        </w:rPr>
        <w:t>甲方</w:t>
      </w:r>
      <w:r>
        <w:rPr>
          <w:rFonts w:hint="eastAsia" w:ascii="宋体" w:hAnsi="宋体" w:eastAsia="宋体" w:cs="宋体"/>
          <w:bCs/>
          <w:color w:val="auto"/>
          <w:kern w:val="0"/>
          <w:sz w:val="24"/>
          <w:szCs w:val="24"/>
          <w:highlight w:val="none"/>
          <w:lang w:eastAsia="zh-CN"/>
        </w:rPr>
        <w:t>财务要求的，</w:t>
      </w:r>
      <w:r>
        <w:rPr>
          <w:rFonts w:hint="eastAsia" w:ascii="宋体" w:hAnsi="宋体" w:eastAsia="宋体" w:cs="宋体"/>
          <w:bCs/>
          <w:color w:val="auto"/>
          <w:kern w:val="0"/>
          <w:sz w:val="24"/>
          <w:szCs w:val="24"/>
          <w:highlight w:val="none"/>
        </w:rPr>
        <w:t>甲方</w:t>
      </w:r>
      <w:r>
        <w:rPr>
          <w:rFonts w:hint="eastAsia" w:ascii="宋体" w:hAnsi="宋体" w:eastAsia="宋体" w:cs="宋体"/>
          <w:bCs/>
          <w:color w:val="auto"/>
          <w:kern w:val="0"/>
          <w:sz w:val="24"/>
          <w:szCs w:val="24"/>
          <w:highlight w:val="none"/>
          <w:lang w:eastAsia="zh-CN"/>
        </w:rPr>
        <w:t>有权拒付且不承担任何逾期付款的责任。</w:t>
      </w:r>
    </w:p>
    <w:p>
      <w:pPr>
        <w:keepNext w:val="0"/>
        <w:keepLines w:val="0"/>
        <w:pageBreakBefore w:val="0"/>
        <w:widowControl w:val="0"/>
        <w:numPr>
          <w:ilvl w:val="0"/>
          <w:numId w:val="0"/>
        </w:numPr>
        <w:kinsoku/>
        <w:overflowPunct/>
        <w:autoSpaceDE/>
        <w:autoSpaceDN/>
        <w:bidi w:val="0"/>
        <w:adjustRightInd w:val="0"/>
        <w:snapToGrid/>
        <w:spacing w:line="520" w:lineRule="exact"/>
        <w:ind w:firstLine="480" w:firstLineChars="200"/>
        <w:jc w:val="left"/>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eastAsia="zh-CN"/>
        </w:rPr>
        <w:t>4.</w:t>
      </w:r>
      <w:r>
        <w:rPr>
          <w:rFonts w:hint="eastAsia" w:ascii="宋体" w:hAnsi="宋体" w:eastAsia="宋体" w:cs="宋体"/>
          <w:bCs/>
          <w:color w:val="auto"/>
          <w:kern w:val="0"/>
          <w:sz w:val="24"/>
          <w:szCs w:val="24"/>
          <w:highlight w:val="none"/>
        </w:rPr>
        <w:t>乙方</w:t>
      </w:r>
      <w:r>
        <w:rPr>
          <w:rFonts w:hint="eastAsia" w:ascii="宋体" w:hAnsi="宋体" w:eastAsia="宋体" w:cs="宋体"/>
          <w:bCs/>
          <w:color w:val="auto"/>
          <w:kern w:val="0"/>
          <w:sz w:val="24"/>
          <w:szCs w:val="24"/>
          <w:highlight w:val="none"/>
          <w:lang w:eastAsia="zh-CN"/>
        </w:rPr>
        <w:t>保证提供的银行账户信息真实有效，如果</w:t>
      </w:r>
      <w:r>
        <w:rPr>
          <w:rFonts w:hint="eastAsia" w:ascii="宋体" w:hAnsi="宋体" w:eastAsia="宋体" w:cs="宋体"/>
          <w:bCs/>
          <w:color w:val="auto"/>
          <w:kern w:val="0"/>
          <w:sz w:val="24"/>
          <w:szCs w:val="24"/>
          <w:highlight w:val="none"/>
        </w:rPr>
        <w:t>乙方</w:t>
      </w:r>
      <w:r>
        <w:rPr>
          <w:rFonts w:hint="eastAsia" w:ascii="宋体" w:hAnsi="宋体" w:eastAsia="宋体" w:cs="宋体"/>
          <w:bCs/>
          <w:color w:val="auto"/>
          <w:kern w:val="0"/>
          <w:sz w:val="24"/>
          <w:szCs w:val="24"/>
          <w:highlight w:val="none"/>
          <w:lang w:eastAsia="zh-CN"/>
        </w:rPr>
        <w:t>账户信息更改（原则上</w:t>
      </w:r>
      <w:r>
        <w:rPr>
          <w:rFonts w:hint="eastAsia" w:ascii="宋体" w:hAnsi="宋体" w:eastAsia="宋体" w:cs="宋体"/>
          <w:bCs/>
          <w:color w:val="auto"/>
          <w:kern w:val="0"/>
          <w:sz w:val="24"/>
          <w:szCs w:val="24"/>
          <w:highlight w:val="none"/>
        </w:rPr>
        <w:t>甲方</w:t>
      </w:r>
      <w:r>
        <w:rPr>
          <w:rFonts w:hint="eastAsia" w:ascii="宋体" w:hAnsi="宋体" w:eastAsia="宋体" w:cs="宋体"/>
          <w:bCs/>
          <w:color w:val="auto"/>
          <w:kern w:val="0"/>
          <w:sz w:val="24"/>
          <w:szCs w:val="24"/>
          <w:highlight w:val="none"/>
          <w:lang w:eastAsia="zh-CN"/>
        </w:rPr>
        <w:t>不同意账户信息更改），需要在</w:t>
      </w:r>
      <w:r>
        <w:rPr>
          <w:rFonts w:hint="eastAsia" w:ascii="宋体" w:hAnsi="宋体" w:eastAsia="宋体" w:cs="宋体"/>
          <w:bCs/>
          <w:color w:val="auto"/>
          <w:kern w:val="0"/>
          <w:sz w:val="24"/>
          <w:szCs w:val="24"/>
          <w:highlight w:val="none"/>
        </w:rPr>
        <w:t>甲方</w:t>
      </w:r>
      <w:r>
        <w:rPr>
          <w:rFonts w:hint="eastAsia" w:ascii="宋体" w:hAnsi="宋体" w:eastAsia="宋体" w:cs="宋体"/>
          <w:bCs/>
          <w:color w:val="auto"/>
          <w:kern w:val="0"/>
          <w:sz w:val="24"/>
          <w:szCs w:val="24"/>
          <w:highlight w:val="none"/>
          <w:lang w:eastAsia="zh-CN"/>
        </w:rPr>
        <w:t>付款前7个日历天内告知</w:t>
      </w:r>
      <w:r>
        <w:rPr>
          <w:rFonts w:hint="eastAsia" w:ascii="宋体" w:hAnsi="宋体" w:eastAsia="宋体" w:cs="宋体"/>
          <w:bCs/>
          <w:color w:val="auto"/>
          <w:kern w:val="0"/>
          <w:sz w:val="24"/>
          <w:szCs w:val="24"/>
          <w:highlight w:val="none"/>
        </w:rPr>
        <w:t>甲方</w:t>
      </w:r>
      <w:r>
        <w:rPr>
          <w:rFonts w:hint="eastAsia" w:ascii="宋体" w:hAnsi="宋体" w:eastAsia="宋体" w:cs="宋体"/>
          <w:bCs/>
          <w:color w:val="auto"/>
          <w:kern w:val="0"/>
          <w:sz w:val="24"/>
          <w:szCs w:val="24"/>
          <w:highlight w:val="none"/>
          <w:lang w:eastAsia="zh-CN"/>
        </w:rPr>
        <w:t>，若因</w:t>
      </w:r>
      <w:r>
        <w:rPr>
          <w:rFonts w:hint="eastAsia" w:ascii="宋体" w:hAnsi="宋体" w:eastAsia="宋体" w:cs="宋体"/>
          <w:bCs/>
          <w:color w:val="auto"/>
          <w:kern w:val="0"/>
          <w:sz w:val="24"/>
          <w:szCs w:val="24"/>
          <w:highlight w:val="none"/>
        </w:rPr>
        <w:t>乙方</w:t>
      </w:r>
      <w:r>
        <w:rPr>
          <w:rFonts w:hint="eastAsia" w:ascii="宋体" w:hAnsi="宋体" w:eastAsia="宋体" w:cs="宋体"/>
          <w:bCs/>
          <w:color w:val="auto"/>
          <w:kern w:val="0"/>
          <w:sz w:val="24"/>
          <w:szCs w:val="24"/>
          <w:highlight w:val="none"/>
          <w:lang w:eastAsia="zh-CN"/>
        </w:rPr>
        <w:t>原因导致</w:t>
      </w:r>
      <w:r>
        <w:rPr>
          <w:rFonts w:hint="eastAsia" w:ascii="宋体" w:hAnsi="宋体" w:eastAsia="宋体" w:cs="宋体"/>
          <w:bCs/>
          <w:color w:val="auto"/>
          <w:kern w:val="0"/>
          <w:sz w:val="24"/>
          <w:szCs w:val="24"/>
          <w:highlight w:val="none"/>
        </w:rPr>
        <w:t>甲方</w:t>
      </w:r>
      <w:r>
        <w:rPr>
          <w:rFonts w:hint="eastAsia" w:ascii="宋体" w:hAnsi="宋体" w:eastAsia="宋体" w:cs="宋体"/>
          <w:bCs/>
          <w:color w:val="auto"/>
          <w:kern w:val="0"/>
          <w:sz w:val="24"/>
          <w:szCs w:val="24"/>
          <w:highlight w:val="none"/>
          <w:lang w:eastAsia="zh-CN"/>
        </w:rPr>
        <w:t>无法付款或错误付款，后果由</w:t>
      </w:r>
      <w:r>
        <w:rPr>
          <w:rFonts w:hint="eastAsia" w:ascii="宋体" w:hAnsi="宋体" w:eastAsia="宋体" w:cs="宋体"/>
          <w:bCs/>
          <w:color w:val="auto"/>
          <w:kern w:val="0"/>
          <w:sz w:val="24"/>
          <w:szCs w:val="24"/>
          <w:highlight w:val="none"/>
        </w:rPr>
        <w:t>乙方</w:t>
      </w:r>
      <w:r>
        <w:rPr>
          <w:rFonts w:hint="eastAsia" w:ascii="宋体" w:hAnsi="宋体" w:eastAsia="宋体" w:cs="宋体"/>
          <w:bCs/>
          <w:color w:val="auto"/>
          <w:kern w:val="0"/>
          <w:sz w:val="24"/>
          <w:szCs w:val="24"/>
          <w:highlight w:val="none"/>
          <w:lang w:eastAsia="zh-CN"/>
        </w:rPr>
        <w:t>自行承担。</w:t>
      </w:r>
      <w:r>
        <w:rPr>
          <w:rFonts w:hint="eastAsia" w:ascii="宋体" w:hAnsi="宋体" w:eastAsia="宋体" w:cs="宋体"/>
          <w:bCs/>
          <w:color w:val="auto"/>
          <w:kern w:val="0"/>
          <w:sz w:val="24"/>
          <w:szCs w:val="24"/>
          <w:highlight w:val="none"/>
          <w:lang w:val="en-US"/>
        </w:rPr>
        <w:t>乙方指定收款账户</w:t>
      </w:r>
      <w:r>
        <w:rPr>
          <w:rFonts w:hint="eastAsia" w:ascii="宋体" w:hAnsi="宋体" w:eastAsia="宋体" w:cs="宋体"/>
          <w:bCs/>
          <w:color w:val="auto"/>
          <w:kern w:val="0"/>
          <w:sz w:val="24"/>
          <w:szCs w:val="24"/>
          <w:highlight w:val="none"/>
          <w:lang w:val="en-US" w:eastAsia="zh-CN"/>
        </w:rPr>
        <w:t>如下：</w:t>
      </w:r>
    </w:p>
    <w:p>
      <w:pPr>
        <w:keepNext w:val="0"/>
        <w:keepLines w:val="0"/>
        <w:pageBreakBefore w:val="0"/>
        <w:widowControl w:val="0"/>
        <w:numPr>
          <w:ilvl w:val="0"/>
          <w:numId w:val="0"/>
        </w:numPr>
        <w:kinsoku/>
        <w:overflowPunct/>
        <w:autoSpaceDE/>
        <w:autoSpaceDN/>
        <w:bidi w:val="0"/>
        <w:adjustRightInd w:val="0"/>
        <w:snapToGrid/>
        <w:spacing w:line="520" w:lineRule="exact"/>
        <w:ind w:firstLine="480" w:firstLineChars="200"/>
        <w:jc w:val="left"/>
        <w:textAlignment w:val="auto"/>
        <w:outlineLvl w:val="9"/>
        <w:rPr>
          <w:rFonts w:hint="eastAsia" w:ascii="宋体" w:hAnsi="宋体" w:eastAsia="宋体" w:cs="宋体"/>
          <w:bCs/>
          <w:color w:val="auto"/>
          <w:kern w:val="0"/>
          <w:sz w:val="24"/>
          <w:szCs w:val="24"/>
          <w:highlight w:val="none"/>
          <w:lang w:val="en-US"/>
        </w:rPr>
      </w:pPr>
      <w:r>
        <w:rPr>
          <w:rFonts w:hint="eastAsia" w:ascii="宋体" w:hAnsi="宋体" w:eastAsia="宋体" w:cs="宋体"/>
          <w:bCs/>
          <w:color w:val="auto"/>
          <w:kern w:val="0"/>
          <w:sz w:val="24"/>
          <w:szCs w:val="24"/>
          <w:highlight w:val="none"/>
          <w:lang w:val="en-US"/>
        </w:rPr>
        <w:t>账户名称：</w:t>
      </w:r>
    </w:p>
    <w:p>
      <w:pPr>
        <w:keepNext w:val="0"/>
        <w:keepLines w:val="0"/>
        <w:pageBreakBefore w:val="0"/>
        <w:widowControl w:val="0"/>
        <w:numPr>
          <w:ilvl w:val="0"/>
          <w:numId w:val="0"/>
        </w:numPr>
        <w:kinsoku/>
        <w:overflowPunct/>
        <w:autoSpaceDE/>
        <w:autoSpaceDN/>
        <w:bidi w:val="0"/>
        <w:adjustRightInd w:val="0"/>
        <w:snapToGrid/>
        <w:spacing w:line="520" w:lineRule="exact"/>
        <w:ind w:firstLine="480" w:firstLineChars="200"/>
        <w:jc w:val="left"/>
        <w:textAlignment w:val="auto"/>
        <w:outlineLvl w:val="9"/>
        <w:rPr>
          <w:rFonts w:hint="eastAsia" w:ascii="宋体" w:hAnsi="宋体" w:eastAsia="宋体" w:cs="宋体"/>
          <w:bCs/>
          <w:color w:val="auto"/>
          <w:kern w:val="0"/>
          <w:sz w:val="24"/>
          <w:szCs w:val="24"/>
          <w:highlight w:val="none"/>
          <w:lang w:val="en-US"/>
        </w:rPr>
      </w:pPr>
      <w:r>
        <w:rPr>
          <w:rFonts w:hint="eastAsia" w:ascii="宋体" w:hAnsi="宋体" w:eastAsia="宋体" w:cs="宋体"/>
          <w:bCs/>
          <w:color w:val="auto"/>
          <w:kern w:val="0"/>
          <w:sz w:val="24"/>
          <w:szCs w:val="24"/>
          <w:highlight w:val="none"/>
        </w:rPr>
        <w:t>银行</w:t>
      </w:r>
      <w:r>
        <w:rPr>
          <w:rFonts w:hint="eastAsia" w:ascii="宋体" w:hAnsi="宋体" w:eastAsia="宋体" w:cs="宋体"/>
          <w:bCs/>
          <w:color w:val="auto"/>
          <w:kern w:val="0"/>
          <w:sz w:val="24"/>
          <w:szCs w:val="24"/>
          <w:highlight w:val="none"/>
          <w:lang w:val="en-US"/>
        </w:rPr>
        <w:t>账号：</w:t>
      </w:r>
    </w:p>
    <w:p>
      <w:pPr>
        <w:keepNext w:val="0"/>
        <w:keepLines w:val="0"/>
        <w:pageBreakBefore w:val="0"/>
        <w:widowControl w:val="0"/>
        <w:numPr>
          <w:ilvl w:val="0"/>
          <w:numId w:val="0"/>
        </w:numPr>
        <w:kinsoku/>
        <w:overflowPunct/>
        <w:autoSpaceDE/>
        <w:autoSpaceDN/>
        <w:bidi w:val="0"/>
        <w:adjustRightInd w:val="0"/>
        <w:snapToGrid/>
        <w:spacing w:line="520" w:lineRule="exact"/>
        <w:ind w:firstLine="480" w:firstLineChars="200"/>
        <w:jc w:val="left"/>
        <w:textAlignment w:val="auto"/>
        <w:outlineLvl w:val="9"/>
        <w:rPr>
          <w:rFonts w:hint="eastAsia" w:ascii="宋体" w:hAnsi="宋体" w:eastAsia="宋体" w:cs="宋体"/>
          <w:bCs/>
          <w:color w:val="auto"/>
          <w:kern w:val="0"/>
          <w:sz w:val="24"/>
          <w:szCs w:val="24"/>
          <w:highlight w:val="none"/>
          <w:lang w:val="en-US"/>
        </w:rPr>
      </w:pPr>
      <w:r>
        <w:rPr>
          <w:rFonts w:hint="eastAsia" w:ascii="宋体" w:hAnsi="宋体" w:eastAsia="宋体" w:cs="宋体"/>
          <w:bCs/>
          <w:color w:val="auto"/>
          <w:kern w:val="0"/>
          <w:sz w:val="24"/>
          <w:szCs w:val="24"/>
          <w:highlight w:val="none"/>
          <w:lang w:val="en-US"/>
        </w:rPr>
        <w:t>开户</w:t>
      </w:r>
      <w:r>
        <w:rPr>
          <w:rFonts w:hint="eastAsia" w:ascii="宋体" w:hAnsi="宋体" w:eastAsia="宋体" w:cs="宋体"/>
          <w:bCs/>
          <w:color w:val="auto"/>
          <w:kern w:val="0"/>
          <w:sz w:val="24"/>
          <w:szCs w:val="24"/>
          <w:highlight w:val="none"/>
        </w:rPr>
        <w:t>银行</w:t>
      </w:r>
      <w:r>
        <w:rPr>
          <w:rFonts w:hint="eastAsia" w:ascii="宋体" w:hAnsi="宋体" w:eastAsia="宋体" w:cs="宋体"/>
          <w:bCs/>
          <w:color w:val="auto"/>
          <w:kern w:val="0"/>
          <w:sz w:val="24"/>
          <w:szCs w:val="24"/>
          <w:highlight w:val="none"/>
          <w:lang w:val="en-US"/>
        </w:rPr>
        <w:t>：</w:t>
      </w:r>
    </w:p>
    <w:p>
      <w:pPr>
        <w:keepNext w:val="0"/>
        <w:keepLines w:val="0"/>
        <w:pageBreakBefore w:val="0"/>
        <w:widowControl w:val="0"/>
        <w:numPr>
          <w:ilvl w:val="0"/>
          <w:numId w:val="0"/>
        </w:numPr>
        <w:kinsoku/>
        <w:overflowPunct/>
        <w:autoSpaceDE/>
        <w:autoSpaceDN/>
        <w:bidi w:val="0"/>
        <w:adjustRightInd w:val="0"/>
        <w:snapToGrid/>
        <w:spacing w:line="520" w:lineRule="exact"/>
        <w:ind w:firstLine="480" w:firstLineChars="200"/>
        <w:jc w:val="left"/>
        <w:textAlignment w:val="auto"/>
        <w:outlineLvl w:val="9"/>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5.</w:t>
      </w:r>
      <w:r>
        <w:rPr>
          <w:rFonts w:hint="eastAsia" w:ascii="宋体" w:hAnsi="宋体" w:eastAsia="宋体" w:cs="宋体"/>
          <w:bCs/>
          <w:color w:val="auto"/>
          <w:kern w:val="0"/>
          <w:sz w:val="24"/>
          <w:szCs w:val="24"/>
          <w:highlight w:val="none"/>
          <w:lang w:eastAsia="zh-CN"/>
        </w:rPr>
        <w:t>支付方式为一次性对公银行转账。</w:t>
      </w:r>
    </w:p>
    <w:p>
      <w:pPr>
        <w:pStyle w:val="11"/>
        <w:keepNext w:val="0"/>
        <w:keepLines w:val="0"/>
        <w:pageBreakBefore w:val="0"/>
        <w:widowControl w:val="0"/>
        <w:kinsoku/>
        <w:overflowPunct/>
        <w:autoSpaceDE/>
        <w:autoSpaceDN/>
        <w:bidi w:val="0"/>
        <w:adjustRightInd w:val="0"/>
        <w:snapToGrid/>
        <w:spacing w:line="520" w:lineRule="exact"/>
        <w:ind w:firstLine="482" w:firstLineChars="200"/>
        <w:jc w:val="left"/>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六、质量及供货渠道要求</w:t>
      </w:r>
    </w:p>
    <w:p>
      <w:pPr>
        <w:keepNext w:val="0"/>
        <w:keepLines w:val="0"/>
        <w:pageBreakBefore w:val="0"/>
        <w:widowControl w:val="0"/>
        <w:numPr>
          <w:ilvl w:val="0"/>
          <w:numId w:val="0"/>
        </w:numPr>
        <w:kinsoku/>
        <w:overflowPunct/>
        <w:autoSpaceDE/>
        <w:autoSpaceDN/>
        <w:bidi w:val="0"/>
        <w:adjustRightInd w:val="0"/>
        <w:snapToGrid/>
        <w:spacing w:line="52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应保证</w:t>
      </w:r>
      <w:r>
        <w:rPr>
          <w:rFonts w:hint="eastAsia" w:ascii="宋体" w:hAnsi="宋体" w:eastAsia="宋体" w:cs="宋体"/>
          <w:color w:val="auto"/>
          <w:sz w:val="24"/>
          <w:szCs w:val="24"/>
          <w:highlight w:val="none"/>
          <w:lang w:eastAsia="zh-CN"/>
        </w:rPr>
        <w:t>成都市技师学院工业机器人数字化虚拟仿真实训基地设备</w:t>
      </w:r>
      <w:r>
        <w:rPr>
          <w:rFonts w:hint="eastAsia" w:ascii="宋体" w:hAnsi="宋体" w:eastAsia="宋体" w:cs="宋体"/>
          <w:color w:val="auto"/>
          <w:sz w:val="24"/>
          <w:szCs w:val="24"/>
          <w:highlight w:val="none"/>
        </w:rPr>
        <w:t>（含零部件、配件等）是全新、未使用过的原装合格正品，表面无划伤、无碰撞痕迹。</w:t>
      </w:r>
    </w:p>
    <w:p>
      <w:pPr>
        <w:keepNext w:val="0"/>
        <w:keepLines w:val="0"/>
        <w:pageBreakBefore w:val="0"/>
        <w:widowControl w:val="0"/>
        <w:numPr>
          <w:ilvl w:val="0"/>
          <w:numId w:val="0"/>
        </w:numPr>
        <w:kinsoku/>
        <w:overflowPunct/>
        <w:autoSpaceDE/>
        <w:autoSpaceDN/>
        <w:bidi w:val="0"/>
        <w:adjustRightInd w:val="0"/>
        <w:snapToGrid/>
        <w:spacing w:line="52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提供的</w:t>
      </w:r>
      <w:r>
        <w:rPr>
          <w:rFonts w:hint="eastAsia" w:ascii="宋体" w:hAnsi="宋体" w:eastAsia="宋体" w:cs="宋体"/>
          <w:color w:val="auto"/>
          <w:sz w:val="24"/>
          <w:szCs w:val="24"/>
          <w:highlight w:val="none"/>
          <w:lang w:eastAsia="zh-CN"/>
        </w:rPr>
        <w:t>成都市技师学院工业机器人虚拟仿真实训基地设备</w:t>
      </w:r>
      <w:r>
        <w:rPr>
          <w:rFonts w:hint="eastAsia" w:ascii="宋体" w:hAnsi="宋体" w:eastAsia="宋体" w:cs="宋体"/>
          <w:color w:val="auto"/>
          <w:sz w:val="24"/>
          <w:szCs w:val="24"/>
          <w:highlight w:val="none"/>
        </w:rPr>
        <w:t>必须符合国家(行业)标准。如果</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提供的</w:t>
      </w:r>
      <w:r>
        <w:rPr>
          <w:rFonts w:hint="eastAsia" w:ascii="宋体" w:hAnsi="宋体" w:eastAsia="宋体" w:cs="宋体"/>
          <w:color w:val="auto"/>
          <w:sz w:val="24"/>
          <w:szCs w:val="24"/>
          <w:highlight w:val="none"/>
          <w:lang w:eastAsia="zh-CN"/>
        </w:rPr>
        <w:t>成都市技师学院工业机器人数字化虚拟仿真实训基地设备</w:t>
      </w:r>
      <w:r>
        <w:rPr>
          <w:rFonts w:hint="eastAsia" w:ascii="宋体" w:hAnsi="宋体" w:eastAsia="宋体" w:cs="宋体"/>
          <w:color w:val="auto"/>
          <w:sz w:val="24"/>
          <w:szCs w:val="24"/>
          <w:highlight w:val="none"/>
        </w:rPr>
        <w:t>的技术要求（功能和质量要求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文件和</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不符，或证实产品是有缺陷的，包括潜在的缺陷或使用不符合要求的产品等，</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应在接到</w:t>
      </w:r>
      <w:r>
        <w:rPr>
          <w:rFonts w:hint="eastAsia" w:ascii="宋体" w:hAnsi="宋体" w:eastAsia="宋体" w:cs="宋体"/>
          <w:color w:val="auto"/>
          <w:sz w:val="24"/>
          <w:szCs w:val="24"/>
          <w:highlight w:val="none"/>
          <w:lang w:eastAsia="zh-CN"/>
        </w:rPr>
        <w:t>招</w:t>
      </w:r>
      <w:r>
        <w:rPr>
          <w:rFonts w:hint="eastAsia" w:ascii="宋体" w:hAnsi="宋体" w:eastAsia="宋体" w:cs="宋体"/>
          <w:color w:val="auto"/>
          <w:sz w:val="24"/>
          <w:szCs w:val="24"/>
          <w:highlight w:val="none"/>
          <w:lang w:val="en-US" w:eastAsia="zh-CN"/>
        </w:rPr>
        <w:t>标人</w:t>
      </w:r>
      <w:r>
        <w:rPr>
          <w:rFonts w:hint="eastAsia" w:ascii="宋体" w:hAnsi="宋体" w:eastAsia="宋体" w:cs="宋体"/>
          <w:color w:val="auto"/>
          <w:sz w:val="24"/>
          <w:szCs w:val="24"/>
          <w:highlight w:val="none"/>
        </w:rPr>
        <w:t>书面通知后1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日历日内完成换货，因换货产生的费用由</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承担。如因不合格产品给</w:t>
      </w:r>
      <w:r>
        <w:rPr>
          <w:rFonts w:hint="eastAsia" w:ascii="宋体" w:hAnsi="宋体" w:eastAsia="宋体" w:cs="宋体"/>
          <w:color w:val="auto"/>
          <w:sz w:val="24"/>
          <w:szCs w:val="24"/>
          <w:highlight w:val="none"/>
          <w:lang w:eastAsia="zh-CN"/>
        </w:rPr>
        <w:t>招</w:t>
      </w:r>
      <w:r>
        <w:rPr>
          <w:rFonts w:hint="eastAsia" w:ascii="宋体" w:hAnsi="宋体" w:eastAsia="宋体" w:cs="宋体"/>
          <w:color w:val="auto"/>
          <w:sz w:val="24"/>
          <w:szCs w:val="24"/>
          <w:highlight w:val="none"/>
          <w:lang w:val="en-US" w:eastAsia="zh-CN"/>
        </w:rPr>
        <w:t>标人</w:t>
      </w:r>
      <w:r>
        <w:rPr>
          <w:rFonts w:hint="eastAsia" w:ascii="宋体" w:hAnsi="宋体" w:eastAsia="宋体" w:cs="宋体"/>
          <w:color w:val="auto"/>
          <w:sz w:val="24"/>
          <w:szCs w:val="24"/>
          <w:highlight w:val="none"/>
        </w:rPr>
        <w:t>造成损失，</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还应承担赔偿责任。</w:t>
      </w:r>
    </w:p>
    <w:p>
      <w:pPr>
        <w:keepNext w:val="0"/>
        <w:keepLines w:val="0"/>
        <w:pageBreakBefore w:val="0"/>
        <w:widowControl w:val="0"/>
        <w:kinsoku/>
        <w:overflowPunct/>
        <w:autoSpaceDE/>
        <w:autoSpaceDN/>
        <w:bidi w:val="0"/>
        <w:adjustRightInd w:val="0"/>
        <w:snapToGrid/>
        <w:spacing w:line="52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lang w:val="en-US" w:eastAsia="zh-CN"/>
        </w:rPr>
        <w:t>3.</w:t>
      </w:r>
      <w:r>
        <w:rPr>
          <w:rFonts w:hint="eastAsia" w:ascii="宋体" w:hAnsi="宋体" w:eastAsia="宋体" w:cs="宋体"/>
          <w:color w:val="auto"/>
          <w:kern w:val="2"/>
          <w:sz w:val="24"/>
          <w:szCs w:val="24"/>
          <w:highlight w:val="none"/>
          <w:lang w:eastAsia="zh-CN"/>
        </w:rPr>
        <w:t>投标人</w:t>
      </w:r>
      <w:r>
        <w:rPr>
          <w:rFonts w:hint="eastAsia" w:ascii="宋体" w:hAnsi="宋体" w:eastAsia="宋体" w:cs="宋体"/>
          <w:color w:val="auto"/>
          <w:kern w:val="2"/>
          <w:sz w:val="24"/>
          <w:szCs w:val="24"/>
          <w:highlight w:val="none"/>
        </w:rPr>
        <w:t>提供采购需求的</w:t>
      </w:r>
      <w:r>
        <w:rPr>
          <w:rFonts w:hint="eastAsia" w:ascii="宋体" w:hAnsi="宋体" w:eastAsia="宋体" w:cs="宋体"/>
          <w:color w:val="auto"/>
          <w:kern w:val="2"/>
          <w:sz w:val="24"/>
          <w:szCs w:val="24"/>
          <w:highlight w:val="none"/>
          <w:lang w:val="en-US" w:eastAsia="zh-CN"/>
        </w:rPr>
        <w:t>设备</w:t>
      </w:r>
      <w:r>
        <w:rPr>
          <w:rFonts w:hint="eastAsia" w:ascii="宋体" w:hAnsi="宋体" w:eastAsia="宋体" w:cs="宋体"/>
          <w:color w:val="auto"/>
          <w:kern w:val="2"/>
          <w:sz w:val="24"/>
          <w:szCs w:val="24"/>
          <w:highlight w:val="none"/>
        </w:rPr>
        <w:t>须满足招标要求所有功能，如因不满足招标需求功能给</w:t>
      </w:r>
      <w:r>
        <w:rPr>
          <w:rFonts w:hint="eastAsia" w:ascii="宋体" w:hAnsi="宋体" w:eastAsia="宋体" w:cs="宋体"/>
          <w:color w:val="auto"/>
          <w:kern w:val="2"/>
          <w:sz w:val="24"/>
          <w:szCs w:val="24"/>
          <w:highlight w:val="none"/>
          <w:lang w:eastAsia="zh-CN"/>
        </w:rPr>
        <w:t>招标人</w:t>
      </w:r>
      <w:r>
        <w:rPr>
          <w:rFonts w:hint="eastAsia" w:ascii="宋体" w:hAnsi="宋体" w:eastAsia="宋体" w:cs="宋体"/>
          <w:color w:val="auto"/>
          <w:kern w:val="2"/>
          <w:sz w:val="24"/>
          <w:szCs w:val="24"/>
          <w:highlight w:val="none"/>
        </w:rPr>
        <w:t>造成的损失，由</w:t>
      </w:r>
      <w:r>
        <w:rPr>
          <w:rFonts w:hint="eastAsia" w:ascii="宋体" w:hAnsi="宋体" w:eastAsia="宋体" w:cs="宋体"/>
          <w:color w:val="auto"/>
          <w:kern w:val="2"/>
          <w:sz w:val="24"/>
          <w:szCs w:val="24"/>
          <w:highlight w:val="none"/>
          <w:lang w:eastAsia="zh-CN"/>
        </w:rPr>
        <w:t>投标人</w:t>
      </w:r>
      <w:r>
        <w:rPr>
          <w:rFonts w:hint="eastAsia" w:ascii="宋体" w:hAnsi="宋体" w:eastAsia="宋体" w:cs="宋体"/>
          <w:color w:val="auto"/>
          <w:kern w:val="2"/>
          <w:sz w:val="24"/>
          <w:szCs w:val="24"/>
          <w:highlight w:val="none"/>
          <w:lang w:val="en-US" w:eastAsia="zh-CN"/>
        </w:rPr>
        <w:t>赔偿招标人全部损失</w:t>
      </w:r>
      <w:r>
        <w:rPr>
          <w:rFonts w:hint="eastAsia" w:ascii="宋体" w:hAnsi="宋体" w:eastAsia="宋体" w:cs="宋体"/>
          <w:color w:val="auto"/>
          <w:kern w:val="2"/>
          <w:sz w:val="24"/>
          <w:szCs w:val="24"/>
          <w:highlight w:val="none"/>
        </w:rPr>
        <w:t>。</w:t>
      </w:r>
    </w:p>
    <w:p>
      <w:pPr>
        <w:pStyle w:val="11"/>
        <w:keepNext w:val="0"/>
        <w:keepLines w:val="0"/>
        <w:pageBreakBefore w:val="0"/>
        <w:widowControl w:val="0"/>
        <w:numPr>
          <w:ilvl w:val="0"/>
          <w:numId w:val="0"/>
        </w:numPr>
        <w:kinsoku/>
        <w:overflowPunct/>
        <w:autoSpaceDE/>
        <w:autoSpaceDN/>
        <w:bidi w:val="0"/>
        <w:adjustRightInd w:val="0"/>
        <w:snapToGrid/>
        <w:spacing w:line="520" w:lineRule="exact"/>
        <w:ind w:firstLine="482" w:firstLineChars="200"/>
        <w:jc w:val="left"/>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七、包装（方式）、运输要求</w:t>
      </w:r>
    </w:p>
    <w:p>
      <w:pPr>
        <w:keepNext w:val="0"/>
        <w:keepLines w:val="0"/>
        <w:pageBreakBefore w:val="0"/>
        <w:widowControl w:val="0"/>
        <w:kinsoku/>
        <w:overflowPunct/>
        <w:autoSpaceDE/>
        <w:autoSpaceDN/>
        <w:bidi w:val="0"/>
        <w:adjustRightInd w:val="0"/>
        <w:snapToGrid/>
        <w:spacing w:line="52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为本项目实施涉及的商品包装和快递包装，均符合财政部等三部门联合印发商品包装和快递包装政府采购需求标准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试行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财办库[2020]123号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的要求。该包装应适应于远距离运输、防潮、防震、防锈和防野蛮装卸，以确保货物安全无损运抵指定地点。货物在运输途中毁损灭失的风险均由</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承担。</w:t>
      </w:r>
    </w:p>
    <w:p>
      <w:pPr>
        <w:keepNext w:val="0"/>
        <w:keepLines w:val="0"/>
        <w:pageBreakBefore w:val="0"/>
        <w:widowControl w:val="0"/>
        <w:kinsoku/>
        <w:overflowPunct/>
        <w:autoSpaceDE/>
        <w:autoSpaceDN/>
        <w:bidi w:val="0"/>
        <w:adjustRightInd w:val="0"/>
        <w:snapToGrid/>
        <w:spacing w:line="52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包装方式为木架包装，</w:t>
      </w:r>
      <w:r>
        <w:rPr>
          <w:rFonts w:hint="eastAsia" w:ascii="宋体" w:hAnsi="宋体" w:eastAsia="宋体" w:cs="宋体"/>
          <w:color w:val="auto"/>
          <w:sz w:val="24"/>
          <w:szCs w:val="24"/>
          <w:highlight w:val="none"/>
        </w:rPr>
        <w:t>每一包装单元内应附详细的装箱单和质量合格凭证。由于包装不善所引起的货物损失均由</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承担。</w:t>
      </w:r>
    </w:p>
    <w:p>
      <w:pPr>
        <w:keepNext w:val="0"/>
        <w:keepLines w:val="0"/>
        <w:pageBreakBefore w:val="0"/>
        <w:widowControl w:val="0"/>
        <w:numPr>
          <w:ilvl w:val="0"/>
          <w:numId w:val="0"/>
        </w:numPr>
        <w:kinsoku/>
        <w:overflowPunct/>
        <w:autoSpaceDE/>
        <w:autoSpaceDN/>
        <w:bidi w:val="0"/>
        <w:adjustRightInd w:val="0"/>
        <w:snapToGrid/>
        <w:spacing w:before="0" w:after="0" w:line="520" w:lineRule="exact"/>
        <w:ind w:firstLine="482" w:firstLineChars="200"/>
        <w:jc w:val="left"/>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八、安装调试要求</w:t>
      </w:r>
    </w:p>
    <w:p>
      <w:pPr>
        <w:keepNext w:val="0"/>
        <w:keepLines w:val="0"/>
        <w:pageBreakBefore w:val="0"/>
        <w:widowControl w:val="0"/>
        <w:kinsoku/>
        <w:overflowPunct/>
        <w:autoSpaceDE/>
        <w:autoSpaceDN/>
        <w:bidi w:val="0"/>
        <w:adjustRightInd w:val="0"/>
        <w:snapToGrid/>
        <w:spacing w:line="52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将</w:t>
      </w:r>
      <w:r>
        <w:rPr>
          <w:rFonts w:hint="eastAsia" w:ascii="宋体" w:hAnsi="宋体" w:eastAsia="宋体" w:cs="宋体"/>
          <w:bCs w:val="0"/>
          <w:color w:val="auto"/>
          <w:sz w:val="24"/>
          <w:szCs w:val="24"/>
          <w:highlight w:val="none"/>
          <w:u w:val="none"/>
          <w:lang w:eastAsia="zh-CN"/>
        </w:rPr>
        <w:t>成都市技师学院工业机器人数字化虚拟仿真实训基地设备</w:t>
      </w:r>
      <w:r>
        <w:rPr>
          <w:rFonts w:hint="eastAsia" w:ascii="宋体" w:hAnsi="宋体" w:eastAsia="宋体" w:cs="宋体"/>
          <w:color w:val="auto"/>
          <w:sz w:val="24"/>
          <w:szCs w:val="24"/>
          <w:highlight w:val="none"/>
        </w:rPr>
        <w:t>送达</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指定地点后按</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确定的方案进行安装、调试等工作。</w:t>
      </w:r>
    </w:p>
    <w:p>
      <w:pPr>
        <w:keepNext w:val="0"/>
        <w:keepLines w:val="0"/>
        <w:pageBreakBefore w:val="0"/>
        <w:widowControl w:val="0"/>
        <w:numPr>
          <w:ilvl w:val="0"/>
          <w:numId w:val="0"/>
        </w:numPr>
        <w:kinsoku/>
        <w:overflowPunct/>
        <w:autoSpaceDE/>
        <w:autoSpaceDN/>
        <w:bidi w:val="0"/>
        <w:adjustRightInd w:val="0"/>
        <w:snapToGrid/>
        <w:spacing w:line="52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保证严格按照国家相关规范进行安装和调试。</w:t>
      </w:r>
    </w:p>
    <w:p>
      <w:pPr>
        <w:keepNext w:val="0"/>
        <w:keepLines w:val="0"/>
        <w:pageBreakBefore w:val="0"/>
        <w:widowControl w:val="0"/>
        <w:numPr>
          <w:ilvl w:val="0"/>
          <w:numId w:val="0"/>
        </w:numPr>
        <w:kinsoku/>
        <w:overflowPunct/>
        <w:autoSpaceDE/>
        <w:autoSpaceDN/>
        <w:bidi w:val="0"/>
        <w:adjustRightInd w:val="0"/>
        <w:snapToGrid/>
        <w:spacing w:line="520" w:lineRule="exact"/>
        <w:ind w:firstLine="482" w:firstLineChars="200"/>
        <w:jc w:val="left"/>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九、售后服务及要求</w:t>
      </w:r>
    </w:p>
    <w:bookmarkEnd w:id="1346"/>
    <w:p>
      <w:pPr>
        <w:pStyle w:val="32"/>
        <w:keepNext w:val="0"/>
        <w:keepLines w:val="0"/>
        <w:pageBreakBefore w:val="0"/>
        <w:widowControl w:val="0"/>
        <w:numPr>
          <w:ilvl w:val="1"/>
          <w:numId w:val="0"/>
        </w:numPr>
        <w:kinsoku/>
        <w:wordWrap w:val="0"/>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1.售后服务时间：一年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售后服务</w:t>
      </w:r>
      <w:r>
        <w:rPr>
          <w:rFonts w:hint="eastAsia" w:ascii="宋体" w:hAnsi="宋体" w:eastAsia="宋体" w:cs="宋体"/>
          <w:color w:val="auto"/>
          <w:sz w:val="24"/>
          <w:szCs w:val="24"/>
          <w:highlight w:val="none"/>
        </w:rPr>
        <w:t>期的起始日期为</w:t>
      </w:r>
      <w:r>
        <w:rPr>
          <w:rFonts w:hint="eastAsia" w:ascii="宋体" w:hAnsi="宋体" w:eastAsia="宋体" w:cs="宋体"/>
          <w:color w:val="auto"/>
          <w:sz w:val="24"/>
          <w:szCs w:val="24"/>
          <w:highlight w:val="none"/>
          <w:lang w:val="en-US" w:eastAsia="zh-CN"/>
        </w:rPr>
        <w:t>甲方</w:t>
      </w:r>
      <w:r>
        <w:rPr>
          <w:rFonts w:hint="eastAsia" w:ascii="宋体" w:hAnsi="宋体" w:eastAsia="宋体" w:cs="宋体"/>
          <w:bCs w:val="0"/>
          <w:color w:val="auto"/>
          <w:sz w:val="24"/>
          <w:szCs w:val="24"/>
          <w:highlight w:val="none"/>
          <w:u w:val="none"/>
          <w:lang w:eastAsia="zh-CN"/>
        </w:rPr>
        <w:t>成都市技师学院工业机器人数字化虚拟仿真实训基地设备</w:t>
      </w:r>
      <w:r>
        <w:rPr>
          <w:rFonts w:hint="eastAsia" w:ascii="宋体" w:hAnsi="宋体" w:eastAsia="宋体" w:cs="宋体"/>
          <w:color w:val="auto"/>
          <w:sz w:val="24"/>
          <w:szCs w:val="24"/>
          <w:highlight w:val="none"/>
        </w:rPr>
        <w:t>验收合格之日起开始计算</w:t>
      </w:r>
      <w:r>
        <w:rPr>
          <w:rFonts w:hint="eastAsia" w:ascii="宋体" w:hAnsi="宋体" w:eastAsia="宋体" w:cs="宋体"/>
          <w:color w:val="auto"/>
          <w:sz w:val="24"/>
          <w:szCs w:val="24"/>
          <w:highlight w:val="none"/>
          <w:lang w:eastAsia="zh-CN"/>
        </w:rPr>
        <w:t>。</w:t>
      </w:r>
    </w:p>
    <w:p>
      <w:pPr>
        <w:pStyle w:val="32"/>
        <w:keepNext w:val="0"/>
        <w:keepLines w:val="0"/>
        <w:pageBreakBefore w:val="0"/>
        <w:widowControl w:val="0"/>
        <w:numPr>
          <w:ilvl w:val="1"/>
          <w:numId w:val="0"/>
        </w:numPr>
        <w:kinsoku/>
        <w:wordWrap w:val="0"/>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售后服务分电话(含网络)服务和上门服务。售后服务期内，乙方在接到甲方故障报修后能在2小时内通过电话(含网络)服务排除故障的，则无需上门服务。若在规定时间内不能通过电话(含网络)服务排除故障的，乙方应在故障报修后的12小时内到达现场，到达现场后24小时内排除故障(若涉及</w:t>
      </w:r>
      <w:r>
        <w:rPr>
          <w:rFonts w:hint="eastAsia" w:ascii="宋体" w:hAnsi="宋体" w:eastAsia="宋体" w:cs="宋体"/>
          <w:bCs w:val="0"/>
          <w:color w:val="auto"/>
          <w:sz w:val="24"/>
          <w:szCs w:val="24"/>
          <w:highlight w:val="none"/>
          <w:u w:val="none"/>
          <w:lang w:eastAsia="zh-CN"/>
        </w:rPr>
        <w:t>成都市技师学院工业机器人数字化虚拟仿真实训基地设备</w:t>
      </w:r>
      <w:r>
        <w:rPr>
          <w:rFonts w:hint="eastAsia" w:ascii="宋体" w:hAnsi="宋体" w:eastAsia="宋体" w:cs="宋体"/>
          <w:color w:val="auto"/>
          <w:sz w:val="24"/>
          <w:szCs w:val="24"/>
          <w:highlight w:val="none"/>
          <w:lang w:val="en-US" w:eastAsia="zh-CN"/>
        </w:rPr>
        <w:t>更换或者返厂维修的故障排除时间由双方协商确定)。</w:t>
      </w:r>
    </w:p>
    <w:p>
      <w:pPr>
        <w:keepNext w:val="0"/>
        <w:keepLines w:val="0"/>
        <w:pageBreakBefore w:val="0"/>
        <w:widowControl w:val="0"/>
        <w:kinsoku/>
        <w:overflowPunct/>
        <w:autoSpaceDE/>
        <w:autoSpaceDN/>
        <w:bidi w:val="0"/>
        <w:adjustRightInd w:val="0"/>
        <w:snapToGrid/>
        <w:spacing w:line="52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.售后服务期内，</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应向</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提供免费的</w:t>
      </w:r>
      <w:r>
        <w:rPr>
          <w:rFonts w:hint="eastAsia" w:ascii="宋体" w:hAnsi="宋体" w:eastAsia="宋体" w:cs="宋体"/>
          <w:bCs w:val="0"/>
          <w:color w:val="auto"/>
          <w:sz w:val="24"/>
          <w:szCs w:val="24"/>
          <w:highlight w:val="none"/>
          <w:u w:val="none"/>
          <w:lang w:eastAsia="zh-CN"/>
        </w:rPr>
        <w:t>成都市技师学院工业机器人数字化虚拟仿真实训基地设备</w:t>
      </w:r>
      <w:r>
        <w:rPr>
          <w:rFonts w:hint="eastAsia" w:ascii="宋体" w:hAnsi="宋体" w:eastAsia="宋体" w:cs="宋体"/>
          <w:bCs w:val="0"/>
          <w:color w:val="auto"/>
          <w:sz w:val="24"/>
          <w:szCs w:val="24"/>
          <w:highlight w:val="none"/>
          <w:u w:val="none"/>
          <w:lang w:val="en-US" w:eastAsia="zh-CN"/>
        </w:rPr>
        <w:t>配套</w:t>
      </w:r>
      <w:r>
        <w:rPr>
          <w:rFonts w:hint="eastAsia" w:ascii="宋体" w:hAnsi="宋体" w:eastAsia="宋体" w:cs="宋体"/>
          <w:color w:val="auto"/>
          <w:sz w:val="24"/>
          <w:szCs w:val="24"/>
          <w:highlight w:val="none"/>
        </w:rPr>
        <w:t>软件更新、技术维修、维护、升级等服务。</w:t>
      </w:r>
    </w:p>
    <w:p>
      <w:pPr>
        <w:keepNext w:val="0"/>
        <w:keepLines w:val="0"/>
        <w:pageBreakBefore w:val="0"/>
        <w:widowControl w:val="0"/>
        <w:numPr>
          <w:ilvl w:val="0"/>
          <w:numId w:val="0"/>
        </w:numPr>
        <w:kinsoku/>
        <w:overflowPunct/>
        <w:autoSpaceDE/>
        <w:autoSpaceDN/>
        <w:bidi w:val="0"/>
        <w:adjustRightInd w:val="0"/>
        <w:snapToGrid/>
        <w:spacing w:line="52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售后服务期内涉及的人工等费用均由</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承担。</w:t>
      </w:r>
    </w:p>
    <w:p>
      <w:pPr>
        <w:keepNext w:val="0"/>
        <w:keepLines w:val="0"/>
        <w:pageBreakBefore w:val="0"/>
        <w:widowControl w:val="0"/>
        <w:numPr>
          <w:ilvl w:val="0"/>
          <w:numId w:val="0"/>
        </w:numPr>
        <w:kinsoku/>
        <w:overflowPunct/>
        <w:autoSpaceDE/>
        <w:autoSpaceDN/>
        <w:bidi w:val="0"/>
        <w:adjustRightInd w:val="0"/>
        <w:snapToGrid/>
        <w:spacing w:line="520" w:lineRule="exact"/>
        <w:ind w:firstLine="482" w:firstLineChars="200"/>
        <w:textAlignment w:val="auto"/>
        <w:outlineLvl w:val="9"/>
        <w:rPr>
          <w:rFonts w:hint="eastAsia" w:ascii="宋体" w:hAnsi="宋体" w:eastAsia="宋体" w:cs="宋体"/>
          <w:b/>
          <w:bCs/>
          <w:color w:val="auto"/>
          <w:sz w:val="24"/>
          <w:szCs w:val="24"/>
          <w:highlight w:val="none"/>
          <w:lang w:val="en-US" w:eastAsia="zh-CN"/>
        </w:rPr>
      </w:pPr>
      <w:bookmarkStart w:id="1347" w:name="_Toc11800"/>
      <w:r>
        <w:rPr>
          <w:rFonts w:hint="eastAsia" w:ascii="宋体" w:hAnsi="宋体" w:eastAsia="宋体" w:cs="宋体"/>
          <w:b/>
          <w:bCs/>
          <w:color w:val="auto"/>
          <w:sz w:val="24"/>
          <w:szCs w:val="24"/>
          <w:highlight w:val="none"/>
          <w:lang w:val="en-US" w:eastAsia="zh-CN"/>
        </w:rPr>
        <w:t>十、双方的权利和义务</w:t>
      </w:r>
    </w:p>
    <w:p>
      <w:pPr>
        <w:keepNext w:val="0"/>
        <w:keepLines w:val="0"/>
        <w:pageBreakBefore w:val="0"/>
        <w:widowControl w:val="0"/>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（一）甲方的权利和义务</w:t>
      </w:r>
    </w:p>
    <w:p>
      <w:pPr>
        <w:pStyle w:val="32"/>
        <w:keepNext w:val="0"/>
        <w:keepLines w:val="0"/>
        <w:pageBreakBefore w:val="0"/>
        <w:widowControl w:val="0"/>
        <w:numPr>
          <w:ilvl w:val="1"/>
          <w:numId w:val="0"/>
        </w:numPr>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rPr>
        <w:t>甲方有权对合同规定范围内乙方提供的</w:t>
      </w:r>
      <w:r>
        <w:rPr>
          <w:rFonts w:hint="eastAsia" w:ascii="宋体" w:hAnsi="宋体" w:eastAsia="宋体" w:cs="宋体"/>
          <w:bCs w:val="0"/>
          <w:color w:val="auto"/>
          <w:sz w:val="24"/>
          <w:szCs w:val="24"/>
          <w:highlight w:val="none"/>
          <w:u w:val="none"/>
          <w:lang w:eastAsia="zh-CN"/>
        </w:rPr>
        <w:t>成都市技师学院工业机器人数字化虚拟仿真实训基地设备</w:t>
      </w:r>
      <w:r>
        <w:rPr>
          <w:rFonts w:hint="eastAsia" w:ascii="宋体" w:hAnsi="宋体" w:eastAsia="宋体" w:cs="宋体"/>
          <w:color w:val="auto"/>
          <w:sz w:val="24"/>
          <w:szCs w:val="24"/>
          <w:highlight w:val="none"/>
        </w:rPr>
        <w:t>产品及服务行为进行监督和检查，拥有监管权。有权核对乙方提供</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产品及服务质量。对甲方认为质量不合格的</w:t>
      </w:r>
      <w:r>
        <w:rPr>
          <w:rFonts w:hint="eastAsia" w:ascii="宋体" w:hAnsi="宋体" w:eastAsia="宋体" w:cs="宋体"/>
          <w:bCs w:val="0"/>
          <w:color w:val="auto"/>
          <w:sz w:val="24"/>
          <w:szCs w:val="24"/>
          <w:highlight w:val="none"/>
          <w:u w:val="none"/>
          <w:lang w:eastAsia="zh-CN"/>
        </w:rPr>
        <w:t>成都市技师学院工业机器人数字化虚拟仿真实训基地设备</w:t>
      </w:r>
      <w:r>
        <w:rPr>
          <w:rFonts w:hint="eastAsia" w:ascii="宋体" w:hAnsi="宋体" w:eastAsia="宋体" w:cs="宋体"/>
          <w:color w:val="auto"/>
          <w:sz w:val="24"/>
          <w:szCs w:val="24"/>
          <w:highlight w:val="none"/>
        </w:rPr>
        <w:t>有权下达整改通知书，并要求乙方限期修理及更换。</w:t>
      </w:r>
    </w:p>
    <w:p>
      <w:pPr>
        <w:pStyle w:val="32"/>
        <w:keepNext w:val="0"/>
        <w:keepLines w:val="0"/>
        <w:pageBreakBefore w:val="0"/>
        <w:widowControl w:val="0"/>
        <w:numPr>
          <w:ilvl w:val="1"/>
          <w:numId w:val="0"/>
        </w:numPr>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rPr>
        <w:t>负责检查监督乙方提供的</w:t>
      </w:r>
      <w:r>
        <w:rPr>
          <w:rFonts w:hint="eastAsia" w:ascii="宋体" w:hAnsi="宋体" w:eastAsia="宋体" w:cs="宋体"/>
          <w:bCs w:val="0"/>
          <w:color w:val="auto"/>
          <w:sz w:val="24"/>
          <w:szCs w:val="24"/>
          <w:highlight w:val="none"/>
          <w:u w:val="none"/>
          <w:lang w:eastAsia="zh-CN"/>
        </w:rPr>
        <w:t>成都市技师学院工业机器人数字化虚拟仿真实训基地设备</w:t>
      </w:r>
      <w:r>
        <w:rPr>
          <w:rFonts w:hint="eastAsia" w:ascii="宋体" w:hAnsi="宋体" w:eastAsia="宋体" w:cs="宋体"/>
          <w:color w:val="auto"/>
          <w:sz w:val="24"/>
          <w:szCs w:val="24"/>
          <w:highlight w:val="none"/>
        </w:rPr>
        <w:t>产品及服务的实施的执行情况。</w:t>
      </w:r>
    </w:p>
    <w:p>
      <w:pPr>
        <w:pStyle w:val="32"/>
        <w:keepNext w:val="0"/>
        <w:keepLines w:val="0"/>
        <w:pageBreakBefore w:val="0"/>
        <w:widowControl w:val="0"/>
        <w:numPr>
          <w:ilvl w:val="1"/>
          <w:numId w:val="0"/>
        </w:numPr>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rPr>
        <w:t>根据本合同规定，按时向乙方支付</w:t>
      </w:r>
      <w:r>
        <w:rPr>
          <w:rFonts w:hint="eastAsia" w:ascii="宋体" w:hAnsi="宋体" w:eastAsia="宋体" w:cs="宋体"/>
          <w:bCs w:val="0"/>
          <w:color w:val="auto"/>
          <w:sz w:val="24"/>
          <w:szCs w:val="24"/>
          <w:highlight w:val="none"/>
          <w:u w:val="none"/>
          <w:lang w:eastAsia="zh-CN"/>
        </w:rPr>
        <w:t>成都市技师学院工业机器人数字化虚拟仿真实训基地设备</w:t>
      </w:r>
      <w:r>
        <w:rPr>
          <w:rFonts w:hint="eastAsia" w:ascii="宋体" w:hAnsi="宋体" w:eastAsia="宋体" w:cs="宋体"/>
          <w:color w:val="auto"/>
          <w:sz w:val="24"/>
          <w:szCs w:val="24"/>
          <w:highlight w:val="none"/>
        </w:rPr>
        <w:t>应付费用。</w:t>
      </w:r>
    </w:p>
    <w:p>
      <w:pPr>
        <w:pStyle w:val="32"/>
        <w:keepNext w:val="0"/>
        <w:keepLines w:val="0"/>
        <w:pageBreakBefore w:val="0"/>
        <w:widowControl w:val="0"/>
        <w:numPr>
          <w:ilvl w:val="1"/>
          <w:numId w:val="0"/>
        </w:numPr>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rPr>
        <w:t>国家法律、法规所规定由甲方承担的其它责任。</w:t>
      </w:r>
    </w:p>
    <w:p>
      <w:pPr>
        <w:keepNext w:val="0"/>
        <w:keepLines w:val="0"/>
        <w:pageBreakBefore w:val="0"/>
        <w:widowControl w:val="0"/>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（二）乙方的权利和义务</w:t>
      </w:r>
    </w:p>
    <w:p>
      <w:pPr>
        <w:pStyle w:val="32"/>
        <w:keepNext w:val="0"/>
        <w:keepLines w:val="0"/>
        <w:pageBreakBefore w:val="0"/>
        <w:widowControl w:val="0"/>
        <w:numPr>
          <w:ilvl w:val="1"/>
          <w:numId w:val="0"/>
        </w:numPr>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rPr>
        <w:t>对本合同规定的委托事项范围内的项目享有管理权及服务义务。</w:t>
      </w:r>
    </w:p>
    <w:p>
      <w:pPr>
        <w:pStyle w:val="32"/>
        <w:keepNext w:val="0"/>
        <w:keepLines w:val="0"/>
        <w:pageBreakBefore w:val="0"/>
        <w:widowControl w:val="0"/>
        <w:numPr>
          <w:ilvl w:val="1"/>
          <w:numId w:val="0"/>
        </w:numPr>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rPr>
        <w:t>根据本合同的规定向甲方收取相关费用。</w:t>
      </w:r>
    </w:p>
    <w:p>
      <w:pPr>
        <w:pStyle w:val="32"/>
        <w:keepNext w:val="0"/>
        <w:keepLines w:val="0"/>
        <w:pageBreakBefore w:val="0"/>
        <w:widowControl w:val="0"/>
        <w:numPr>
          <w:ilvl w:val="1"/>
          <w:numId w:val="0"/>
        </w:numPr>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rPr>
        <w:t>及时向甲方通告本项目实施相关重大事项，及时配合处理售后。</w:t>
      </w:r>
    </w:p>
    <w:p>
      <w:pPr>
        <w:pStyle w:val="32"/>
        <w:keepNext w:val="0"/>
        <w:keepLines w:val="0"/>
        <w:pageBreakBefore w:val="0"/>
        <w:widowControl w:val="0"/>
        <w:numPr>
          <w:ilvl w:val="1"/>
          <w:numId w:val="0"/>
        </w:numPr>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rPr>
        <w:t>接受项目行业管理部门及政府有关部门的指导，接受甲方的监督。</w:t>
      </w:r>
    </w:p>
    <w:p>
      <w:pPr>
        <w:keepNext w:val="0"/>
        <w:keepLines w:val="0"/>
        <w:pageBreakBefore w:val="0"/>
        <w:widowControl w:val="0"/>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rPr>
        <w:t>国家法律、法规所规定由乙方承担的其它责任。</w:t>
      </w:r>
    </w:p>
    <w:p>
      <w:pPr>
        <w:keepNext w:val="0"/>
        <w:keepLines w:val="0"/>
        <w:pageBreakBefore w:val="0"/>
        <w:widowControl w:val="0"/>
        <w:numPr>
          <w:ilvl w:val="0"/>
          <w:numId w:val="0"/>
        </w:numPr>
        <w:kinsoku/>
        <w:overflowPunct/>
        <w:autoSpaceDE/>
        <w:autoSpaceDN/>
        <w:bidi w:val="0"/>
        <w:adjustRightInd w:val="0"/>
        <w:snapToGrid/>
        <w:spacing w:line="520" w:lineRule="exact"/>
        <w:ind w:firstLine="482" w:firstLineChars="200"/>
        <w:jc w:val="left"/>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十一、</w:t>
      </w:r>
      <w:r>
        <w:rPr>
          <w:rFonts w:hint="eastAsia" w:ascii="宋体" w:hAnsi="宋体" w:eastAsia="宋体" w:cs="宋体"/>
          <w:b/>
          <w:bCs/>
          <w:color w:val="auto"/>
          <w:kern w:val="2"/>
          <w:sz w:val="24"/>
          <w:szCs w:val="24"/>
          <w:highlight w:val="none"/>
          <w:lang w:val="en-US" w:eastAsia="zh-CN" w:bidi="ar-SA"/>
        </w:rPr>
        <w:t>履约保证金要求</w:t>
      </w:r>
      <w:bookmarkEnd w:id="1347"/>
    </w:p>
    <w:p>
      <w:pPr>
        <w:keepNext w:val="0"/>
        <w:keepLines w:val="0"/>
        <w:pageBreakBefore w:val="0"/>
        <w:widowControl w:val="0"/>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bCs w:val="0"/>
          <w:snapToGrid w:val="0"/>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val="0"/>
          <w:snapToGrid w:val="0"/>
          <w:color w:val="auto"/>
          <w:sz w:val="24"/>
          <w:szCs w:val="24"/>
          <w:highlight w:val="none"/>
        </w:rPr>
        <w:t>履约保证金为</w:t>
      </w:r>
      <w:r>
        <w:rPr>
          <w:rFonts w:hint="eastAsia" w:ascii="宋体" w:hAnsi="宋体" w:eastAsia="宋体" w:cs="宋体"/>
          <w:color w:val="auto"/>
          <w:sz w:val="24"/>
          <w:szCs w:val="24"/>
          <w:highlight w:val="none"/>
          <w:lang w:val="en-US" w:eastAsia="zh-CN"/>
        </w:rPr>
        <w:t>XXXX元，大写：人民币XXXX（</w:t>
      </w:r>
      <w:r>
        <w:rPr>
          <w:rFonts w:hint="eastAsia" w:ascii="宋体" w:hAnsi="宋体" w:eastAsia="宋体" w:cs="宋体"/>
          <w:color w:val="auto"/>
          <w:sz w:val="24"/>
          <w:szCs w:val="24"/>
          <w:highlight w:val="none"/>
        </w:rPr>
        <w:t>合同金额的5%</w:t>
      </w:r>
      <w:r>
        <w:rPr>
          <w:rFonts w:hint="eastAsia" w:ascii="宋体" w:hAnsi="宋体" w:eastAsia="宋体" w:cs="宋体"/>
          <w:color w:val="auto"/>
          <w:sz w:val="24"/>
          <w:szCs w:val="24"/>
          <w:highlight w:val="none"/>
          <w:lang w:val="en-US" w:eastAsia="zh-CN"/>
        </w:rPr>
        <w:t>）</w:t>
      </w:r>
      <w:r>
        <w:rPr>
          <w:rFonts w:hint="eastAsia" w:ascii="宋体" w:hAnsi="宋体" w:eastAsia="宋体" w:cs="宋体"/>
          <w:bCs w:val="0"/>
          <w:snapToGrid w:val="0"/>
          <w:color w:val="auto"/>
          <w:sz w:val="24"/>
          <w:szCs w:val="24"/>
          <w:highlight w:val="none"/>
        </w:rPr>
        <w:t>，</w:t>
      </w:r>
      <w:r>
        <w:rPr>
          <w:rFonts w:hint="eastAsia" w:ascii="宋体" w:hAnsi="宋体" w:eastAsia="宋体" w:cs="宋体"/>
          <w:bCs w:val="0"/>
          <w:snapToGrid w:val="0"/>
          <w:color w:val="auto"/>
          <w:sz w:val="24"/>
          <w:szCs w:val="24"/>
          <w:highlight w:val="none"/>
          <w:lang w:eastAsia="zh-CN"/>
        </w:rPr>
        <w:t>乙方</w:t>
      </w:r>
      <w:r>
        <w:rPr>
          <w:rFonts w:hint="eastAsia" w:ascii="宋体" w:hAnsi="宋体" w:eastAsia="宋体" w:cs="宋体"/>
          <w:bCs w:val="0"/>
          <w:snapToGrid w:val="0"/>
          <w:color w:val="auto"/>
          <w:sz w:val="24"/>
          <w:szCs w:val="24"/>
          <w:highlight w:val="none"/>
        </w:rPr>
        <w:t>应在</w:t>
      </w:r>
      <w:r>
        <w:rPr>
          <w:rFonts w:hint="eastAsia" w:ascii="宋体" w:hAnsi="宋体" w:eastAsia="宋体" w:cs="宋体"/>
          <w:bCs w:val="0"/>
          <w:snapToGrid w:val="0"/>
          <w:color w:val="auto"/>
          <w:sz w:val="24"/>
          <w:szCs w:val="24"/>
          <w:highlight w:val="none"/>
          <w:lang w:val="en-US" w:eastAsia="zh-CN"/>
        </w:rPr>
        <w:t>中标</w:t>
      </w:r>
      <w:r>
        <w:rPr>
          <w:rFonts w:hint="eastAsia" w:ascii="宋体" w:hAnsi="宋体" w:eastAsia="宋体" w:cs="宋体"/>
          <w:bCs w:val="0"/>
          <w:snapToGrid w:val="0"/>
          <w:color w:val="auto"/>
          <w:sz w:val="24"/>
          <w:szCs w:val="24"/>
          <w:highlight w:val="none"/>
        </w:rPr>
        <w:t>通知书发出之日起合同签订前以银行转账、支票、汇票、本票等非现金形式向</w:t>
      </w:r>
      <w:r>
        <w:rPr>
          <w:rFonts w:hint="eastAsia" w:ascii="宋体" w:hAnsi="宋体" w:eastAsia="宋体" w:cs="宋体"/>
          <w:bCs w:val="0"/>
          <w:snapToGrid w:val="0"/>
          <w:color w:val="auto"/>
          <w:sz w:val="24"/>
          <w:szCs w:val="24"/>
          <w:highlight w:val="none"/>
          <w:lang w:eastAsia="zh-CN"/>
        </w:rPr>
        <w:t>甲方</w:t>
      </w:r>
      <w:r>
        <w:rPr>
          <w:rFonts w:hint="eastAsia" w:ascii="宋体" w:hAnsi="宋体" w:eastAsia="宋体" w:cs="宋体"/>
          <w:bCs w:val="0"/>
          <w:snapToGrid w:val="0"/>
          <w:color w:val="auto"/>
          <w:sz w:val="24"/>
          <w:szCs w:val="24"/>
          <w:highlight w:val="none"/>
        </w:rPr>
        <w:t>提交履约保证金。</w:t>
      </w:r>
    </w:p>
    <w:p>
      <w:pPr>
        <w:keepNext w:val="0"/>
        <w:keepLines w:val="0"/>
        <w:pageBreakBefore w:val="0"/>
        <w:widowControl w:val="0"/>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snapToGrid w:val="0"/>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snapToGrid w:val="0"/>
          <w:color w:val="auto"/>
          <w:sz w:val="24"/>
          <w:szCs w:val="24"/>
          <w:highlight w:val="none"/>
        </w:rPr>
        <w:t>履行合同约定(含售后服务)完毕且验收合格后，10个日历天内无息退还</w:t>
      </w:r>
      <w:r>
        <w:rPr>
          <w:rFonts w:hint="eastAsia" w:ascii="宋体" w:hAnsi="宋体" w:eastAsia="宋体" w:cs="宋体"/>
          <w:snapToGrid w:val="0"/>
          <w:color w:val="auto"/>
          <w:sz w:val="24"/>
          <w:szCs w:val="24"/>
          <w:highlight w:val="none"/>
          <w:lang w:eastAsia="zh-CN"/>
        </w:rPr>
        <w:t>乙方</w:t>
      </w:r>
      <w:r>
        <w:rPr>
          <w:rFonts w:hint="eastAsia" w:ascii="宋体" w:hAnsi="宋体" w:eastAsia="宋体" w:cs="宋体"/>
          <w:snapToGrid w:val="0"/>
          <w:color w:val="auto"/>
          <w:sz w:val="24"/>
          <w:szCs w:val="24"/>
          <w:highlight w:val="none"/>
        </w:rPr>
        <w:t>应退部分履约保证金。因</w:t>
      </w:r>
      <w:r>
        <w:rPr>
          <w:rFonts w:hint="eastAsia" w:ascii="宋体" w:hAnsi="宋体" w:eastAsia="宋体" w:cs="宋体"/>
          <w:snapToGrid w:val="0"/>
          <w:color w:val="auto"/>
          <w:sz w:val="24"/>
          <w:szCs w:val="24"/>
          <w:highlight w:val="none"/>
          <w:lang w:eastAsia="zh-CN"/>
        </w:rPr>
        <w:t>甲方</w:t>
      </w:r>
      <w:r>
        <w:rPr>
          <w:rFonts w:hint="eastAsia" w:ascii="宋体" w:hAnsi="宋体" w:eastAsia="宋体" w:cs="宋体"/>
          <w:snapToGrid w:val="0"/>
          <w:color w:val="auto"/>
          <w:sz w:val="24"/>
          <w:szCs w:val="24"/>
          <w:highlight w:val="none"/>
        </w:rPr>
        <w:t>原因逾期退还的，应当以未退还金额为基数，按合同订立时1年期贷款市场报价</w:t>
      </w:r>
      <w:r>
        <w:rPr>
          <w:rFonts w:hint="eastAsia" w:ascii="宋体" w:hAnsi="宋体" w:eastAsia="宋体" w:cs="宋体"/>
          <w:b w:val="0"/>
          <w:bCs w:val="0"/>
          <w:snapToGrid w:val="0"/>
          <w:color w:val="auto"/>
          <w:sz w:val="24"/>
          <w:szCs w:val="24"/>
          <w:highlight w:val="none"/>
        </w:rPr>
        <w:t>利率标准</w:t>
      </w:r>
      <w:r>
        <w:rPr>
          <w:rFonts w:hint="eastAsia" w:ascii="宋体" w:hAnsi="宋体" w:eastAsia="宋体" w:cs="宋体"/>
          <w:snapToGrid w:val="0"/>
          <w:color w:val="auto"/>
          <w:sz w:val="24"/>
          <w:szCs w:val="24"/>
          <w:highlight w:val="none"/>
        </w:rPr>
        <w:t>向</w:t>
      </w:r>
      <w:r>
        <w:rPr>
          <w:rFonts w:hint="eastAsia" w:ascii="宋体" w:hAnsi="宋体" w:eastAsia="宋体" w:cs="宋体"/>
          <w:snapToGrid w:val="0"/>
          <w:color w:val="auto"/>
          <w:sz w:val="24"/>
          <w:szCs w:val="24"/>
          <w:highlight w:val="none"/>
          <w:lang w:eastAsia="zh-CN"/>
        </w:rPr>
        <w:t>乙方</w:t>
      </w:r>
      <w:r>
        <w:rPr>
          <w:rFonts w:hint="eastAsia" w:ascii="宋体" w:hAnsi="宋体" w:eastAsia="宋体" w:cs="宋体"/>
          <w:snapToGrid w:val="0"/>
          <w:color w:val="auto"/>
          <w:sz w:val="24"/>
          <w:szCs w:val="24"/>
          <w:highlight w:val="none"/>
        </w:rPr>
        <w:t>支付相应违约金，但违约金最高不得超过未退还金额的百分之二十。若因</w:t>
      </w:r>
      <w:r>
        <w:rPr>
          <w:rFonts w:hint="eastAsia" w:ascii="宋体" w:hAnsi="宋体" w:eastAsia="宋体" w:cs="宋体"/>
          <w:snapToGrid w:val="0"/>
          <w:color w:val="auto"/>
          <w:sz w:val="24"/>
          <w:szCs w:val="24"/>
          <w:highlight w:val="none"/>
          <w:lang w:eastAsia="zh-CN"/>
        </w:rPr>
        <w:t>乙方</w:t>
      </w:r>
      <w:r>
        <w:rPr>
          <w:rFonts w:hint="eastAsia" w:ascii="宋体" w:hAnsi="宋体" w:eastAsia="宋体" w:cs="宋体"/>
          <w:snapToGrid w:val="0"/>
          <w:color w:val="auto"/>
          <w:sz w:val="24"/>
          <w:szCs w:val="24"/>
          <w:highlight w:val="none"/>
        </w:rPr>
        <w:t>不及时或未提供“收到退还履约保证金的收据”、“履约保证金退还申请”的，则</w:t>
      </w:r>
      <w:r>
        <w:rPr>
          <w:rFonts w:hint="eastAsia" w:ascii="宋体" w:hAnsi="宋体" w:eastAsia="宋体" w:cs="宋体"/>
          <w:snapToGrid w:val="0"/>
          <w:color w:val="auto"/>
          <w:sz w:val="24"/>
          <w:szCs w:val="24"/>
          <w:highlight w:val="none"/>
          <w:lang w:eastAsia="zh-CN"/>
        </w:rPr>
        <w:t>甲方</w:t>
      </w:r>
      <w:r>
        <w:rPr>
          <w:rFonts w:hint="eastAsia" w:ascii="宋体" w:hAnsi="宋体" w:eastAsia="宋体" w:cs="宋体"/>
          <w:snapToGrid w:val="0"/>
          <w:color w:val="auto"/>
          <w:sz w:val="24"/>
          <w:szCs w:val="24"/>
          <w:highlight w:val="none"/>
        </w:rPr>
        <w:t>不承担逾期退还违约责任。</w:t>
      </w:r>
    </w:p>
    <w:p>
      <w:pPr>
        <w:keepNext w:val="0"/>
        <w:keepLines w:val="0"/>
        <w:pageBreakBefore w:val="0"/>
        <w:widowControl w:val="0"/>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履约保证金汇入的银行及账号：</w:t>
      </w:r>
    </w:p>
    <w:p>
      <w:pPr>
        <w:keepNext w:val="0"/>
        <w:keepLines w:val="0"/>
        <w:pageBreakBefore w:val="0"/>
        <w:widowControl w:val="0"/>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收款账号：成都市技师学院</w:t>
      </w:r>
    </w:p>
    <w:p>
      <w:pPr>
        <w:keepNext w:val="0"/>
        <w:keepLines w:val="0"/>
        <w:pageBreakBefore w:val="0"/>
        <w:widowControl w:val="0"/>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开户行：</w:t>
      </w:r>
      <w:r>
        <w:rPr>
          <w:rFonts w:hint="eastAsia" w:ascii="宋体" w:hAnsi="宋体" w:eastAsia="宋体" w:cs="宋体"/>
          <w:bCs/>
          <w:i w:val="0"/>
          <w:iCs w:val="0"/>
          <w:caps w:val="0"/>
          <w:color w:val="auto"/>
          <w:spacing w:val="0"/>
          <w:sz w:val="24"/>
          <w:szCs w:val="24"/>
          <w:highlight w:val="none"/>
        </w:rPr>
        <w:t>工行四川成都分行郫都红光支行</w:t>
      </w:r>
    </w:p>
    <w:p>
      <w:pPr>
        <w:keepNext w:val="0"/>
        <w:keepLines w:val="0"/>
        <w:pageBreakBefore w:val="0"/>
        <w:widowControl w:val="0"/>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银行账号：4402054609100031151</w:t>
      </w:r>
    </w:p>
    <w:p>
      <w:pPr>
        <w:keepNext w:val="0"/>
        <w:keepLines w:val="0"/>
        <w:pageBreakBefore w:val="0"/>
        <w:widowControl w:val="0"/>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履约保证金不予退还情形:一是</w:t>
      </w:r>
      <w:r>
        <w:rPr>
          <w:rFonts w:hint="eastAsia" w:ascii="宋体" w:hAnsi="宋体" w:eastAsia="宋体" w:cs="宋体"/>
          <w:bCs/>
          <w:color w:val="auto"/>
          <w:sz w:val="24"/>
          <w:szCs w:val="24"/>
          <w:highlight w:val="none"/>
          <w:lang w:eastAsia="zh-CN"/>
        </w:rPr>
        <w:t>乙方</w:t>
      </w:r>
      <w:r>
        <w:rPr>
          <w:rFonts w:hint="eastAsia" w:ascii="宋体" w:hAnsi="宋体" w:eastAsia="宋体" w:cs="宋体"/>
          <w:bCs/>
          <w:color w:val="auto"/>
          <w:sz w:val="24"/>
          <w:szCs w:val="24"/>
          <w:highlight w:val="none"/>
        </w:rPr>
        <w:t>未按合同要求履行的，其履约保证金全部扣除。二是</w:t>
      </w:r>
      <w:r>
        <w:rPr>
          <w:rFonts w:hint="eastAsia" w:ascii="宋体" w:hAnsi="宋体" w:eastAsia="宋体" w:cs="宋体"/>
          <w:bCs/>
          <w:color w:val="auto"/>
          <w:sz w:val="24"/>
          <w:szCs w:val="24"/>
          <w:highlight w:val="none"/>
          <w:lang w:eastAsia="zh-CN"/>
        </w:rPr>
        <w:t>乙方</w:t>
      </w:r>
      <w:r>
        <w:rPr>
          <w:rFonts w:hint="eastAsia" w:ascii="宋体" w:hAnsi="宋体" w:eastAsia="宋体" w:cs="宋体"/>
          <w:bCs/>
          <w:color w:val="auto"/>
          <w:sz w:val="24"/>
          <w:szCs w:val="24"/>
          <w:highlight w:val="none"/>
        </w:rPr>
        <w:t>缴纳了履约保证金，但因自身原因被取消</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资格或在</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公示期满之日起30日历天（含法定节假日）内</w:t>
      </w:r>
      <w:r>
        <w:rPr>
          <w:rFonts w:hint="eastAsia" w:ascii="宋体" w:hAnsi="宋体" w:eastAsia="宋体" w:cs="宋体"/>
          <w:bCs/>
          <w:color w:val="auto"/>
          <w:sz w:val="24"/>
          <w:szCs w:val="24"/>
          <w:highlight w:val="none"/>
          <w:lang w:eastAsia="zh-CN"/>
        </w:rPr>
        <w:t>乙方</w:t>
      </w:r>
      <w:r>
        <w:rPr>
          <w:rFonts w:hint="eastAsia" w:ascii="宋体" w:hAnsi="宋体" w:eastAsia="宋体" w:cs="宋体"/>
          <w:bCs/>
          <w:color w:val="auto"/>
          <w:sz w:val="24"/>
          <w:szCs w:val="24"/>
          <w:highlight w:val="none"/>
        </w:rPr>
        <w:t>不按招标文件确定的事项与</w:t>
      </w:r>
      <w:r>
        <w:rPr>
          <w:rFonts w:hint="eastAsia" w:ascii="宋体" w:hAnsi="宋体" w:eastAsia="宋体" w:cs="宋体"/>
          <w:bCs/>
          <w:color w:val="auto"/>
          <w:sz w:val="24"/>
          <w:szCs w:val="24"/>
          <w:highlight w:val="none"/>
          <w:lang w:eastAsia="zh-CN"/>
        </w:rPr>
        <w:t>甲方</w:t>
      </w:r>
      <w:r>
        <w:rPr>
          <w:rFonts w:hint="eastAsia" w:ascii="宋体" w:hAnsi="宋体" w:eastAsia="宋体" w:cs="宋体"/>
          <w:bCs/>
          <w:color w:val="auto"/>
          <w:sz w:val="24"/>
          <w:szCs w:val="24"/>
          <w:highlight w:val="none"/>
        </w:rPr>
        <w:t>签订合同的，其履约保证金不予退还。</w:t>
      </w:r>
    </w:p>
    <w:p>
      <w:pPr>
        <w:keepNext w:val="0"/>
        <w:keepLines w:val="0"/>
        <w:pageBreakBefore w:val="0"/>
        <w:widowControl w:val="0"/>
        <w:numPr>
          <w:ilvl w:val="0"/>
          <w:numId w:val="0"/>
        </w:numPr>
        <w:kinsoku/>
        <w:overflowPunct/>
        <w:autoSpaceDE/>
        <w:autoSpaceDN/>
        <w:bidi w:val="0"/>
        <w:adjustRightInd w:val="0"/>
        <w:snapToGrid/>
        <w:spacing w:line="520" w:lineRule="exact"/>
        <w:ind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十二、验收、交付标准和方法</w:t>
      </w:r>
    </w:p>
    <w:p>
      <w:pPr>
        <w:keepNext w:val="0"/>
        <w:keepLines w:val="0"/>
        <w:pageBreakBefore w:val="0"/>
        <w:widowControl w:val="0"/>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snapToGrid w:val="0"/>
          <w:color w:val="auto"/>
          <w:sz w:val="24"/>
          <w:szCs w:val="24"/>
          <w:highlight w:val="none"/>
          <w:lang w:val="en-US" w:eastAsia="zh-CN"/>
        </w:rPr>
      </w:pPr>
      <w:bookmarkStart w:id="1348" w:name="_Toc28941"/>
      <w:r>
        <w:rPr>
          <w:rFonts w:hint="eastAsia" w:ascii="宋体" w:hAnsi="宋体" w:eastAsia="宋体" w:cs="宋体"/>
          <w:color w:val="auto"/>
          <w:sz w:val="24"/>
          <w:szCs w:val="24"/>
          <w:highlight w:val="none"/>
          <w:lang w:val="en-US" w:eastAsia="zh-CN"/>
        </w:rPr>
        <w:t>1.</w:t>
      </w:r>
      <w:r>
        <w:rPr>
          <w:rFonts w:hint="eastAsia" w:ascii="宋体" w:hAnsi="宋体" w:eastAsia="宋体" w:cs="宋体"/>
          <w:snapToGrid w:val="0"/>
          <w:color w:val="auto"/>
          <w:sz w:val="24"/>
          <w:szCs w:val="24"/>
          <w:highlight w:val="none"/>
          <w:lang w:val="en-US" w:eastAsia="zh-CN"/>
        </w:rPr>
        <w:t>验收主体：甲方</w:t>
      </w:r>
    </w:p>
    <w:p>
      <w:pPr>
        <w:keepNext w:val="0"/>
        <w:keepLines w:val="0"/>
        <w:pageBreakBefore w:val="0"/>
        <w:widowControl w:val="0"/>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2.验收方式：</w:t>
      </w:r>
      <w:r>
        <w:rPr>
          <w:rFonts w:hint="eastAsia" w:ascii="宋体" w:hAnsi="宋体" w:eastAsia="宋体" w:cs="宋体"/>
          <w:snapToGrid w:val="0"/>
          <w:color w:val="auto"/>
          <w:sz w:val="24"/>
          <w:szCs w:val="24"/>
          <w:highlight w:val="none"/>
        </w:rPr>
        <w:t>内部验收</w:t>
      </w:r>
    </w:p>
    <w:p>
      <w:pPr>
        <w:keepNext w:val="0"/>
        <w:keepLines w:val="0"/>
        <w:pageBreakBefore w:val="0"/>
        <w:widowControl w:val="0"/>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3.验收时间和程序：乙方完成</w:t>
      </w:r>
      <w:r>
        <w:rPr>
          <w:rFonts w:hint="eastAsia" w:ascii="宋体" w:hAnsi="宋体" w:eastAsia="宋体" w:cs="宋体"/>
          <w:bCs w:val="0"/>
          <w:color w:val="auto"/>
          <w:sz w:val="24"/>
          <w:szCs w:val="24"/>
          <w:highlight w:val="none"/>
          <w:u w:val="none"/>
          <w:lang w:eastAsia="zh-CN"/>
        </w:rPr>
        <w:t>成都市技师学院工业机器人数字化虚拟仿真实训基地设备</w:t>
      </w:r>
      <w:r>
        <w:rPr>
          <w:rFonts w:hint="eastAsia" w:ascii="宋体" w:hAnsi="宋体" w:eastAsia="宋体" w:cs="宋体"/>
          <w:bCs w:val="0"/>
          <w:color w:val="auto"/>
          <w:sz w:val="24"/>
          <w:szCs w:val="24"/>
          <w:highlight w:val="none"/>
          <w:u w:val="none"/>
          <w:lang w:val="en-US" w:eastAsia="zh-CN"/>
        </w:rPr>
        <w:t>的</w:t>
      </w:r>
      <w:r>
        <w:rPr>
          <w:rFonts w:hint="eastAsia" w:ascii="宋体" w:hAnsi="宋体" w:eastAsia="宋体" w:cs="宋体"/>
          <w:snapToGrid w:val="0"/>
          <w:color w:val="auto"/>
          <w:sz w:val="24"/>
          <w:szCs w:val="24"/>
          <w:highlight w:val="none"/>
          <w:lang w:val="en-US" w:eastAsia="zh-CN"/>
        </w:rPr>
        <w:t>送货、安装调试、培训工作后，书面通知甲方进行产品验收，甲方自收到</w:t>
      </w:r>
      <w:r>
        <w:rPr>
          <w:rFonts w:hint="eastAsia" w:ascii="宋体" w:hAnsi="宋体" w:eastAsia="宋体" w:cs="宋体"/>
          <w:bCs w:val="0"/>
          <w:color w:val="auto"/>
          <w:sz w:val="24"/>
          <w:szCs w:val="24"/>
          <w:highlight w:val="none"/>
          <w:u w:val="none"/>
          <w:lang w:eastAsia="zh-CN"/>
        </w:rPr>
        <w:t>成都市技师学院工业机器人数字化虚拟仿真实训基地设备</w:t>
      </w:r>
      <w:r>
        <w:rPr>
          <w:rFonts w:hint="eastAsia" w:ascii="宋体" w:hAnsi="宋体" w:eastAsia="宋体" w:cs="宋体"/>
          <w:snapToGrid w:val="0"/>
          <w:color w:val="auto"/>
          <w:sz w:val="24"/>
          <w:szCs w:val="24"/>
          <w:highlight w:val="none"/>
          <w:lang w:val="en-US" w:eastAsia="zh-CN"/>
        </w:rPr>
        <w:t>验收申请之日起5个日历天内组织3人及以上的验收小组进行现场测试验收；项目履行完毕，验收合格，则签署《验收报告单》；若验收不合格，乙方应在接到甲方整改通知之日起15个日历天内完成整改，再由甲方组织重新验收，若产品再次验收不合格则视为乙方不能履约，甲方有权终止合同，并按第十七条第2款2.2项约定追究乙方的违约责任。</w:t>
      </w:r>
    </w:p>
    <w:p>
      <w:pPr>
        <w:keepNext w:val="0"/>
        <w:keepLines w:val="0"/>
        <w:pageBreakBefore w:val="0"/>
        <w:widowControl w:val="0"/>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4.验收内容：包括</w:t>
      </w:r>
      <w:r>
        <w:rPr>
          <w:rFonts w:hint="eastAsia" w:ascii="宋体" w:hAnsi="宋体" w:eastAsia="宋体" w:cs="宋体"/>
          <w:bCs w:val="0"/>
          <w:color w:val="auto"/>
          <w:sz w:val="24"/>
          <w:szCs w:val="24"/>
          <w:highlight w:val="none"/>
          <w:u w:val="none"/>
          <w:lang w:eastAsia="zh-CN"/>
        </w:rPr>
        <w:t>成都市技师学院工业机器人数字化虚拟仿真实训基地设备</w:t>
      </w:r>
      <w:r>
        <w:rPr>
          <w:rFonts w:hint="eastAsia" w:ascii="宋体" w:hAnsi="宋体" w:eastAsia="宋体" w:cs="宋体"/>
          <w:bCs w:val="0"/>
          <w:color w:val="auto"/>
          <w:sz w:val="24"/>
          <w:szCs w:val="24"/>
          <w:highlight w:val="none"/>
          <w:u w:val="none"/>
          <w:lang w:val="en-US" w:eastAsia="zh-CN"/>
        </w:rPr>
        <w:t>的</w:t>
      </w:r>
      <w:r>
        <w:rPr>
          <w:rFonts w:hint="eastAsia" w:ascii="宋体" w:hAnsi="宋体" w:eastAsia="宋体" w:cs="宋体"/>
          <w:snapToGrid w:val="0"/>
          <w:color w:val="auto"/>
          <w:sz w:val="24"/>
          <w:szCs w:val="24"/>
          <w:highlight w:val="none"/>
          <w:lang w:val="en-US" w:eastAsia="zh-CN"/>
        </w:rPr>
        <w:t>品牌、型号、数量、外观、安装调试、运行状况、使用说明或手册、合格证书、原厂保修单、每一项技术和商务要求（售后服务除外）的履约情况。</w:t>
      </w:r>
    </w:p>
    <w:p>
      <w:pPr>
        <w:keepNext w:val="0"/>
        <w:keepLines w:val="0"/>
        <w:pageBreakBefore w:val="0"/>
        <w:widowControl w:val="0"/>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5.验收标准：按招标文件的</w:t>
      </w:r>
      <w:r>
        <w:rPr>
          <w:rFonts w:hint="eastAsia" w:ascii="宋体" w:hAnsi="宋体" w:eastAsia="宋体" w:cs="宋体"/>
          <w:b w:val="0"/>
          <w:bCs w:val="0"/>
          <w:snapToGrid w:val="0"/>
          <w:color w:val="auto"/>
          <w:sz w:val="24"/>
          <w:szCs w:val="24"/>
          <w:highlight w:val="none"/>
        </w:rPr>
        <w:t>技术要求（功能和质量要求</w:t>
      </w:r>
      <w:r>
        <w:rPr>
          <w:rFonts w:hint="eastAsia" w:ascii="宋体" w:hAnsi="宋体" w:eastAsia="宋体" w:cs="宋体"/>
          <w:b w:val="0"/>
          <w:bCs w:val="0"/>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、乙方的投标文件及承诺、合同约定进行验收。其他未尽事宜应按照《财政部关于进一步加强政府采购需求和履约验收管理的指导意见》(财库〔2016〕205号)的要求进行验收。</w:t>
      </w:r>
    </w:p>
    <w:p>
      <w:pPr>
        <w:keepNext w:val="0"/>
        <w:keepLines w:val="0"/>
        <w:pageBreakBefore w:val="0"/>
        <w:widowControl w:val="0"/>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snapToGrid w:val="0"/>
          <w:color w:val="auto"/>
          <w:sz w:val="24"/>
          <w:szCs w:val="24"/>
          <w:highlight w:val="none"/>
          <w:lang w:val="en-US" w:eastAsia="zh-CN"/>
        </w:rPr>
        <w:t>6.交付标准及方式：乙方向甲方移交了</w:t>
      </w:r>
      <w:r>
        <w:rPr>
          <w:rFonts w:hint="eastAsia" w:ascii="宋体" w:hAnsi="宋体" w:eastAsia="宋体" w:cs="宋体"/>
          <w:bCs w:val="0"/>
          <w:color w:val="auto"/>
          <w:sz w:val="24"/>
          <w:szCs w:val="24"/>
          <w:highlight w:val="none"/>
          <w:u w:val="none"/>
          <w:lang w:eastAsia="zh-CN"/>
        </w:rPr>
        <w:t>成都市技师学院工业机器人数字化虚拟仿真实训基地设备</w:t>
      </w:r>
      <w:r>
        <w:rPr>
          <w:rFonts w:hint="eastAsia" w:ascii="宋体" w:hAnsi="宋体" w:eastAsia="宋体" w:cs="宋体"/>
          <w:bCs w:val="0"/>
          <w:color w:val="auto"/>
          <w:sz w:val="24"/>
          <w:szCs w:val="24"/>
          <w:highlight w:val="none"/>
          <w:u w:val="none"/>
          <w:lang w:val="en-US" w:eastAsia="zh-CN"/>
        </w:rPr>
        <w:t>、</w:t>
      </w:r>
      <w:r>
        <w:rPr>
          <w:rFonts w:hint="eastAsia" w:ascii="宋体" w:hAnsi="宋体" w:eastAsia="宋体" w:cs="宋体"/>
          <w:snapToGrid w:val="0"/>
          <w:color w:val="auto"/>
          <w:sz w:val="24"/>
          <w:szCs w:val="24"/>
          <w:highlight w:val="none"/>
          <w:lang w:val="en-US" w:eastAsia="zh-CN"/>
        </w:rPr>
        <w:t>装箱清单、配件、随机工具、使用说明或手册、合格证书、原厂保修单等资料，并在甲方指定地点完成设备安装、调整、培训等工作且通过设备验收视为</w:t>
      </w:r>
      <w:r>
        <w:rPr>
          <w:rFonts w:hint="eastAsia" w:ascii="宋体" w:hAnsi="宋体" w:eastAsia="宋体" w:cs="宋体"/>
          <w:color w:val="auto"/>
          <w:sz w:val="24"/>
          <w:szCs w:val="24"/>
          <w:highlight w:val="none"/>
          <w:lang w:val="zh-CN"/>
        </w:rPr>
        <w:t>乙方</w:t>
      </w:r>
      <w:r>
        <w:rPr>
          <w:rFonts w:hint="eastAsia" w:ascii="宋体" w:hAnsi="宋体" w:eastAsia="宋体" w:cs="宋体"/>
          <w:color w:val="auto"/>
          <w:sz w:val="24"/>
          <w:szCs w:val="24"/>
          <w:highlight w:val="none"/>
        </w:rPr>
        <w:t>完成</w:t>
      </w:r>
      <w:r>
        <w:rPr>
          <w:rFonts w:hint="eastAsia" w:ascii="宋体" w:hAnsi="宋体" w:eastAsia="宋体" w:cs="宋体"/>
          <w:color w:val="auto"/>
          <w:sz w:val="24"/>
          <w:szCs w:val="24"/>
          <w:highlight w:val="none"/>
          <w:lang w:val="en-US" w:eastAsia="zh-CN"/>
        </w:rPr>
        <w:t>交付</w:t>
      </w:r>
      <w:r>
        <w:rPr>
          <w:rFonts w:hint="eastAsia" w:ascii="宋体" w:hAnsi="宋体" w:eastAsia="宋体" w:cs="宋体"/>
          <w:color w:val="auto"/>
          <w:sz w:val="24"/>
          <w:szCs w:val="24"/>
          <w:highlight w:val="none"/>
          <w:lang w:val="zh-CN"/>
        </w:rPr>
        <w:t>。</w:t>
      </w:r>
    </w:p>
    <w:p>
      <w:pPr>
        <w:keepNext w:val="0"/>
        <w:keepLines w:val="0"/>
        <w:pageBreakBefore w:val="0"/>
        <w:widowControl w:val="0"/>
        <w:numPr>
          <w:ilvl w:val="0"/>
          <w:numId w:val="0"/>
        </w:numPr>
        <w:kinsoku/>
        <w:overflowPunct/>
        <w:autoSpaceDE/>
        <w:autoSpaceDN/>
        <w:bidi w:val="0"/>
        <w:adjustRightInd w:val="0"/>
        <w:snapToGrid/>
        <w:spacing w:line="520" w:lineRule="exact"/>
        <w:ind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十三、解决争议的方法</w:t>
      </w:r>
      <w:bookmarkEnd w:id="1348"/>
    </w:p>
    <w:p>
      <w:pPr>
        <w:keepNext w:val="0"/>
        <w:keepLines w:val="0"/>
        <w:pageBreakBefore w:val="0"/>
        <w:widowControl w:val="0"/>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color w:val="auto"/>
          <w:sz w:val="24"/>
          <w:szCs w:val="24"/>
          <w:highlight w:val="none"/>
        </w:rPr>
      </w:pPr>
      <w:bookmarkStart w:id="1349" w:name="_Toc12788"/>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后履约期间，若双方发生争议，双方应通过友好协商解决，经协商不能达成协议时，应向</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所在地当地的人民法院提起诉讼。</w:t>
      </w:r>
      <w:r>
        <w:rPr>
          <w:rFonts w:hint="eastAsia" w:ascii="宋体" w:hAnsi="宋体" w:eastAsia="宋体" w:cs="宋体"/>
          <w:color w:val="auto"/>
          <w:sz w:val="24"/>
          <w:szCs w:val="24"/>
          <w:highlight w:val="none"/>
          <w:lang w:val="en-US" w:eastAsia="zh-CN"/>
        </w:rPr>
        <w:t>除判决另有规定外，因涉诉产生的一切合理费用（包括但不限于诉讼费、律师费、保全费等）均由违约方承担。</w:t>
      </w:r>
    </w:p>
    <w:p>
      <w:pPr>
        <w:keepNext w:val="0"/>
        <w:keepLines w:val="0"/>
        <w:pageBreakBefore w:val="0"/>
        <w:widowControl w:val="0"/>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2.在诉讼期间，除正在进行诉讼外，合同其他部分继续执行。</w:t>
      </w:r>
    </w:p>
    <w:p>
      <w:pPr>
        <w:keepNext w:val="0"/>
        <w:keepLines w:val="0"/>
        <w:pageBreakBefore w:val="0"/>
        <w:widowControl w:val="0"/>
        <w:numPr>
          <w:ilvl w:val="0"/>
          <w:numId w:val="0"/>
        </w:numPr>
        <w:kinsoku/>
        <w:overflowPunct/>
        <w:autoSpaceDE/>
        <w:autoSpaceDN/>
        <w:bidi w:val="0"/>
        <w:adjustRightInd w:val="0"/>
        <w:snapToGrid/>
        <w:spacing w:line="520" w:lineRule="exact"/>
        <w:ind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十四、知识产权</w:t>
      </w:r>
      <w:bookmarkEnd w:id="1349"/>
    </w:p>
    <w:p>
      <w:pPr>
        <w:keepNext w:val="0"/>
        <w:keepLines w:val="0"/>
        <w:pageBreakBefore w:val="0"/>
        <w:widowControl w:val="0"/>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color w:val="auto"/>
          <w:sz w:val="24"/>
          <w:szCs w:val="24"/>
          <w:highlight w:val="none"/>
        </w:rPr>
      </w:pPr>
      <w:bookmarkStart w:id="1350" w:name="_Toc28329"/>
      <w:r>
        <w:rPr>
          <w:rFonts w:hint="eastAsia" w:ascii="宋体" w:hAnsi="宋体" w:eastAsia="宋体" w:cs="宋体"/>
          <w:color w:val="auto"/>
          <w:sz w:val="24"/>
          <w:szCs w:val="24"/>
          <w:highlight w:val="none"/>
        </w:rPr>
        <w:t>乙方应保证在本项目中使用的任何产品和服务，不会产生因第三方提出侵犯其专利权、商标权或其它知识产权而引起的法律和经济纠纷，如因专利权、商标权或其它知识产权而引起法律和经济纠纷，由乙方承担所有相关责任。甲方因此遭受的全部损失(包括但不限于因此向第三方支付的赔偿金、违约金等，以及因此支出的诉讼费用、律师费、保全费等)均由乙方承担；若损失计算存在困难的，甲方有权直接要求乙方按照合同总金额10%进行赔偿。若因为乙方侵权行为导致甲方无法继续使用相关产品和服务的，乙方还应退还甲方已支付的全部费用。</w:t>
      </w:r>
    </w:p>
    <w:p>
      <w:pPr>
        <w:keepNext w:val="0"/>
        <w:keepLines w:val="0"/>
        <w:pageBreakBefore w:val="0"/>
        <w:widowControl w:val="0"/>
        <w:numPr>
          <w:ilvl w:val="0"/>
          <w:numId w:val="0"/>
        </w:numPr>
        <w:kinsoku/>
        <w:overflowPunct/>
        <w:autoSpaceDE/>
        <w:autoSpaceDN/>
        <w:bidi w:val="0"/>
        <w:adjustRightInd w:val="0"/>
        <w:snapToGrid/>
        <w:spacing w:line="520" w:lineRule="exact"/>
        <w:ind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十五、合同的变更和终止</w:t>
      </w:r>
      <w:bookmarkEnd w:id="1350"/>
    </w:p>
    <w:p>
      <w:pPr>
        <w:keepNext w:val="0"/>
        <w:keepLines w:val="0"/>
        <w:pageBreakBefore w:val="0"/>
        <w:widowControl w:val="0"/>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color w:val="auto"/>
          <w:sz w:val="24"/>
          <w:szCs w:val="24"/>
          <w:highlight w:val="none"/>
        </w:rPr>
      </w:pPr>
      <w:bookmarkStart w:id="1351" w:name="_Toc4413"/>
      <w:r>
        <w:rPr>
          <w:rFonts w:hint="eastAsia" w:ascii="宋体" w:hAnsi="宋体" w:eastAsia="宋体" w:cs="宋体"/>
          <w:color w:val="auto"/>
          <w:sz w:val="24"/>
          <w:szCs w:val="24"/>
          <w:highlight w:val="none"/>
        </w:rPr>
        <w:t>合同继续履行将损害国家利益和社会公共利益的，双方当事人应当变更、中止或者终止合同。有过错的一方应当承担赔偿责任，双方都有过错的，各自承担相应的责任。</w:t>
      </w:r>
    </w:p>
    <w:p>
      <w:pPr>
        <w:keepNext w:val="0"/>
        <w:keepLines w:val="0"/>
        <w:pageBreakBefore w:val="0"/>
        <w:widowControl w:val="0"/>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除以上两条规定的情形外，本合同一经签订，甲乙双方不得擅自变更、中止或终止合同。</w:t>
      </w:r>
    </w:p>
    <w:p>
      <w:pPr>
        <w:keepNext w:val="0"/>
        <w:keepLines w:val="0"/>
        <w:pageBreakBefore w:val="0"/>
        <w:widowControl w:val="0"/>
        <w:numPr>
          <w:ilvl w:val="0"/>
          <w:numId w:val="0"/>
        </w:numPr>
        <w:kinsoku/>
        <w:overflowPunct/>
        <w:autoSpaceDE/>
        <w:autoSpaceDN/>
        <w:bidi w:val="0"/>
        <w:adjustRightInd w:val="0"/>
        <w:snapToGrid/>
        <w:spacing w:line="520" w:lineRule="exact"/>
        <w:ind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十六、合同的分包和转让</w:t>
      </w:r>
      <w:bookmarkEnd w:id="1351"/>
    </w:p>
    <w:p>
      <w:pPr>
        <w:keepNext w:val="0"/>
        <w:keepLines w:val="0"/>
        <w:pageBreakBefore w:val="0"/>
        <w:widowControl w:val="0"/>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color w:val="auto"/>
          <w:sz w:val="24"/>
          <w:szCs w:val="24"/>
          <w:highlight w:val="none"/>
        </w:rPr>
      </w:pPr>
      <w:bookmarkStart w:id="1352" w:name="_Toc25301"/>
      <w:r>
        <w:rPr>
          <w:rFonts w:hint="eastAsia" w:ascii="宋体" w:hAnsi="宋体" w:eastAsia="宋体" w:cs="宋体"/>
          <w:color w:val="auto"/>
          <w:sz w:val="24"/>
          <w:szCs w:val="24"/>
          <w:highlight w:val="none"/>
        </w:rPr>
        <w:t>1.乙方不得部分或全部转让其应履行的合同义务；</w:t>
      </w:r>
    </w:p>
    <w:p>
      <w:pPr>
        <w:keepNext w:val="0"/>
        <w:keepLines w:val="0"/>
        <w:pageBreakBefore w:val="0"/>
        <w:widowControl w:val="0"/>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2.乙方不得分包。</w:t>
      </w:r>
    </w:p>
    <w:p>
      <w:pPr>
        <w:keepNext w:val="0"/>
        <w:keepLines w:val="0"/>
        <w:pageBreakBefore w:val="0"/>
        <w:widowControl w:val="0"/>
        <w:numPr>
          <w:ilvl w:val="0"/>
          <w:numId w:val="0"/>
        </w:numPr>
        <w:kinsoku/>
        <w:overflowPunct/>
        <w:autoSpaceDE/>
        <w:autoSpaceDN/>
        <w:bidi w:val="0"/>
        <w:adjustRightInd w:val="0"/>
        <w:snapToGrid/>
        <w:spacing w:line="520" w:lineRule="exact"/>
        <w:ind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十七、违约责任</w:t>
      </w:r>
      <w:bookmarkEnd w:id="1352"/>
    </w:p>
    <w:p>
      <w:pPr>
        <w:keepNext w:val="0"/>
        <w:keepLines w:val="0"/>
        <w:pageBreakBefore w:val="0"/>
        <w:widowControl w:val="0"/>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color w:val="auto"/>
          <w:sz w:val="24"/>
          <w:szCs w:val="24"/>
          <w:highlight w:val="none"/>
        </w:rPr>
      </w:pPr>
      <w:bookmarkStart w:id="1353" w:name="_Toc28730"/>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甲方违约责任</w:t>
      </w:r>
    </w:p>
    <w:p>
      <w:pPr>
        <w:keepNext w:val="0"/>
        <w:keepLines w:val="0"/>
        <w:pageBreakBefore w:val="0"/>
        <w:widowControl w:val="0"/>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无正当理由拒收</w:t>
      </w:r>
      <w:r>
        <w:rPr>
          <w:rFonts w:hint="eastAsia" w:ascii="宋体" w:hAnsi="宋体" w:eastAsia="宋体" w:cs="宋体"/>
          <w:bCs w:val="0"/>
          <w:color w:val="auto"/>
          <w:sz w:val="24"/>
          <w:szCs w:val="24"/>
          <w:highlight w:val="none"/>
          <w:u w:val="none"/>
          <w:lang w:eastAsia="zh-CN"/>
        </w:rPr>
        <w:t>成都市技师学院工业机器人数字化虚拟仿真实训基地设备</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应偿付合同总价百分之二十的违约金；</w:t>
      </w:r>
    </w:p>
    <w:p>
      <w:pPr>
        <w:keepNext w:val="0"/>
        <w:keepLines w:val="0"/>
        <w:pageBreakBefore w:val="0"/>
        <w:widowControl w:val="0"/>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甲方故意逾期支付货款的，除应及时付足货款外，应向乙方偿付欠款总额万分之</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/天的违约金，逾期违约金不得超过欠款总额的百分之二十。逾期付款超过</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个日历天的，乙方有权终止合同；</w:t>
      </w:r>
    </w:p>
    <w:p>
      <w:pPr>
        <w:keepNext w:val="0"/>
        <w:keepLines w:val="0"/>
        <w:pageBreakBefore w:val="0"/>
        <w:widowControl w:val="0"/>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非甲方故意逾期付款的，甲方不承担任何逾期付款责任，乙方也不得终止合同。</w:t>
      </w:r>
    </w:p>
    <w:p>
      <w:pPr>
        <w:keepNext w:val="0"/>
        <w:keepLines w:val="0"/>
        <w:pageBreakBefore w:val="0"/>
        <w:widowControl w:val="0"/>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乙方违约责任</w:t>
      </w:r>
      <w:bookmarkEnd w:id="1353"/>
    </w:p>
    <w:p>
      <w:pPr>
        <w:keepNext w:val="0"/>
        <w:keepLines w:val="0"/>
        <w:pageBreakBefore w:val="0"/>
        <w:widowControl w:val="0"/>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乙方交付的</w:t>
      </w:r>
      <w:r>
        <w:rPr>
          <w:rFonts w:hint="eastAsia" w:ascii="宋体" w:hAnsi="宋体" w:eastAsia="宋体" w:cs="宋体"/>
          <w:bCs w:val="0"/>
          <w:color w:val="auto"/>
          <w:sz w:val="24"/>
          <w:szCs w:val="24"/>
          <w:highlight w:val="none"/>
          <w:u w:val="none"/>
          <w:lang w:eastAsia="zh-CN"/>
        </w:rPr>
        <w:t>成都市技师学院工业机器人数字化虚拟仿真实训基地设备</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不符合</w:t>
      </w:r>
      <w:r>
        <w:rPr>
          <w:rFonts w:hint="eastAsia" w:ascii="宋体" w:hAnsi="宋体" w:eastAsia="宋体" w:cs="宋体"/>
          <w:bCs w:val="0"/>
          <w:color w:val="auto"/>
          <w:sz w:val="24"/>
          <w:szCs w:val="24"/>
          <w:highlight w:val="none"/>
          <w:u w:val="none"/>
          <w:lang w:eastAsia="zh-CN"/>
        </w:rPr>
        <w:t>成都市技师学院工业机器人数字化虚拟仿真实训基地设备</w:t>
      </w:r>
      <w:r>
        <w:rPr>
          <w:rFonts w:hint="eastAsia" w:ascii="宋体" w:hAnsi="宋体" w:eastAsia="宋体" w:cs="宋体"/>
          <w:color w:val="auto"/>
          <w:sz w:val="24"/>
          <w:szCs w:val="24"/>
          <w:highlight w:val="none"/>
        </w:rPr>
        <w:t>招标文件和投标文件规定的，乙方应在15个日历天内更换合格的</w:t>
      </w: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给甲方。若乙方未在15个日历天内更换合格</w:t>
      </w: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给甲方或更换后的</w:t>
      </w: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仍不符合招标文件和投标文件的质量要求，视作乙方不能交付</w:t>
      </w: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而违约，乙方按本条本款下述第“2”项规定向甲方支付违约金。</w:t>
      </w:r>
    </w:p>
    <w:p>
      <w:pPr>
        <w:keepNext w:val="0"/>
        <w:keepLines w:val="0"/>
        <w:pageBreakBefore w:val="0"/>
        <w:widowControl w:val="0"/>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乙方不能交付</w:t>
      </w:r>
      <w:r>
        <w:rPr>
          <w:rFonts w:hint="eastAsia" w:ascii="宋体" w:hAnsi="宋体" w:eastAsia="宋体" w:cs="宋体"/>
          <w:bCs w:val="0"/>
          <w:color w:val="auto"/>
          <w:sz w:val="24"/>
          <w:szCs w:val="24"/>
          <w:highlight w:val="none"/>
          <w:u w:val="none"/>
          <w:lang w:eastAsia="zh-CN"/>
        </w:rPr>
        <w:t>成都市技师学院工业机器人数字化虚拟仿真实训基地设备</w:t>
      </w:r>
      <w:r>
        <w:rPr>
          <w:rFonts w:hint="eastAsia" w:ascii="宋体" w:hAnsi="宋体" w:eastAsia="宋体" w:cs="宋体"/>
          <w:color w:val="auto"/>
          <w:sz w:val="24"/>
          <w:szCs w:val="24"/>
          <w:highlight w:val="none"/>
        </w:rPr>
        <w:t>而违约的，</w:t>
      </w:r>
      <w:r>
        <w:rPr>
          <w:rFonts w:hint="eastAsia" w:ascii="宋体" w:hAnsi="宋体" w:eastAsia="宋体" w:cs="宋体"/>
          <w:color w:val="auto"/>
          <w:sz w:val="24"/>
          <w:szCs w:val="24"/>
          <w:highlight w:val="none"/>
          <w:lang w:val="en-US" w:eastAsia="zh-CN"/>
        </w:rPr>
        <w:t>甲方有权解除合同且</w:t>
      </w:r>
      <w:r>
        <w:rPr>
          <w:rFonts w:hint="eastAsia" w:ascii="宋体" w:hAnsi="宋体" w:eastAsia="宋体" w:cs="宋体"/>
          <w:color w:val="auto"/>
          <w:sz w:val="24"/>
          <w:szCs w:val="24"/>
          <w:highlight w:val="none"/>
        </w:rPr>
        <w:t>不再向乙方支付任何费用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同时，乙方</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按合同总金额的百分之二十向甲方支付违约金和赔偿因此给甲方造成的全部损失，并且甲方不予退还乙方履约保证金 。</w:t>
      </w:r>
    </w:p>
    <w:p>
      <w:pPr>
        <w:keepNext w:val="0"/>
        <w:keepLines w:val="0"/>
        <w:pageBreakBefore w:val="0"/>
        <w:widowControl w:val="0"/>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乙方逾期交付</w:t>
      </w:r>
      <w:r>
        <w:rPr>
          <w:rFonts w:hint="eastAsia" w:ascii="宋体" w:hAnsi="宋体" w:eastAsia="宋体" w:cs="宋体"/>
          <w:bCs w:val="0"/>
          <w:color w:val="auto"/>
          <w:sz w:val="24"/>
          <w:szCs w:val="24"/>
          <w:highlight w:val="none"/>
          <w:u w:val="none"/>
          <w:lang w:eastAsia="zh-CN"/>
        </w:rPr>
        <w:t>成都市技师学院工业机器人数字化虚拟仿真实训基地设备</w:t>
      </w:r>
      <w:r>
        <w:rPr>
          <w:rFonts w:hint="eastAsia" w:ascii="宋体" w:hAnsi="宋体" w:eastAsia="宋体" w:cs="宋体"/>
          <w:color w:val="auto"/>
          <w:sz w:val="24"/>
          <w:szCs w:val="24"/>
          <w:highlight w:val="none"/>
        </w:rPr>
        <w:t>而违约的，除应及时交</w:t>
      </w:r>
      <w:r>
        <w:rPr>
          <w:rFonts w:hint="eastAsia" w:ascii="宋体" w:hAnsi="宋体" w:eastAsia="宋体" w:cs="宋体"/>
          <w:bCs w:val="0"/>
          <w:color w:val="auto"/>
          <w:sz w:val="24"/>
          <w:szCs w:val="24"/>
          <w:highlight w:val="none"/>
          <w:u w:val="none"/>
          <w:lang w:eastAsia="zh-CN"/>
        </w:rPr>
        <w:t>成都市技师学院工业机器人数字化虚拟仿真实训基地设备</w:t>
      </w:r>
      <w:r>
        <w:rPr>
          <w:rFonts w:hint="eastAsia" w:ascii="宋体" w:hAnsi="宋体" w:eastAsia="宋体" w:cs="宋体"/>
          <w:color w:val="auto"/>
          <w:sz w:val="24"/>
          <w:szCs w:val="24"/>
          <w:highlight w:val="none"/>
        </w:rPr>
        <w:t>外，</w:t>
      </w:r>
      <w:r>
        <w:rPr>
          <w:rFonts w:hint="eastAsia" w:ascii="宋体" w:hAnsi="宋体" w:eastAsia="宋体" w:cs="宋体"/>
          <w:color w:val="auto"/>
          <w:sz w:val="24"/>
          <w:szCs w:val="24"/>
          <w:highlight w:val="none"/>
          <w:lang w:val="en-US" w:eastAsia="zh-CN"/>
        </w:rPr>
        <w:t>每逾期一天，乙方</w:t>
      </w:r>
      <w:r>
        <w:rPr>
          <w:rFonts w:hint="eastAsia" w:ascii="宋体" w:hAnsi="宋体" w:eastAsia="宋体" w:cs="宋体"/>
          <w:color w:val="auto"/>
          <w:sz w:val="24"/>
          <w:szCs w:val="24"/>
          <w:highlight w:val="none"/>
        </w:rPr>
        <w:t>还应向甲方偿付逾期</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总额的万分之</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/天的</w:t>
      </w:r>
      <w:r>
        <w:rPr>
          <w:rFonts w:hint="eastAsia" w:ascii="宋体" w:hAnsi="宋体" w:eastAsia="宋体" w:cs="宋体"/>
          <w:color w:val="auto"/>
          <w:sz w:val="24"/>
          <w:szCs w:val="24"/>
          <w:highlight w:val="none"/>
          <w:lang w:val="en-US" w:eastAsia="zh-CN"/>
        </w:rPr>
        <w:t>逾期</w:t>
      </w:r>
      <w:r>
        <w:rPr>
          <w:rFonts w:hint="eastAsia" w:ascii="宋体" w:hAnsi="宋体" w:eastAsia="宋体" w:cs="宋体"/>
          <w:color w:val="auto"/>
          <w:sz w:val="24"/>
          <w:szCs w:val="24"/>
          <w:highlight w:val="none"/>
        </w:rPr>
        <w:t>违约金。</w:t>
      </w:r>
    </w:p>
    <w:p>
      <w:pPr>
        <w:keepNext w:val="0"/>
        <w:keepLines w:val="0"/>
        <w:pageBreakBefore w:val="0"/>
        <w:widowControl w:val="0"/>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乙方</w:t>
      </w:r>
      <w:r>
        <w:rPr>
          <w:rFonts w:hint="eastAsia" w:ascii="宋体" w:hAnsi="宋体" w:eastAsia="宋体" w:cs="宋体"/>
          <w:bCs w:val="0"/>
          <w:color w:val="auto"/>
          <w:sz w:val="24"/>
          <w:szCs w:val="24"/>
          <w:highlight w:val="none"/>
          <w:u w:val="none"/>
          <w:lang w:eastAsia="zh-CN"/>
        </w:rPr>
        <w:t>成都市技师学院工业机器人数字化虚拟仿真实训基地设备</w:t>
      </w:r>
      <w:r>
        <w:rPr>
          <w:rFonts w:hint="eastAsia" w:ascii="宋体" w:hAnsi="宋体" w:eastAsia="宋体" w:cs="宋体"/>
          <w:color w:val="auto"/>
          <w:sz w:val="24"/>
          <w:szCs w:val="24"/>
          <w:highlight w:val="none"/>
        </w:rPr>
        <w:t>经甲方送交具有法定资格条件的质量技术监督机构检测后，如检测结果认定</w:t>
      </w:r>
      <w:r>
        <w:rPr>
          <w:rFonts w:hint="eastAsia" w:ascii="宋体" w:hAnsi="宋体" w:eastAsia="宋体" w:cs="宋体"/>
          <w:snapToGrid/>
          <w:color w:val="auto"/>
          <w:sz w:val="24"/>
          <w:szCs w:val="24"/>
          <w:highlight w:val="none"/>
          <w:u w:val="none"/>
          <w:lang w:val="en-US" w:eastAsia="zh-Hans"/>
        </w:rPr>
        <w:t>硬件设备、</w:t>
      </w:r>
      <w:r>
        <w:rPr>
          <w:rFonts w:hint="eastAsia" w:ascii="宋体" w:hAnsi="宋体" w:eastAsia="宋体" w:cs="宋体"/>
          <w:color w:val="auto"/>
          <w:sz w:val="24"/>
          <w:szCs w:val="24"/>
          <w:highlight w:val="none"/>
          <w:u w:val="none"/>
          <w:lang w:val="en-US" w:eastAsia="zh-Hans"/>
        </w:rPr>
        <w:t>软</w:t>
      </w:r>
      <w:r>
        <w:rPr>
          <w:rFonts w:hint="eastAsia" w:ascii="宋体" w:hAnsi="宋体" w:eastAsia="宋体" w:cs="宋体"/>
          <w:color w:val="auto"/>
          <w:sz w:val="24"/>
          <w:szCs w:val="24"/>
          <w:highlight w:val="none"/>
          <w:lang w:val="en-US" w:eastAsia="zh-CN"/>
        </w:rPr>
        <w:t>件</w:t>
      </w:r>
      <w:r>
        <w:rPr>
          <w:rFonts w:hint="eastAsia" w:ascii="宋体" w:hAnsi="宋体" w:eastAsia="宋体" w:cs="宋体"/>
          <w:color w:val="auto"/>
          <w:sz w:val="24"/>
          <w:szCs w:val="24"/>
          <w:highlight w:val="none"/>
        </w:rPr>
        <w:t>质量不符合招标文件和乙方投标文件规定标准的，则视为乙方没有按时交货而违约，乙方须在15个日历天内无条件更换合格的</w:t>
      </w:r>
      <w:r>
        <w:rPr>
          <w:rFonts w:hint="eastAsia" w:ascii="宋体" w:hAnsi="宋体" w:eastAsia="宋体" w:cs="宋体"/>
          <w:snapToGrid/>
          <w:color w:val="auto"/>
          <w:sz w:val="24"/>
          <w:szCs w:val="24"/>
          <w:highlight w:val="none"/>
          <w:u w:val="none"/>
          <w:lang w:val="en-US" w:eastAsia="zh-Hans"/>
        </w:rPr>
        <w:t>硬件设备、</w:t>
      </w:r>
      <w:r>
        <w:rPr>
          <w:rFonts w:hint="eastAsia" w:ascii="宋体" w:hAnsi="宋体" w:eastAsia="宋体" w:cs="宋体"/>
          <w:color w:val="auto"/>
          <w:sz w:val="24"/>
          <w:szCs w:val="24"/>
          <w:highlight w:val="none"/>
          <w:u w:val="none"/>
          <w:lang w:val="en-US" w:eastAsia="zh-Hans"/>
        </w:rPr>
        <w:t>软</w:t>
      </w:r>
      <w:r>
        <w:rPr>
          <w:rFonts w:hint="eastAsia" w:ascii="宋体" w:hAnsi="宋体" w:eastAsia="宋体" w:cs="宋体"/>
          <w:color w:val="auto"/>
          <w:sz w:val="24"/>
          <w:szCs w:val="24"/>
          <w:highlight w:val="none"/>
          <w:lang w:val="en-US" w:eastAsia="zh-CN"/>
        </w:rPr>
        <w:t>件</w:t>
      </w:r>
      <w:r>
        <w:rPr>
          <w:rFonts w:hint="eastAsia" w:ascii="宋体" w:hAnsi="宋体" w:eastAsia="宋体" w:cs="宋体"/>
          <w:color w:val="auto"/>
          <w:sz w:val="24"/>
          <w:szCs w:val="24"/>
          <w:highlight w:val="none"/>
        </w:rPr>
        <w:t>，如逾期不能更换合格的</w:t>
      </w:r>
      <w:r>
        <w:rPr>
          <w:rFonts w:hint="eastAsia" w:ascii="宋体" w:hAnsi="宋体" w:eastAsia="宋体" w:cs="宋体"/>
          <w:snapToGrid/>
          <w:color w:val="auto"/>
          <w:sz w:val="24"/>
          <w:szCs w:val="24"/>
          <w:highlight w:val="none"/>
          <w:u w:val="none"/>
          <w:lang w:val="en-US" w:eastAsia="zh-Hans"/>
        </w:rPr>
        <w:t>硬件设备、</w:t>
      </w:r>
      <w:r>
        <w:rPr>
          <w:rFonts w:hint="eastAsia" w:ascii="宋体" w:hAnsi="宋体" w:eastAsia="宋体" w:cs="宋体"/>
          <w:color w:val="auto"/>
          <w:sz w:val="24"/>
          <w:szCs w:val="24"/>
          <w:highlight w:val="none"/>
          <w:u w:val="none"/>
          <w:lang w:val="en-US" w:eastAsia="zh-Hans"/>
        </w:rPr>
        <w:t>软</w:t>
      </w:r>
      <w:r>
        <w:rPr>
          <w:rFonts w:hint="eastAsia" w:ascii="宋体" w:hAnsi="宋体" w:eastAsia="宋体" w:cs="宋体"/>
          <w:color w:val="auto"/>
          <w:sz w:val="24"/>
          <w:szCs w:val="24"/>
          <w:highlight w:val="none"/>
          <w:lang w:val="en-US" w:eastAsia="zh-CN"/>
        </w:rPr>
        <w:t>件</w:t>
      </w:r>
      <w:r>
        <w:rPr>
          <w:rFonts w:hint="eastAsia" w:ascii="宋体" w:hAnsi="宋体" w:eastAsia="宋体" w:cs="宋体"/>
          <w:color w:val="auto"/>
          <w:sz w:val="24"/>
          <w:szCs w:val="24"/>
          <w:highlight w:val="none"/>
        </w:rPr>
        <w:t>，甲方有权终止合同并要求乙方按合同总金额的百分之二十向甲方支付违约金和赔偿因此给甲方造成的全部损失，并且甲方不予退还乙方履约保证金。同时乙方须全额退还甲方已经支付给的</w:t>
      </w:r>
      <w:r>
        <w:rPr>
          <w:rFonts w:hint="eastAsia" w:ascii="宋体" w:hAnsi="宋体" w:eastAsia="宋体" w:cs="宋体"/>
          <w:color w:val="auto"/>
          <w:sz w:val="24"/>
          <w:szCs w:val="24"/>
          <w:highlight w:val="none"/>
          <w:lang w:val="en-US" w:eastAsia="zh-CN"/>
        </w:rPr>
        <w:t>软件</w:t>
      </w:r>
      <w:r>
        <w:rPr>
          <w:rFonts w:hint="eastAsia" w:ascii="宋体" w:hAnsi="宋体" w:eastAsia="宋体" w:cs="宋体"/>
          <w:color w:val="auto"/>
          <w:sz w:val="24"/>
          <w:szCs w:val="24"/>
          <w:highlight w:val="none"/>
        </w:rPr>
        <w:t>及其利息。</w:t>
      </w:r>
    </w:p>
    <w:p>
      <w:pPr>
        <w:keepNext w:val="0"/>
        <w:keepLines w:val="0"/>
        <w:pageBreakBefore w:val="0"/>
        <w:widowControl w:val="0"/>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乙方未按招标文件和乙方的投标文件约定的时间及要求提供售后服务的，</w:t>
      </w:r>
      <w:r>
        <w:rPr>
          <w:rFonts w:hint="eastAsia" w:ascii="宋体" w:hAnsi="宋体" w:eastAsia="宋体" w:cs="宋体"/>
          <w:color w:val="auto"/>
          <w:sz w:val="24"/>
          <w:szCs w:val="24"/>
          <w:highlight w:val="none"/>
          <w:lang w:val="en-US" w:eastAsia="zh-CN"/>
        </w:rPr>
        <w:t>视为乙方当次售后服务不合格且</w:t>
      </w:r>
      <w:r>
        <w:rPr>
          <w:rFonts w:hint="eastAsia" w:ascii="宋体" w:hAnsi="宋体" w:eastAsia="宋体" w:cs="宋体"/>
          <w:color w:val="auto"/>
          <w:sz w:val="24"/>
          <w:szCs w:val="24"/>
          <w:highlight w:val="none"/>
        </w:rPr>
        <w:t>甲方有权聘请第三方提供服务，由此产生的费用全部由乙方承担。售后服务期内售后服务合格率低于90%(合格服务次数/总服务次数)视为售后服务不合格，甲方不予返还乙方履约保证金，乙方还应按合同总金额的百分之二十向甲方支付违约金。</w:t>
      </w:r>
    </w:p>
    <w:p>
      <w:pPr>
        <w:keepNext w:val="0"/>
        <w:keepLines w:val="0"/>
        <w:pageBreakBefore w:val="0"/>
        <w:widowControl w:val="0"/>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rPr>
        <w:t>乙方应保证响应的</w:t>
      </w:r>
      <w:r>
        <w:rPr>
          <w:rFonts w:hint="eastAsia" w:ascii="宋体" w:hAnsi="宋体" w:eastAsia="宋体" w:cs="宋体"/>
          <w:bCs w:val="0"/>
          <w:color w:val="auto"/>
          <w:sz w:val="24"/>
          <w:szCs w:val="24"/>
          <w:highlight w:val="none"/>
          <w:u w:val="none"/>
          <w:lang w:eastAsia="zh-CN"/>
        </w:rPr>
        <w:t>成都市技师学院工业机器人数字化虚拟仿真实训基地设备</w:t>
      </w:r>
      <w:r>
        <w:rPr>
          <w:rFonts w:hint="eastAsia" w:ascii="宋体" w:hAnsi="宋体" w:eastAsia="宋体" w:cs="宋体"/>
          <w:bCs w:val="0"/>
          <w:color w:val="auto"/>
          <w:sz w:val="24"/>
          <w:szCs w:val="24"/>
          <w:highlight w:val="none"/>
          <w:u w:val="none"/>
          <w:lang w:val="en-US" w:eastAsia="zh-CN"/>
        </w:rPr>
        <w:t>的</w:t>
      </w:r>
      <w:r>
        <w:rPr>
          <w:rFonts w:hint="eastAsia" w:ascii="宋体" w:hAnsi="宋体" w:eastAsia="宋体" w:cs="宋体"/>
          <w:snapToGrid/>
          <w:color w:val="auto"/>
          <w:sz w:val="24"/>
          <w:szCs w:val="24"/>
          <w:highlight w:val="none"/>
          <w:u w:val="none"/>
          <w:lang w:val="en-US" w:eastAsia="zh-Hans"/>
        </w:rPr>
        <w:t>硬件设备、</w:t>
      </w:r>
      <w:r>
        <w:rPr>
          <w:rFonts w:hint="eastAsia" w:ascii="宋体" w:hAnsi="宋体" w:eastAsia="宋体" w:cs="宋体"/>
          <w:color w:val="auto"/>
          <w:sz w:val="24"/>
          <w:szCs w:val="24"/>
          <w:highlight w:val="none"/>
          <w:u w:val="none"/>
          <w:lang w:val="en-US" w:eastAsia="zh-Hans"/>
        </w:rPr>
        <w:t>软</w:t>
      </w:r>
      <w:r>
        <w:rPr>
          <w:rFonts w:hint="eastAsia" w:ascii="宋体" w:hAnsi="宋体" w:eastAsia="宋体" w:cs="宋体"/>
          <w:color w:val="auto"/>
          <w:sz w:val="24"/>
          <w:szCs w:val="24"/>
          <w:highlight w:val="none"/>
          <w:lang w:val="en-US" w:eastAsia="zh-CN"/>
        </w:rPr>
        <w:t>件</w:t>
      </w:r>
      <w:r>
        <w:rPr>
          <w:rFonts w:hint="eastAsia" w:ascii="宋体" w:hAnsi="宋体" w:eastAsia="宋体" w:cs="宋体"/>
          <w:color w:val="auto"/>
          <w:sz w:val="24"/>
          <w:szCs w:val="24"/>
          <w:highlight w:val="none"/>
        </w:rPr>
        <w:t>的权利无瑕疵，包括</w:t>
      </w:r>
      <w:r>
        <w:rPr>
          <w:rFonts w:hint="eastAsia" w:ascii="宋体" w:hAnsi="宋体" w:eastAsia="宋体" w:cs="宋体"/>
          <w:snapToGrid/>
          <w:color w:val="auto"/>
          <w:sz w:val="24"/>
          <w:szCs w:val="24"/>
          <w:highlight w:val="none"/>
          <w:u w:val="none"/>
          <w:lang w:val="en-US" w:eastAsia="zh-Hans"/>
        </w:rPr>
        <w:t>硬件设备、</w:t>
      </w:r>
      <w:r>
        <w:rPr>
          <w:rFonts w:hint="eastAsia" w:ascii="宋体" w:hAnsi="宋体" w:eastAsia="宋体" w:cs="宋体"/>
          <w:color w:val="auto"/>
          <w:sz w:val="24"/>
          <w:szCs w:val="24"/>
          <w:highlight w:val="none"/>
          <w:u w:val="none"/>
          <w:lang w:val="en-US" w:eastAsia="zh-Hans"/>
        </w:rPr>
        <w:t>软</w:t>
      </w:r>
      <w:r>
        <w:rPr>
          <w:rFonts w:hint="eastAsia" w:ascii="宋体" w:hAnsi="宋体" w:eastAsia="宋体" w:cs="宋体"/>
          <w:color w:val="auto"/>
          <w:sz w:val="24"/>
          <w:szCs w:val="24"/>
          <w:highlight w:val="none"/>
          <w:lang w:val="en-US" w:eastAsia="zh-CN"/>
        </w:rPr>
        <w:t>件</w:t>
      </w:r>
      <w:r>
        <w:rPr>
          <w:rFonts w:hint="eastAsia" w:ascii="宋体" w:hAnsi="宋体" w:eastAsia="宋体" w:cs="宋体"/>
          <w:color w:val="auto"/>
          <w:sz w:val="24"/>
          <w:szCs w:val="24"/>
          <w:highlight w:val="none"/>
        </w:rPr>
        <w:t>所有权及知识产权等权利无瑕疵</w:t>
      </w:r>
      <w:r>
        <w:rPr>
          <w:rFonts w:hint="eastAsia" w:ascii="宋体" w:hAnsi="宋体" w:eastAsia="宋体" w:cs="宋体"/>
          <w:color w:val="auto"/>
          <w:sz w:val="24"/>
          <w:szCs w:val="24"/>
          <w:highlight w:val="none"/>
          <w:lang w:val="en-US" w:eastAsia="zh-CN"/>
        </w:rPr>
        <w:t>以及相关设备不存在抵押、质押等权属瑕疵</w:t>
      </w:r>
      <w:r>
        <w:rPr>
          <w:rFonts w:hint="eastAsia" w:ascii="宋体" w:hAnsi="宋体" w:eastAsia="宋体" w:cs="宋体"/>
          <w:color w:val="auto"/>
          <w:sz w:val="24"/>
          <w:szCs w:val="24"/>
          <w:highlight w:val="none"/>
        </w:rPr>
        <w:t>。如任何第三方经法院(或仲裁机构)裁决有权对上述</w:t>
      </w: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主张权利或国家机关依法对货物进行没收查处的，</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因专利权、商标权</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知识产权</w:t>
      </w:r>
      <w:r>
        <w:rPr>
          <w:rFonts w:hint="eastAsia" w:ascii="宋体" w:hAnsi="宋体" w:eastAsia="宋体" w:cs="宋体"/>
          <w:color w:val="auto"/>
          <w:sz w:val="24"/>
          <w:szCs w:val="24"/>
          <w:highlight w:val="none"/>
          <w:lang w:val="en-US" w:eastAsia="zh-CN"/>
        </w:rPr>
        <w:t>以及产品权属问题</w:t>
      </w:r>
      <w:r>
        <w:rPr>
          <w:rFonts w:hint="eastAsia" w:ascii="宋体" w:hAnsi="宋体" w:eastAsia="宋体" w:cs="宋体"/>
          <w:color w:val="auto"/>
          <w:sz w:val="24"/>
          <w:szCs w:val="24"/>
          <w:highlight w:val="none"/>
        </w:rPr>
        <w:t>而引起法律和经济纠纷，由乙方承担所有相关责任。甲方因此遭受的全部损失(包括但不限于因此向第三方支付的赔偿金、违约金等，以及因此支出的诉讼费用、律师费、保全费等)均由乙方承担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若损失计算存在困难，甲方有权直接要求乙方按合同总金额10%进行赔偿。若因为乙方侵权行为导致甲方无法继续使用相关产品和服务的，乙方还应退还甲方已支付的全部费用。</w:t>
      </w:r>
    </w:p>
    <w:p>
      <w:pPr>
        <w:keepNext w:val="0"/>
        <w:keepLines w:val="0"/>
        <w:pageBreakBefore w:val="0"/>
        <w:widowControl w:val="0"/>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2.7</w:t>
      </w:r>
      <w:r>
        <w:rPr>
          <w:rFonts w:hint="eastAsia" w:ascii="宋体" w:hAnsi="宋体" w:eastAsia="宋体" w:cs="宋体"/>
          <w:color w:val="auto"/>
          <w:sz w:val="24"/>
          <w:szCs w:val="24"/>
          <w:highlight w:val="none"/>
        </w:rPr>
        <w:t>若乙方提供虚假、作废发票或违反国家法律、法规开具或提供发票的，乙方自行承担全部法律责任，同时乙方还应按合同总金额的百分之二十向甲方支付违约金。</w:t>
      </w:r>
    </w:p>
    <w:p>
      <w:pPr>
        <w:keepNext w:val="0"/>
        <w:keepLines w:val="0"/>
        <w:pageBreakBefore w:val="0"/>
        <w:widowControl w:val="0"/>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乙方支付的违约金不足以弥补甲方损失的，还应按甲方损失尚未弥补的部分,支付赔偿金给甲方。</w:t>
      </w:r>
    </w:p>
    <w:p>
      <w:pPr>
        <w:keepNext w:val="0"/>
        <w:keepLines w:val="0"/>
        <w:pageBreakBefore w:val="0"/>
        <w:widowControl w:val="0"/>
        <w:numPr>
          <w:ilvl w:val="0"/>
          <w:numId w:val="0"/>
        </w:numPr>
        <w:kinsoku/>
        <w:overflowPunct/>
        <w:autoSpaceDE/>
        <w:autoSpaceDN/>
        <w:bidi w:val="0"/>
        <w:adjustRightInd w:val="0"/>
        <w:snapToGrid/>
        <w:spacing w:line="520" w:lineRule="exact"/>
        <w:ind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十八、不可抗力事件处理</w:t>
      </w:r>
    </w:p>
    <w:p>
      <w:pPr>
        <w:keepNext w:val="0"/>
        <w:keepLines w:val="0"/>
        <w:pageBreakBefore w:val="0"/>
        <w:widowControl w:val="0"/>
        <w:numPr>
          <w:ilvl w:val="0"/>
          <w:numId w:val="0"/>
        </w:numPr>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1.在合同有效期内，任何一方因不可抗力事件导致不能履行合同，则合同履行期可延长，其延长期与不可抗力影响期相同。</w:t>
      </w:r>
    </w:p>
    <w:p>
      <w:pPr>
        <w:keepNext w:val="0"/>
        <w:keepLines w:val="0"/>
        <w:pageBreakBefore w:val="0"/>
        <w:widowControl w:val="0"/>
        <w:numPr>
          <w:ilvl w:val="0"/>
          <w:numId w:val="0"/>
        </w:numPr>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2.不可抗力事件发生后，应立即通知对方，并寄送有关权威机构出具的证明。</w:t>
      </w:r>
    </w:p>
    <w:p>
      <w:pPr>
        <w:keepNext w:val="0"/>
        <w:keepLines w:val="0"/>
        <w:pageBreakBefore w:val="0"/>
        <w:widowControl w:val="0"/>
        <w:numPr>
          <w:ilvl w:val="0"/>
          <w:numId w:val="0"/>
        </w:numPr>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3.不可抗力事件延续30天以上，双方应通过友好协商，确定是否继续履行合同。</w:t>
      </w:r>
    </w:p>
    <w:p>
      <w:pPr>
        <w:keepNext w:val="0"/>
        <w:keepLines w:val="0"/>
        <w:pageBreakBefore w:val="0"/>
        <w:widowControl w:val="0"/>
        <w:numPr>
          <w:ilvl w:val="0"/>
          <w:numId w:val="0"/>
        </w:numPr>
        <w:kinsoku/>
        <w:overflowPunct/>
        <w:autoSpaceDE/>
        <w:autoSpaceDN/>
        <w:bidi w:val="0"/>
        <w:adjustRightInd w:val="0"/>
        <w:snapToGrid/>
        <w:spacing w:line="520" w:lineRule="exact"/>
        <w:ind w:firstLine="482" w:firstLineChars="200"/>
        <w:textAlignment w:val="auto"/>
        <w:outlineLvl w:val="9"/>
        <w:rPr>
          <w:rFonts w:hint="eastAsia" w:ascii="宋体" w:hAnsi="宋体" w:eastAsia="宋体" w:cs="宋体"/>
          <w:b/>
          <w:bCs/>
          <w:color w:val="auto"/>
          <w:sz w:val="24"/>
          <w:szCs w:val="24"/>
          <w:highlight w:val="none"/>
          <w:lang w:val="en-US" w:eastAsia="zh-CN"/>
        </w:rPr>
      </w:pPr>
      <w:bookmarkStart w:id="1354" w:name="_Toc31185"/>
      <w:r>
        <w:rPr>
          <w:rFonts w:hint="eastAsia" w:ascii="宋体" w:hAnsi="宋体" w:eastAsia="宋体" w:cs="宋体"/>
          <w:b/>
          <w:bCs/>
          <w:color w:val="auto"/>
          <w:sz w:val="24"/>
          <w:szCs w:val="24"/>
          <w:highlight w:val="none"/>
          <w:lang w:val="en-US" w:eastAsia="zh-CN"/>
        </w:rPr>
        <w:t>十九、组成本合同的有关文件</w:t>
      </w:r>
      <w:bookmarkEnd w:id="1354"/>
      <w:r>
        <w:rPr>
          <w:rFonts w:hint="eastAsia" w:ascii="宋体" w:hAnsi="宋体" w:eastAsia="宋体" w:cs="宋体"/>
          <w:b/>
          <w:bCs/>
          <w:color w:val="auto"/>
          <w:sz w:val="24"/>
          <w:szCs w:val="24"/>
          <w:highlight w:val="none"/>
          <w:lang w:val="en-US" w:eastAsia="zh-CN"/>
        </w:rPr>
        <w:t xml:space="preserve"> </w:t>
      </w:r>
    </w:p>
    <w:p>
      <w:pPr>
        <w:keepNext w:val="0"/>
        <w:keepLines w:val="0"/>
        <w:pageBreakBefore w:val="0"/>
        <w:widowControl w:val="0"/>
        <w:numPr>
          <w:ilvl w:val="0"/>
          <w:numId w:val="0"/>
        </w:numPr>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下列关于成都市技师学院成都市技师学院工业机器人数字化虚拟仿真实训基地设备采购项目(项目编号：XXXX)的招标文件、乙方的投标文件或与本次采购活动方式相适应的文件及有关附件是本合同不可分割的组成部分，与本合同具有同等法律效力，这些文件包括但不限于：</w:t>
      </w:r>
    </w:p>
    <w:p>
      <w:pPr>
        <w:keepNext w:val="0"/>
        <w:keepLines w:val="0"/>
        <w:pageBreakBefore w:val="0"/>
        <w:widowControl w:val="0"/>
        <w:numPr>
          <w:ilvl w:val="0"/>
          <w:numId w:val="0"/>
        </w:numPr>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1.甲方的招标文件；</w:t>
      </w:r>
    </w:p>
    <w:p>
      <w:pPr>
        <w:keepNext w:val="0"/>
        <w:keepLines w:val="0"/>
        <w:pageBreakBefore w:val="0"/>
        <w:widowControl w:val="0"/>
        <w:numPr>
          <w:ilvl w:val="0"/>
          <w:numId w:val="0"/>
        </w:numPr>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2.乙方的投标文件；</w:t>
      </w:r>
    </w:p>
    <w:p>
      <w:pPr>
        <w:keepNext w:val="0"/>
        <w:keepLines w:val="0"/>
        <w:pageBreakBefore w:val="0"/>
        <w:widowControl w:val="0"/>
        <w:numPr>
          <w:ilvl w:val="0"/>
          <w:numId w:val="0"/>
        </w:numPr>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3.中标通知书；</w:t>
      </w:r>
    </w:p>
    <w:p>
      <w:pPr>
        <w:keepNext w:val="0"/>
        <w:keepLines w:val="0"/>
        <w:pageBreakBefore w:val="0"/>
        <w:widowControl w:val="0"/>
        <w:numPr>
          <w:ilvl w:val="0"/>
          <w:numId w:val="0"/>
        </w:numPr>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4.本合同列出的附件。</w:t>
      </w:r>
    </w:p>
    <w:p>
      <w:pPr>
        <w:keepNext w:val="0"/>
        <w:keepLines w:val="0"/>
        <w:pageBreakBefore w:val="0"/>
        <w:widowControl w:val="0"/>
        <w:numPr>
          <w:ilvl w:val="0"/>
          <w:numId w:val="0"/>
        </w:numPr>
        <w:kinsoku/>
        <w:overflowPunct/>
        <w:autoSpaceDE/>
        <w:autoSpaceDN/>
        <w:bidi w:val="0"/>
        <w:adjustRightInd w:val="0"/>
        <w:snapToGrid/>
        <w:spacing w:line="520" w:lineRule="exact"/>
        <w:ind w:firstLine="482" w:firstLineChars="200"/>
        <w:textAlignment w:val="auto"/>
        <w:outlineLvl w:val="9"/>
        <w:rPr>
          <w:rFonts w:hint="eastAsia" w:ascii="宋体" w:hAnsi="宋体" w:eastAsia="宋体" w:cs="宋体"/>
          <w:b/>
          <w:bCs/>
          <w:color w:val="auto"/>
          <w:sz w:val="24"/>
          <w:szCs w:val="24"/>
          <w:highlight w:val="none"/>
          <w:lang w:val="en-US" w:eastAsia="zh-CN"/>
        </w:rPr>
      </w:pPr>
      <w:bookmarkStart w:id="1355" w:name="_Toc16141"/>
      <w:r>
        <w:rPr>
          <w:rFonts w:hint="eastAsia" w:ascii="宋体" w:hAnsi="宋体" w:eastAsia="宋体" w:cs="宋体"/>
          <w:b/>
          <w:bCs/>
          <w:color w:val="auto"/>
          <w:sz w:val="24"/>
          <w:szCs w:val="24"/>
          <w:highlight w:val="none"/>
          <w:lang w:val="en-US" w:eastAsia="zh-CN"/>
        </w:rPr>
        <w:t>二十、其他</w:t>
      </w:r>
      <w:bookmarkEnd w:id="1355"/>
    </w:p>
    <w:bookmarkEnd w:id="1342"/>
    <w:bookmarkEnd w:id="1343"/>
    <w:p>
      <w:pPr>
        <w:keepNext w:val="0"/>
        <w:keepLines w:val="0"/>
        <w:pageBreakBefore w:val="0"/>
        <w:widowControl w:val="0"/>
        <w:numPr>
          <w:ilvl w:val="0"/>
          <w:numId w:val="0"/>
        </w:numPr>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1.乙方制定的实施方案、售后服务方案、详见乙方投标文件。</w:t>
      </w:r>
    </w:p>
    <w:p>
      <w:pPr>
        <w:keepNext w:val="0"/>
        <w:keepLines w:val="0"/>
        <w:pageBreakBefore w:val="0"/>
        <w:widowControl w:val="0"/>
        <w:numPr>
          <w:ilvl w:val="0"/>
          <w:numId w:val="0"/>
        </w:numPr>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2.本合同自乙方缴纳履约保证金后，且合同经双方法定代表人或授权委托代理人签字并加盖单位公章（或合同专用章）后生效。</w:t>
      </w:r>
    </w:p>
    <w:p>
      <w:pPr>
        <w:keepNext w:val="0"/>
        <w:keepLines w:val="0"/>
        <w:pageBreakBefore w:val="0"/>
        <w:widowControl w:val="0"/>
        <w:numPr>
          <w:ilvl w:val="0"/>
          <w:numId w:val="0"/>
        </w:numPr>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3.如有未尽事宜，由双方依法订立补充合同。</w:t>
      </w:r>
    </w:p>
    <w:p>
      <w:pPr>
        <w:keepNext w:val="0"/>
        <w:keepLines w:val="0"/>
        <w:pageBreakBefore w:val="0"/>
        <w:widowControl w:val="0"/>
        <w:numPr>
          <w:ilvl w:val="0"/>
          <w:numId w:val="0"/>
        </w:numPr>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4.本本合同一式伍份，甲方肆份，乙方一份，具有同等法律效力。</w:t>
      </w:r>
    </w:p>
    <w:p>
      <w:pPr>
        <w:keepNext w:val="0"/>
        <w:keepLines w:val="0"/>
        <w:pageBreakBefore w:val="0"/>
        <w:widowControl w:val="0"/>
        <w:numPr>
          <w:ilvl w:val="0"/>
          <w:numId w:val="0"/>
        </w:numPr>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5.如本合同与甲方的招标文件、乙方的投标文件不一致时，以甲方的招标文件、乙方的投标文件为准。</w:t>
      </w:r>
    </w:p>
    <w:p>
      <w:pPr>
        <w:keepNext w:val="0"/>
        <w:keepLines w:val="0"/>
        <w:pageBreakBefore w:val="0"/>
        <w:widowControl w:val="0"/>
        <w:numPr>
          <w:ilvl w:val="0"/>
          <w:numId w:val="0"/>
        </w:numPr>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6.本合同应按照中华人民共和国的现行法律进行解释。</w:t>
      </w:r>
    </w:p>
    <w:p>
      <w:pPr>
        <w:keepNext w:val="0"/>
        <w:keepLines w:val="0"/>
        <w:pageBreakBefore w:val="0"/>
        <w:widowControl w:val="0"/>
        <w:kinsoku/>
        <w:overflowPunct/>
        <w:autoSpaceDE/>
        <w:autoSpaceDN/>
        <w:bidi w:val="0"/>
        <w:adjustRightInd w:val="0"/>
        <w:snapToGrid/>
        <w:spacing w:line="520" w:lineRule="exact"/>
        <w:ind w:firstLine="480" w:firstLineChars="200"/>
        <w:textAlignment w:val="auto"/>
        <w:outlineLvl w:val="9"/>
        <w:rPr>
          <w:rFonts w:hint="eastAsia" w:ascii="宋体" w:hAnsi="宋体" w:eastAsia="宋体" w:cs="宋体"/>
          <w:color w:val="auto"/>
          <w:sz w:val="24"/>
          <w:szCs w:val="24"/>
          <w:highlight w:val="none"/>
        </w:rPr>
      </w:pPr>
    </w:p>
    <w:p>
      <w:pPr>
        <w:pStyle w:val="33"/>
        <w:keepNext w:val="0"/>
        <w:keepLines w:val="0"/>
        <w:pageBreakBefore/>
        <w:widowControl w:val="0"/>
        <w:kinsoku/>
        <w:wordWrap/>
        <w:overflowPunct/>
        <w:topLinePunct w:val="0"/>
        <w:autoSpaceDE/>
        <w:autoSpaceDN/>
        <w:bidi w:val="0"/>
        <w:adjustRightInd w:val="0"/>
        <w:snapToGrid w:val="0"/>
        <w:spacing w:before="313" w:beforeLines="100" w:after="313" w:afterLines="1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(本页无正文)</w:t>
      </w:r>
    </w:p>
    <w:tbl>
      <w:tblPr>
        <w:tblStyle w:val="22"/>
        <w:tblW w:w="9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2"/>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   (盖章)</w:t>
            </w:r>
          </w:p>
        </w:tc>
        <w:tc>
          <w:tcPr>
            <w:tcW w:w="4981" w:type="dxa"/>
            <w:vAlign w:val="center"/>
          </w:tcPr>
          <w:p>
            <w:pPr>
              <w:pStyle w:val="42"/>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2"/>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法定代表人(授权代表)：</w:t>
            </w:r>
          </w:p>
        </w:tc>
        <w:tc>
          <w:tcPr>
            <w:tcW w:w="4981" w:type="dxa"/>
            <w:vAlign w:val="center"/>
          </w:tcPr>
          <w:p>
            <w:pPr>
              <w:pStyle w:val="42"/>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2"/>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住所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tc>
        <w:tc>
          <w:tcPr>
            <w:tcW w:w="4981" w:type="dxa"/>
            <w:vAlign w:val="center"/>
          </w:tcPr>
          <w:p>
            <w:pPr>
              <w:pStyle w:val="42"/>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住所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2"/>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4981" w:type="dxa"/>
            <w:vAlign w:val="center"/>
          </w:tcPr>
          <w:p>
            <w:pPr>
              <w:pStyle w:val="42"/>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2"/>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4981" w:type="dxa"/>
            <w:vAlign w:val="center"/>
          </w:tcPr>
          <w:p>
            <w:pPr>
              <w:pStyle w:val="42"/>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2"/>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电话： </w:t>
            </w:r>
          </w:p>
        </w:tc>
        <w:tc>
          <w:tcPr>
            <w:tcW w:w="4981" w:type="dxa"/>
            <w:vAlign w:val="center"/>
          </w:tcPr>
          <w:p>
            <w:pPr>
              <w:pStyle w:val="42"/>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42"/>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4981" w:type="dxa"/>
            <w:vAlign w:val="center"/>
          </w:tcPr>
          <w:p>
            <w:pPr>
              <w:pStyle w:val="42"/>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42"/>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签约日期：XX年XX月XX日</w:t>
            </w:r>
          </w:p>
        </w:tc>
        <w:tc>
          <w:tcPr>
            <w:tcW w:w="4981" w:type="dxa"/>
            <w:vAlign w:val="center"/>
          </w:tcPr>
          <w:p>
            <w:pPr>
              <w:pStyle w:val="42"/>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签约日期：XX年XX月XX日</w:t>
            </w:r>
          </w:p>
        </w:tc>
      </w:tr>
    </w:tbl>
    <w:p>
      <w:pPr>
        <w:pStyle w:val="42"/>
        <w:bidi w:val="0"/>
        <w:rPr>
          <w:rFonts w:hint="eastAsia"/>
          <w:color w:val="auto"/>
          <w:highlight w:val="none"/>
        </w:rPr>
      </w:pPr>
      <w:r>
        <w:rPr>
          <w:rFonts w:hint="eastAsia"/>
          <w:color w:val="auto"/>
          <w:highlight w:val="none"/>
        </w:rPr>
        <w:br w:type="page"/>
      </w:r>
    </w:p>
    <w:p>
      <w:pPr>
        <w:pStyle w:val="48"/>
        <w:numPr>
          <w:ilvl w:val="0"/>
          <w:numId w:val="13"/>
        </w:numPr>
        <w:bidi w:val="0"/>
        <w:rPr>
          <w:rFonts w:hint="eastAsia"/>
          <w:color w:val="auto"/>
          <w:highlight w:val="none"/>
          <w:lang w:val="en-US" w:eastAsia="zh-CN"/>
        </w:rPr>
      </w:pPr>
      <w:bookmarkStart w:id="1356" w:name="_Toc28848"/>
      <w:bookmarkStart w:id="1357" w:name="_Toc24077"/>
      <w:bookmarkStart w:id="1358" w:name="_Toc4600"/>
      <w:r>
        <w:rPr>
          <w:rFonts w:hint="eastAsia"/>
          <w:color w:val="auto"/>
          <w:highlight w:val="none"/>
          <w:lang w:val="en-US" w:eastAsia="zh-CN"/>
        </w:rPr>
        <w:t>附件</w:t>
      </w:r>
      <w:bookmarkEnd w:id="1356"/>
      <w:bookmarkEnd w:id="1357"/>
      <w:bookmarkEnd w:id="1358"/>
    </w:p>
    <w:p>
      <w:pPr>
        <w:pStyle w:val="42"/>
        <w:keepNext w:val="0"/>
        <w:keepLines w:val="0"/>
        <w:pageBreakBefore w:val="0"/>
        <w:widowControl w:val="0"/>
        <w:kinsoku/>
        <w:wordWrap w:val="0"/>
        <w:overflowPunct/>
        <w:topLinePunct/>
        <w:autoSpaceDE/>
        <w:autoSpaceDN/>
        <w:bidi w:val="0"/>
        <w:adjustRightInd w:val="0"/>
        <w:snapToGrid w:val="0"/>
        <w:jc w:val="both"/>
        <w:textAlignment w:val="auto"/>
        <w:outlineLvl w:val="2"/>
        <w:rPr>
          <w:rFonts w:hint="eastAsia"/>
          <w:b/>
          <w:bCs/>
          <w:color w:val="auto"/>
          <w:sz w:val="24"/>
          <w:szCs w:val="24"/>
          <w:highlight w:val="none"/>
          <w:lang w:val="en-US" w:eastAsia="zh-CN"/>
        </w:rPr>
      </w:pPr>
      <w:bookmarkStart w:id="1359" w:name="_Toc2430"/>
      <w:bookmarkStart w:id="1360" w:name="_Toc14862"/>
      <w:r>
        <w:rPr>
          <w:rFonts w:hint="eastAsia" w:ascii="宋体" w:hAnsi="宋体" w:eastAsia="宋体" w:cs="宋体"/>
          <w:b/>
          <w:bCs/>
          <w:color w:val="auto"/>
          <w:sz w:val="24"/>
          <w:szCs w:val="24"/>
          <w:highlight w:val="none"/>
          <w:lang w:val="en-US" w:eastAsia="zh-CN"/>
        </w:rPr>
        <w:t>附件一：《20</w:t>
      </w:r>
      <w:r>
        <w:rPr>
          <w:rFonts w:hint="eastAsia" w:cs="宋体"/>
          <w:b/>
          <w:bCs/>
          <w:color w:val="auto"/>
          <w:sz w:val="24"/>
          <w:szCs w:val="24"/>
          <w:highlight w:val="none"/>
          <w:lang w:val="en-US" w:eastAsia="zh-CN"/>
        </w:rPr>
        <w:t>23</w:t>
      </w:r>
      <w:r>
        <w:rPr>
          <w:rFonts w:hint="eastAsia" w:ascii="宋体" w:hAnsi="宋体" w:eastAsia="宋体" w:cs="宋体"/>
          <w:b/>
          <w:bCs/>
          <w:color w:val="auto"/>
          <w:sz w:val="24"/>
          <w:szCs w:val="24"/>
          <w:highlight w:val="none"/>
          <w:lang w:val="en-US" w:eastAsia="zh-CN"/>
        </w:rPr>
        <w:t>年度信用评价服务效果调查表(供应商)》</w:t>
      </w:r>
      <w:bookmarkEnd w:id="1359"/>
      <w:bookmarkEnd w:id="1360"/>
    </w:p>
    <w:p>
      <w:pPr>
        <w:pStyle w:val="42"/>
        <w:bidi w:val="0"/>
        <w:jc w:val="center"/>
        <w:rPr>
          <w:rFonts w:hint="eastAsia"/>
          <w:b/>
          <w:bCs/>
          <w:color w:val="auto"/>
          <w:sz w:val="32"/>
          <w:szCs w:val="32"/>
          <w:highlight w:val="none"/>
          <w:lang w:val="en-US" w:eastAsia="zh-CN"/>
        </w:rPr>
      </w:pPr>
      <w:r>
        <w:rPr>
          <w:rFonts w:hint="eastAsia"/>
          <w:b/>
          <w:bCs/>
          <w:color w:val="auto"/>
          <w:sz w:val="32"/>
          <w:szCs w:val="32"/>
          <w:highlight w:val="none"/>
          <w:lang w:val="en-US" w:eastAsia="zh-CN"/>
        </w:rPr>
        <w:t>2023年度信用评价服务效果调查表(供应商)</w:t>
      </w:r>
    </w:p>
    <w:p>
      <w:pPr>
        <w:pStyle w:val="42"/>
        <w:bidi w:val="0"/>
        <w:rPr>
          <w:rFonts w:hint="eastAsia"/>
          <w:color w:val="auto"/>
          <w:highlight w:val="none"/>
          <w:u w:val="single"/>
          <w:lang w:val="en-US" w:eastAsia="zh-CN"/>
        </w:rPr>
      </w:pPr>
      <w:r>
        <w:rPr>
          <w:rFonts w:hint="eastAsia"/>
          <w:color w:val="auto"/>
          <w:highlight w:val="none"/>
          <w:lang w:val="en-US" w:eastAsia="zh-CN"/>
        </w:rPr>
        <w:t>项目名称：</w:t>
      </w:r>
      <w:r>
        <w:rPr>
          <w:rFonts w:hint="eastAsia"/>
          <w:color w:val="auto"/>
          <w:highlight w:val="none"/>
          <w:u w:val="single"/>
          <w:lang w:val="en-US" w:eastAsia="zh-CN"/>
        </w:rPr>
        <w:t xml:space="preserve">                               </w:t>
      </w:r>
    </w:p>
    <w:p>
      <w:pPr>
        <w:pStyle w:val="42"/>
        <w:bidi w:val="0"/>
        <w:rPr>
          <w:rFonts w:hint="eastAsia"/>
          <w:color w:val="auto"/>
          <w:highlight w:val="none"/>
          <w:u w:val="single"/>
          <w:lang w:val="en-US" w:eastAsia="zh-CN"/>
        </w:rPr>
      </w:pPr>
      <w:r>
        <w:rPr>
          <w:rFonts w:hint="eastAsia"/>
          <w:color w:val="auto"/>
          <w:highlight w:val="none"/>
          <w:lang w:val="en-US" w:eastAsia="zh-CN"/>
        </w:rPr>
        <w:t>项目编号：</w:t>
      </w:r>
      <w:r>
        <w:rPr>
          <w:rFonts w:hint="eastAsia"/>
          <w:color w:val="auto"/>
          <w:highlight w:val="none"/>
          <w:u w:val="single"/>
          <w:lang w:val="en-US" w:eastAsia="zh-CN"/>
        </w:rPr>
        <w:t xml:space="preserve">                               </w:t>
      </w:r>
    </w:p>
    <w:p>
      <w:pPr>
        <w:pStyle w:val="42"/>
        <w:bidi w:val="0"/>
        <w:rPr>
          <w:rFonts w:hint="eastAsia"/>
          <w:color w:val="auto"/>
          <w:highlight w:val="none"/>
          <w:lang w:val="en-US" w:eastAsia="zh-CN"/>
        </w:rPr>
      </w:pPr>
      <w:r>
        <w:rPr>
          <w:rFonts w:hint="eastAsia"/>
          <w:color w:val="auto"/>
          <w:highlight w:val="none"/>
          <w:lang w:val="en-US" w:eastAsia="zh-CN"/>
        </w:rPr>
        <w:t>被评价代理机构名称：四川乾新招投标代理有限公司</w:t>
      </w:r>
    </w:p>
    <w:tbl>
      <w:tblPr>
        <w:tblStyle w:val="21"/>
        <w:tblW w:w="9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9"/>
        <w:gridCol w:w="2430"/>
        <w:gridCol w:w="1530"/>
        <w:gridCol w:w="1530"/>
        <w:gridCol w:w="1530"/>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5"/>
              <w:bidi w:val="0"/>
              <w:rPr>
                <w:rFonts w:hint="eastAsia"/>
                <w:b/>
                <w:bCs/>
                <w:color w:val="auto"/>
                <w:highlight w:val="none"/>
              </w:rPr>
            </w:pPr>
            <w:r>
              <w:rPr>
                <w:rFonts w:hint="eastAsia"/>
                <w:b/>
                <w:bCs/>
                <w:color w:val="auto"/>
                <w:highlight w:val="none"/>
                <w:lang w:val="en-US" w:eastAsia="zh-CN"/>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5"/>
              <w:bidi w:val="0"/>
              <w:rPr>
                <w:rFonts w:hint="eastAsia"/>
                <w:b/>
                <w:bCs/>
                <w:color w:val="auto"/>
                <w:highlight w:val="none"/>
              </w:rPr>
            </w:pPr>
            <w:r>
              <w:rPr>
                <w:rFonts w:hint="eastAsia"/>
                <w:b/>
                <w:bCs/>
                <w:color w:val="auto"/>
                <w:highlight w:val="none"/>
                <w:lang w:val="en-US" w:eastAsia="zh-CN"/>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bidi w:val="0"/>
              <w:rPr>
                <w:rFonts w:hint="eastAsia"/>
                <w:b/>
                <w:bCs/>
                <w:color w:val="auto"/>
                <w:highlight w:val="none"/>
                <w:lang w:val="en-US" w:eastAsia="zh-CN"/>
              </w:rPr>
            </w:pPr>
            <w:r>
              <w:rPr>
                <w:rFonts w:hint="eastAsia"/>
                <w:b/>
                <w:bCs/>
                <w:color w:val="auto"/>
                <w:highlight w:val="none"/>
                <w:lang w:val="en-US" w:eastAsia="zh-CN"/>
              </w:rPr>
              <w:t xml:space="preserve">满意 </w:t>
            </w:r>
          </w:p>
          <w:p>
            <w:pPr>
              <w:pStyle w:val="45"/>
              <w:bidi w:val="0"/>
              <w:rPr>
                <w:rFonts w:hint="eastAsia"/>
                <w:b/>
                <w:bCs/>
                <w:color w:val="auto"/>
                <w:highlight w:val="none"/>
              </w:rPr>
            </w:pPr>
            <w:r>
              <w:rPr>
                <w:rFonts w:hint="eastAsia"/>
                <w:b/>
                <w:bCs/>
                <w:color w:val="auto"/>
                <w:highlight w:val="none"/>
                <w:lang w:val="en-US" w:eastAsia="zh-CN"/>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bidi w:val="0"/>
              <w:rPr>
                <w:rFonts w:hint="eastAsia"/>
                <w:b/>
                <w:bCs/>
                <w:color w:val="auto"/>
                <w:highlight w:val="none"/>
                <w:lang w:val="en-US" w:eastAsia="zh-CN"/>
              </w:rPr>
            </w:pPr>
            <w:r>
              <w:rPr>
                <w:rFonts w:hint="eastAsia"/>
                <w:b/>
                <w:bCs/>
                <w:color w:val="auto"/>
                <w:highlight w:val="none"/>
                <w:lang w:val="en-US" w:eastAsia="zh-CN"/>
              </w:rPr>
              <w:t xml:space="preserve">基本满意 </w:t>
            </w:r>
          </w:p>
          <w:p>
            <w:pPr>
              <w:pStyle w:val="45"/>
              <w:bidi w:val="0"/>
              <w:rPr>
                <w:rFonts w:hint="eastAsia"/>
                <w:b/>
                <w:bCs/>
                <w:color w:val="auto"/>
                <w:highlight w:val="none"/>
              </w:rPr>
            </w:pPr>
            <w:r>
              <w:rPr>
                <w:rFonts w:hint="eastAsia"/>
                <w:b/>
                <w:bCs/>
                <w:color w:val="auto"/>
                <w:highlight w:val="none"/>
                <w:lang w:val="en-US" w:eastAsia="zh-CN"/>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bidi w:val="0"/>
              <w:rPr>
                <w:rFonts w:hint="eastAsia"/>
                <w:b/>
                <w:bCs/>
                <w:color w:val="auto"/>
                <w:highlight w:val="none"/>
                <w:lang w:val="en-US" w:eastAsia="zh-CN"/>
              </w:rPr>
            </w:pPr>
            <w:r>
              <w:rPr>
                <w:rFonts w:hint="eastAsia"/>
                <w:b/>
                <w:bCs/>
                <w:color w:val="auto"/>
                <w:highlight w:val="none"/>
                <w:lang w:val="en-US" w:eastAsia="zh-CN"/>
              </w:rPr>
              <w:t xml:space="preserve">一般 </w:t>
            </w:r>
          </w:p>
          <w:p>
            <w:pPr>
              <w:pStyle w:val="45"/>
              <w:bidi w:val="0"/>
              <w:rPr>
                <w:rFonts w:hint="eastAsia"/>
                <w:b/>
                <w:bCs/>
                <w:color w:val="auto"/>
                <w:highlight w:val="none"/>
              </w:rPr>
            </w:pPr>
            <w:r>
              <w:rPr>
                <w:rFonts w:hint="eastAsia"/>
                <w:b/>
                <w:bCs/>
                <w:color w:val="auto"/>
                <w:highlight w:val="none"/>
                <w:lang w:val="en-US" w:eastAsia="zh-CN"/>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5"/>
              <w:bidi w:val="0"/>
              <w:rPr>
                <w:rFonts w:hint="eastAsia"/>
                <w:b/>
                <w:bCs/>
                <w:color w:val="auto"/>
                <w:highlight w:val="none"/>
                <w:lang w:val="en-US" w:eastAsia="zh-CN"/>
              </w:rPr>
            </w:pPr>
            <w:r>
              <w:rPr>
                <w:rFonts w:hint="eastAsia"/>
                <w:b/>
                <w:bCs/>
                <w:color w:val="auto"/>
                <w:highlight w:val="none"/>
                <w:lang w:val="en-US" w:eastAsia="zh-CN"/>
              </w:rPr>
              <w:t>不满意</w:t>
            </w:r>
          </w:p>
          <w:p>
            <w:pPr>
              <w:pStyle w:val="45"/>
              <w:bidi w:val="0"/>
              <w:rPr>
                <w:rFonts w:hint="eastAsia"/>
                <w:b/>
                <w:bCs/>
                <w:color w:val="auto"/>
                <w:highlight w:val="none"/>
              </w:rPr>
            </w:pPr>
            <w:r>
              <w:rPr>
                <w:rFonts w:hint="eastAsia"/>
                <w:b/>
                <w:bCs/>
                <w:color w:val="auto"/>
                <w:highlight w:val="none"/>
                <w:lang w:val="en-US" w:eastAsia="zh-CN"/>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5"/>
              <w:bidi w:val="0"/>
              <w:rPr>
                <w:rFonts w:hint="eastAsia"/>
                <w:b/>
                <w:bCs/>
                <w:color w:val="auto"/>
                <w:highlight w:val="none"/>
              </w:rPr>
            </w:pPr>
            <w:r>
              <w:rPr>
                <w:rFonts w:hint="eastAsia"/>
                <w:b/>
                <w:bCs/>
                <w:color w:val="auto"/>
                <w:highlight w:val="none"/>
                <w:lang w:val="en-US" w:eastAsia="zh-CN"/>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5"/>
              <w:bidi w:val="0"/>
              <w:rPr>
                <w:rFonts w:hint="eastAsia"/>
                <w:b/>
                <w:bCs/>
                <w:color w:val="auto"/>
                <w:highlight w:val="none"/>
              </w:rPr>
            </w:pPr>
            <w:r>
              <w:rPr>
                <w:rFonts w:hint="eastAsia"/>
                <w:b/>
                <w:bCs/>
                <w:color w:val="auto"/>
                <w:highlight w:val="none"/>
                <w:lang w:val="en-US" w:eastAsia="zh-CN"/>
              </w:rPr>
              <w:t>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bidi w:val="0"/>
              <w:rPr>
                <w:rFonts w:hint="eastAsia"/>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5"/>
              <w:bidi w:val="0"/>
              <w:rPr>
                <w:rFonts w:hint="eastAsia"/>
                <w:b/>
                <w:bCs/>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5"/>
              <w:bidi w:val="0"/>
              <w:rPr>
                <w:rFonts w:hint="eastAsia"/>
                <w:b/>
                <w:bCs/>
                <w:color w:val="auto"/>
                <w:highlight w:val="none"/>
              </w:rPr>
            </w:pPr>
            <w:r>
              <w:rPr>
                <w:rFonts w:hint="eastAsia"/>
                <w:b/>
                <w:bCs/>
                <w:color w:val="auto"/>
                <w:highlight w:val="none"/>
                <w:lang w:val="en-US" w:eastAsia="zh-CN"/>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5"/>
              <w:bidi w:val="0"/>
              <w:rPr>
                <w:rFonts w:hint="eastAsia"/>
                <w:b/>
                <w:bCs/>
                <w:color w:val="auto"/>
                <w:highlight w:val="none"/>
              </w:rPr>
            </w:pPr>
            <w:r>
              <w:rPr>
                <w:rFonts w:hint="eastAsia"/>
                <w:b/>
                <w:bCs/>
                <w:color w:val="auto"/>
                <w:highlight w:val="none"/>
                <w:lang w:val="en-US" w:eastAsia="zh-CN"/>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bidi w:val="0"/>
              <w:rPr>
                <w:rFonts w:hint="eastAsia"/>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5"/>
              <w:bidi w:val="0"/>
              <w:rPr>
                <w:rFonts w:hint="eastAsia"/>
                <w:b/>
                <w:bCs/>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5"/>
              <w:bidi w:val="0"/>
              <w:rPr>
                <w:rFonts w:hint="eastAsia"/>
                <w:b/>
                <w:bCs/>
                <w:color w:val="auto"/>
                <w:highlight w:val="none"/>
              </w:rPr>
            </w:pPr>
            <w:r>
              <w:rPr>
                <w:rFonts w:hint="eastAsia"/>
                <w:b/>
                <w:bCs/>
                <w:color w:val="auto"/>
                <w:highlight w:val="none"/>
                <w:lang w:val="en-US" w:eastAsia="zh-CN"/>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5"/>
              <w:bidi w:val="0"/>
              <w:rPr>
                <w:rFonts w:hint="eastAsia"/>
                <w:b/>
                <w:bCs/>
                <w:color w:val="auto"/>
                <w:highlight w:val="none"/>
              </w:rPr>
            </w:pPr>
            <w:r>
              <w:rPr>
                <w:rFonts w:hint="eastAsia"/>
                <w:b/>
                <w:bCs/>
                <w:color w:val="auto"/>
                <w:highlight w:val="none"/>
                <w:lang w:val="en-US" w:eastAsia="zh-CN"/>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bidi w:val="0"/>
              <w:rPr>
                <w:rFonts w:hint="eastAsia"/>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5"/>
              <w:bidi w:val="0"/>
              <w:rPr>
                <w:rFonts w:hint="eastAsia"/>
                <w:b/>
                <w:bCs/>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5"/>
              <w:bidi w:val="0"/>
              <w:rPr>
                <w:rFonts w:hint="eastAsia"/>
                <w:b/>
                <w:bCs/>
                <w:color w:val="auto"/>
                <w:highlight w:val="none"/>
              </w:rPr>
            </w:pPr>
            <w:r>
              <w:rPr>
                <w:rFonts w:hint="eastAsia"/>
                <w:b/>
                <w:bCs/>
                <w:color w:val="auto"/>
                <w:highlight w:val="none"/>
                <w:lang w:val="en-US" w:eastAsia="zh-CN"/>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5"/>
              <w:bidi w:val="0"/>
              <w:rPr>
                <w:rFonts w:hint="eastAsia"/>
                <w:b/>
                <w:bCs/>
                <w:color w:val="auto"/>
                <w:highlight w:val="none"/>
              </w:rPr>
            </w:pPr>
            <w:r>
              <w:rPr>
                <w:rFonts w:hint="eastAsia"/>
                <w:b/>
                <w:bCs/>
                <w:color w:val="auto"/>
                <w:highlight w:val="none"/>
                <w:lang w:val="en-US" w:eastAsia="zh-CN"/>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bidi w:val="0"/>
              <w:rPr>
                <w:rFonts w:hint="eastAsia"/>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5"/>
              <w:bidi w:val="0"/>
              <w:rPr>
                <w:rFonts w:hint="eastAsia"/>
                <w:b/>
                <w:bCs/>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color w:val="auto"/>
                <w:highlight w:val="none"/>
              </w:rPr>
            </w:pPr>
            <w:r>
              <w:rPr>
                <w:rFonts w:hint="eastAsia"/>
                <w:b/>
                <w:bCs/>
                <w:color w:val="auto"/>
                <w:highlight w:val="none"/>
                <w:lang w:val="en-US" w:eastAsia="zh-CN"/>
              </w:rPr>
              <w:t>对代理机构工作的其他建议：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6"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1"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1"/>
              <w:bidi w:val="0"/>
              <w:jc w:val="right"/>
              <w:rPr>
                <w:rFonts w:hint="eastAsia"/>
                <w:b/>
                <w:bCs/>
                <w:color w:val="auto"/>
                <w:highlight w:val="none"/>
                <w:lang w:val="en-US" w:eastAsia="zh-CN"/>
              </w:rPr>
            </w:pPr>
            <w:r>
              <w:rPr>
                <w:rFonts w:hint="eastAsia"/>
                <w:b/>
                <w:bCs/>
                <w:color w:val="auto"/>
                <w:highlight w:val="none"/>
                <w:lang w:val="en-US" w:eastAsia="zh-CN"/>
              </w:rPr>
              <w:t>供应商名称：</w:t>
            </w:r>
            <w:r>
              <w:rPr>
                <w:rFonts w:hint="eastAsia"/>
                <w:b/>
                <w:bCs/>
                <w:color w:val="auto"/>
                <w:highlight w:val="none"/>
                <w:u w:val="single"/>
                <w:lang w:val="en-US" w:eastAsia="zh-CN"/>
              </w:rPr>
              <w:t xml:space="preserve">                     </w:t>
            </w:r>
            <w:r>
              <w:rPr>
                <w:rFonts w:hint="eastAsia"/>
                <w:b/>
                <w:bCs/>
                <w:color w:val="auto"/>
                <w:highlight w:val="none"/>
                <w:lang w:val="en-US" w:eastAsia="zh-CN"/>
              </w:rPr>
              <w:t>(加盖公章)</w:t>
            </w:r>
          </w:p>
        </w:tc>
      </w:tr>
    </w:tbl>
    <w:p>
      <w:pPr>
        <w:pStyle w:val="47"/>
        <w:bidi w:val="0"/>
        <w:rPr>
          <w:rFonts w:hint="eastAsia"/>
          <w:color w:val="auto"/>
          <w:highlight w:val="none"/>
          <w:lang w:val="en-US" w:eastAsia="zh-CN"/>
        </w:rPr>
      </w:pPr>
      <w:r>
        <w:rPr>
          <w:rFonts w:hint="eastAsia"/>
          <w:color w:val="auto"/>
          <w:highlight w:val="none"/>
          <w:lang w:val="en-US" w:eastAsia="zh-CN"/>
        </w:rPr>
        <w:t>说明：请贵公司根据采购代理机构2022年度采购项目的实际情况，在“满意”、“基本满意”、“一般”、“不满意”四个评价档次栏中选取一栏打“√”，并加盖公章。</w:t>
      </w:r>
    </w:p>
    <w:p>
      <w:pPr>
        <w:rPr>
          <w:rFonts w:hint="eastAsia"/>
          <w:color w:val="auto"/>
          <w:highlight w:val="none"/>
          <w:lang w:val="en-US" w:eastAsia="zh-CN"/>
        </w:rPr>
      </w:pPr>
      <w:r>
        <w:rPr>
          <w:rFonts w:hint="eastAsia"/>
          <w:color w:val="auto"/>
          <w:highlight w:val="none"/>
          <w:lang w:val="en-US" w:eastAsia="zh-CN"/>
        </w:rPr>
        <w:br w:type="page"/>
      </w:r>
    </w:p>
    <w:p>
      <w:pPr>
        <w:pStyle w:val="42"/>
        <w:keepNext w:val="0"/>
        <w:keepLines w:val="0"/>
        <w:pageBreakBefore w:val="0"/>
        <w:widowControl w:val="0"/>
        <w:kinsoku/>
        <w:wordWrap w:val="0"/>
        <w:overflowPunct/>
        <w:topLinePunct/>
        <w:autoSpaceDE/>
        <w:autoSpaceDN/>
        <w:bidi w:val="0"/>
        <w:adjustRightInd w:val="0"/>
        <w:snapToGrid w:val="0"/>
        <w:jc w:val="both"/>
        <w:textAlignment w:val="auto"/>
        <w:outlineLvl w:val="2"/>
        <w:rPr>
          <w:rFonts w:hint="eastAsia" w:cs="宋体"/>
          <w:b/>
          <w:bCs/>
          <w:color w:val="auto"/>
          <w:sz w:val="24"/>
          <w:szCs w:val="24"/>
          <w:highlight w:val="none"/>
          <w:lang w:val="en-US" w:eastAsia="zh-CN"/>
        </w:rPr>
      </w:pPr>
      <w:bookmarkStart w:id="1361" w:name="_Toc18077"/>
      <w:bookmarkStart w:id="1362" w:name="_Toc9486"/>
      <w:r>
        <w:rPr>
          <w:rFonts w:hint="eastAsia" w:ascii="宋体" w:hAnsi="宋体" w:eastAsia="宋体" w:cs="宋体"/>
          <w:b/>
          <w:bCs/>
          <w:color w:val="auto"/>
          <w:sz w:val="24"/>
          <w:szCs w:val="24"/>
          <w:highlight w:val="none"/>
          <w:lang w:val="en-US" w:eastAsia="zh-CN"/>
        </w:rPr>
        <w:t>附件二</w:t>
      </w:r>
      <w:r>
        <w:rPr>
          <w:rFonts w:hint="eastAsia" w:cs="宋体"/>
          <w:b/>
          <w:bCs/>
          <w:color w:val="auto"/>
          <w:sz w:val="24"/>
          <w:szCs w:val="24"/>
          <w:highlight w:val="none"/>
          <w:lang w:val="en-US" w:eastAsia="zh-CN"/>
        </w:rPr>
        <w:t>： 统计上大中小微型企业划分标准</w:t>
      </w:r>
      <w:bookmarkEnd w:id="1361"/>
      <w:bookmarkEnd w:id="1362"/>
    </w:p>
    <w:p>
      <w:pPr>
        <w:widowControl/>
        <w:spacing w:line="330" w:lineRule="atLeast"/>
        <w:jc w:val="center"/>
        <w:rPr>
          <w:rFonts w:hint="eastAsia" w:ascii="宋体" w:hAnsi="宋体" w:eastAsia="宋体" w:cs="宋体"/>
          <w:color w:val="auto"/>
          <w:kern w:val="0"/>
          <w:sz w:val="32"/>
          <w:szCs w:val="32"/>
          <w:highlight w:val="none"/>
        </w:rPr>
      </w:pPr>
    </w:p>
    <w:p>
      <w:pPr>
        <w:widowControl/>
        <w:spacing w:line="330" w:lineRule="atLeas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统计上大中小微型企业划分标准</w:t>
      </w:r>
    </w:p>
    <w:tbl>
      <w:tblPr>
        <w:tblStyle w:val="21"/>
        <w:tblW w:w="50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0"/>
        <w:gridCol w:w="1513"/>
        <w:gridCol w:w="910"/>
        <w:gridCol w:w="1188"/>
        <w:gridCol w:w="1799"/>
        <w:gridCol w:w="1507"/>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007"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行业名称</w:t>
            </w:r>
          </w:p>
        </w:tc>
        <w:tc>
          <w:tcPr>
            <w:tcW w:w="758"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指标名称</w:t>
            </w:r>
          </w:p>
        </w:tc>
        <w:tc>
          <w:tcPr>
            <w:tcW w:w="456"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计量</w:t>
            </w:r>
            <w:r>
              <w:rPr>
                <w:rFonts w:hint="eastAsia" w:ascii="宋体" w:hAnsi="宋体" w:eastAsia="宋体" w:cs="宋体"/>
                <w:b/>
                <w:bCs/>
                <w:color w:val="auto"/>
                <w:kern w:val="0"/>
                <w:sz w:val="18"/>
                <w:szCs w:val="18"/>
                <w:highlight w:val="none"/>
              </w:rPr>
              <w:br w:type="textWrapping"/>
            </w:r>
            <w:r>
              <w:rPr>
                <w:rFonts w:hint="eastAsia" w:ascii="宋体" w:hAnsi="宋体" w:eastAsia="宋体" w:cs="宋体"/>
                <w:b/>
                <w:bCs/>
                <w:color w:val="auto"/>
                <w:kern w:val="0"/>
                <w:sz w:val="18"/>
                <w:szCs w:val="18"/>
                <w:highlight w:val="none"/>
              </w:rPr>
              <w:t>单位</w:t>
            </w:r>
          </w:p>
        </w:tc>
        <w:tc>
          <w:tcPr>
            <w:tcW w:w="59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大型</w:t>
            </w:r>
          </w:p>
        </w:tc>
        <w:tc>
          <w:tcPr>
            <w:tcW w:w="90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中型</w:t>
            </w:r>
          </w:p>
        </w:tc>
        <w:tc>
          <w:tcPr>
            <w:tcW w:w="75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小型</w:t>
            </w:r>
          </w:p>
        </w:tc>
        <w:tc>
          <w:tcPr>
            <w:tcW w:w="52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07"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农、林、牧、渔业</w:t>
            </w:r>
          </w:p>
        </w:tc>
        <w:tc>
          <w:tcPr>
            <w:tcW w:w="758"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456"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59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90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500≤Y＜20000</w:t>
            </w:r>
          </w:p>
        </w:tc>
        <w:tc>
          <w:tcPr>
            <w:tcW w:w="75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50≤Y＜500</w:t>
            </w:r>
          </w:p>
        </w:tc>
        <w:tc>
          <w:tcPr>
            <w:tcW w:w="52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07" w:type="pct"/>
            <w:vMerge w:val="restar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工业 *</w:t>
            </w:r>
          </w:p>
        </w:tc>
        <w:tc>
          <w:tcPr>
            <w:tcW w:w="758"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456"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59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90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75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20≤X＜300</w:t>
            </w:r>
          </w:p>
        </w:tc>
        <w:tc>
          <w:tcPr>
            <w:tcW w:w="52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07" w:type="pct"/>
            <w:vMerge w:val="continue"/>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left"/>
              <w:textAlignment w:val="auto"/>
              <w:rPr>
                <w:rFonts w:hint="eastAsia" w:ascii="宋体" w:hAnsi="宋体" w:eastAsia="宋体" w:cs="宋体"/>
                <w:color w:val="auto"/>
                <w:kern w:val="0"/>
                <w:sz w:val="18"/>
                <w:szCs w:val="18"/>
                <w:highlight w:val="none"/>
              </w:rPr>
            </w:pPr>
          </w:p>
        </w:tc>
        <w:tc>
          <w:tcPr>
            <w:tcW w:w="758"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456"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59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90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75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300≤Y＜2000</w:t>
            </w:r>
          </w:p>
        </w:tc>
        <w:tc>
          <w:tcPr>
            <w:tcW w:w="52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07" w:type="pct"/>
            <w:vMerge w:val="restar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建筑业</w:t>
            </w:r>
          </w:p>
        </w:tc>
        <w:tc>
          <w:tcPr>
            <w:tcW w:w="758"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456"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59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Y≥80000</w:t>
            </w:r>
          </w:p>
        </w:tc>
        <w:tc>
          <w:tcPr>
            <w:tcW w:w="90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75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300≤Y＜6000</w:t>
            </w:r>
          </w:p>
        </w:tc>
        <w:tc>
          <w:tcPr>
            <w:tcW w:w="52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07" w:type="pct"/>
            <w:vMerge w:val="continue"/>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left"/>
              <w:textAlignment w:val="auto"/>
              <w:rPr>
                <w:rFonts w:hint="eastAsia" w:ascii="宋体" w:hAnsi="宋体" w:eastAsia="宋体" w:cs="宋体"/>
                <w:color w:val="auto"/>
                <w:kern w:val="0"/>
                <w:sz w:val="18"/>
                <w:szCs w:val="18"/>
                <w:highlight w:val="none"/>
              </w:rPr>
            </w:pPr>
          </w:p>
        </w:tc>
        <w:tc>
          <w:tcPr>
            <w:tcW w:w="758"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456"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59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Z≥80000</w:t>
            </w:r>
          </w:p>
        </w:tc>
        <w:tc>
          <w:tcPr>
            <w:tcW w:w="90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75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300≤Z＜5000</w:t>
            </w:r>
          </w:p>
        </w:tc>
        <w:tc>
          <w:tcPr>
            <w:tcW w:w="52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07" w:type="pct"/>
            <w:vMerge w:val="restar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批发业</w:t>
            </w:r>
          </w:p>
        </w:tc>
        <w:tc>
          <w:tcPr>
            <w:tcW w:w="758"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456"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59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90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75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5≤X＜20</w:t>
            </w:r>
          </w:p>
        </w:tc>
        <w:tc>
          <w:tcPr>
            <w:tcW w:w="52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07" w:type="pct"/>
            <w:vMerge w:val="continue"/>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left"/>
              <w:textAlignment w:val="auto"/>
              <w:rPr>
                <w:rFonts w:hint="eastAsia" w:ascii="宋体" w:hAnsi="宋体" w:eastAsia="宋体" w:cs="宋体"/>
                <w:color w:val="auto"/>
                <w:kern w:val="0"/>
                <w:sz w:val="18"/>
                <w:szCs w:val="18"/>
                <w:highlight w:val="none"/>
              </w:rPr>
            </w:pPr>
          </w:p>
        </w:tc>
        <w:tc>
          <w:tcPr>
            <w:tcW w:w="758"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456"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59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90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75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hanging="1"/>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52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07" w:type="pct"/>
            <w:vMerge w:val="restar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零售业</w:t>
            </w:r>
          </w:p>
        </w:tc>
        <w:tc>
          <w:tcPr>
            <w:tcW w:w="758"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456"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59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90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75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hanging="1"/>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10≤X＜50 </w:t>
            </w:r>
          </w:p>
        </w:tc>
        <w:tc>
          <w:tcPr>
            <w:tcW w:w="52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07" w:type="pct"/>
            <w:vMerge w:val="continue"/>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left"/>
              <w:textAlignment w:val="auto"/>
              <w:rPr>
                <w:rFonts w:hint="eastAsia" w:ascii="宋体" w:hAnsi="宋体" w:eastAsia="宋体" w:cs="宋体"/>
                <w:color w:val="auto"/>
                <w:kern w:val="0"/>
                <w:sz w:val="18"/>
                <w:szCs w:val="18"/>
                <w:highlight w:val="none"/>
              </w:rPr>
            </w:pPr>
          </w:p>
        </w:tc>
        <w:tc>
          <w:tcPr>
            <w:tcW w:w="758"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456"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59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90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500≤Y＜20000</w:t>
            </w:r>
          </w:p>
        </w:tc>
        <w:tc>
          <w:tcPr>
            <w:tcW w:w="75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hanging="1"/>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100≤Y＜500 </w:t>
            </w:r>
          </w:p>
        </w:tc>
        <w:tc>
          <w:tcPr>
            <w:tcW w:w="52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07" w:type="pct"/>
            <w:vMerge w:val="restar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交通运输业 *</w:t>
            </w:r>
          </w:p>
        </w:tc>
        <w:tc>
          <w:tcPr>
            <w:tcW w:w="758"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456"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59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90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75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20≤X＜300</w:t>
            </w:r>
          </w:p>
        </w:tc>
        <w:tc>
          <w:tcPr>
            <w:tcW w:w="52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07" w:type="pct"/>
            <w:vMerge w:val="continue"/>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left"/>
              <w:textAlignment w:val="auto"/>
              <w:rPr>
                <w:rFonts w:hint="eastAsia" w:ascii="宋体" w:hAnsi="宋体" w:eastAsia="宋体" w:cs="宋体"/>
                <w:color w:val="auto"/>
                <w:kern w:val="0"/>
                <w:sz w:val="18"/>
                <w:szCs w:val="18"/>
                <w:highlight w:val="none"/>
              </w:rPr>
            </w:pPr>
          </w:p>
        </w:tc>
        <w:tc>
          <w:tcPr>
            <w:tcW w:w="758"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456"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59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90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75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200≤Y＜3000</w:t>
            </w:r>
          </w:p>
        </w:tc>
        <w:tc>
          <w:tcPr>
            <w:tcW w:w="52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07" w:type="pct"/>
            <w:vMerge w:val="restar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仓储业*</w:t>
            </w:r>
          </w:p>
        </w:tc>
        <w:tc>
          <w:tcPr>
            <w:tcW w:w="758"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456"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59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90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108" w:leftChars="0" w:hanging="108" w:hangingChars="6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75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20≤X＜100</w:t>
            </w:r>
          </w:p>
        </w:tc>
        <w:tc>
          <w:tcPr>
            <w:tcW w:w="52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07" w:type="pct"/>
            <w:vMerge w:val="continue"/>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left"/>
              <w:textAlignment w:val="auto"/>
              <w:rPr>
                <w:rFonts w:hint="eastAsia" w:ascii="宋体" w:hAnsi="宋体" w:eastAsia="宋体" w:cs="宋体"/>
                <w:color w:val="auto"/>
                <w:kern w:val="0"/>
                <w:sz w:val="18"/>
                <w:szCs w:val="18"/>
                <w:highlight w:val="none"/>
              </w:rPr>
            </w:pPr>
          </w:p>
        </w:tc>
        <w:tc>
          <w:tcPr>
            <w:tcW w:w="758"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456"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59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90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75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100≤Y＜1000</w:t>
            </w:r>
          </w:p>
        </w:tc>
        <w:tc>
          <w:tcPr>
            <w:tcW w:w="52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07" w:type="pct"/>
            <w:vMerge w:val="restar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邮政业</w:t>
            </w:r>
          </w:p>
        </w:tc>
        <w:tc>
          <w:tcPr>
            <w:tcW w:w="758"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456"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59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90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75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20≤X＜300</w:t>
            </w:r>
          </w:p>
        </w:tc>
        <w:tc>
          <w:tcPr>
            <w:tcW w:w="52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07" w:type="pct"/>
            <w:vMerge w:val="continue"/>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left"/>
              <w:textAlignment w:val="auto"/>
              <w:rPr>
                <w:rFonts w:hint="eastAsia" w:ascii="宋体" w:hAnsi="宋体" w:eastAsia="宋体" w:cs="宋体"/>
                <w:color w:val="auto"/>
                <w:kern w:val="0"/>
                <w:sz w:val="18"/>
                <w:szCs w:val="18"/>
                <w:highlight w:val="none"/>
              </w:rPr>
            </w:pPr>
          </w:p>
        </w:tc>
        <w:tc>
          <w:tcPr>
            <w:tcW w:w="758"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456"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59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90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75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100≤Y＜2000</w:t>
            </w:r>
          </w:p>
        </w:tc>
        <w:tc>
          <w:tcPr>
            <w:tcW w:w="52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07" w:type="pct"/>
            <w:vMerge w:val="restar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住宿业</w:t>
            </w:r>
          </w:p>
        </w:tc>
        <w:tc>
          <w:tcPr>
            <w:tcW w:w="758"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456"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59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90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108" w:leftChars="0" w:hanging="108" w:hangingChars="6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75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10≤X＜100</w:t>
            </w:r>
          </w:p>
        </w:tc>
        <w:tc>
          <w:tcPr>
            <w:tcW w:w="52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07" w:type="pct"/>
            <w:vMerge w:val="continue"/>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left"/>
              <w:textAlignment w:val="auto"/>
              <w:rPr>
                <w:rFonts w:hint="eastAsia" w:ascii="宋体" w:hAnsi="宋体" w:eastAsia="宋体" w:cs="宋体"/>
                <w:color w:val="auto"/>
                <w:kern w:val="0"/>
                <w:sz w:val="18"/>
                <w:szCs w:val="18"/>
                <w:highlight w:val="none"/>
              </w:rPr>
            </w:pPr>
          </w:p>
        </w:tc>
        <w:tc>
          <w:tcPr>
            <w:tcW w:w="758"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456"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59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90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75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100≤Y＜2000</w:t>
            </w:r>
          </w:p>
        </w:tc>
        <w:tc>
          <w:tcPr>
            <w:tcW w:w="52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07" w:type="pct"/>
            <w:vMerge w:val="restar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餐饮业</w:t>
            </w:r>
          </w:p>
        </w:tc>
        <w:tc>
          <w:tcPr>
            <w:tcW w:w="758"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456"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59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90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108" w:leftChars="0" w:hanging="108" w:hangingChars="6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75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10≤X＜100</w:t>
            </w:r>
          </w:p>
        </w:tc>
        <w:tc>
          <w:tcPr>
            <w:tcW w:w="52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07" w:type="pct"/>
            <w:vMerge w:val="continue"/>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left"/>
              <w:textAlignment w:val="auto"/>
              <w:rPr>
                <w:rFonts w:hint="eastAsia" w:ascii="宋体" w:hAnsi="宋体" w:eastAsia="宋体" w:cs="宋体"/>
                <w:color w:val="auto"/>
                <w:kern w:val="0"/>
                <w:sz w:val="18"/>
                <w:szCs w:val="18"/>
                <w:highlight w:val="none"/>
              </w:rPr>
            </w:pPr>
          </w:p>
        </w:tc>
        <w:tc>
          <w:tcPr>
            <w:tcW w:w="758"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456"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59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90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75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100≤Y＜2000</w:t>
            </w:r>
          </w:p>
        </w:tc>
        <w:tc>
          <w:tcPr>
            <w:tcW w:w="52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07" w:type="pct"/>
            <w:vMerge w:val="restar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信息传输业 *</w:t>
            </w:r>
          </w:p>
        </w:tc>
        <w:tc>
          <w:tcPr>
            <w:tcW w:w="758"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456"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59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X≥2000</w:t>
            </w:r>
          </w:p>
        </w:tc>
        <w:tc>
          <w:tcPr>
            <w:tcW w:w="90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75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10≤X＜100</w:t>
            </w:r>
          </w:p>
        </w:tc>
        <w:tc>
          <w:tcPr>
            <w:tcW w:w="52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07" w:type="pct"/>
            <w:vMerge w:val="continue"/>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left"/>
              <w:textAlignment w:val="auto"/>
              <w:rPr>
                <w:rFonts w:hint="eastAsia" w:ascii="宋体" w:hAnsi="宋体" w:eastAsia="宋体" w:cs="宋体"/>
                <w:color w:val="auto"/>
                <w:kern w:val="0"/>
                <w:sz w:val="18"/>
                <w:szCs w:val="18"/>
                <w:highlight w:val="none"/>
              </w:rPr>
            </w:pPr>
          </w:p>
        </w:tc>
        <w:tc>
          <w:tcPr>
            <w:tcW w:w="758"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456"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59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Y≥100000</w:t>
            </w:r>
          </w:p>
        </w:tc>
        <w:tc>
          <w:tcPr>
            <w:tcW w:w="90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1000≤Y＜100000</w:t>
            </w:r>
          </w:p>
        </w:tc>
        <w:tc>
          <w:tcPr>
            <w:tcW w:w="75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100≤Y＜1000</w:t>
            </w:r>
          </w:p>
        </w:tc>
        <w:tc>
          <w:tcPr>
            <w:tcW w:w="52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07" w:type="pct"/>
            <w:vMerge w:val="restar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left"/>
              <w:textAlignment w:val="auto"/>
              <w:rPr>
                <w:rFonts w:hint="eastAsia" w:ascii="宋体" w:hAnsi="宋体" w:eastAsia="宋体" w:cs="宋体"/>
                <w:color w:val="auto"/>
                <w:spacing w:val="-12"/>
                <w:kern w:val="0"/>
                <w:sz w:val="18"/>
                <w:szCs w:val="18"/>
                <w:highlight w:val="none"/>
              </w:rPr>
            </w:pPr>
            <w:r>
              <w:rPr>
                <w:rFonts w:hint="eastAsia" w:ascii="宋体" w:hAnsi="宋体" w:eastAsia="宋体" w:cs="宋体"/>
                <w:color w:val="auto"/>
                <w:spacing w:val="-12"/>
                <w:kern w:val="0"/>
                <w:sz w:val="18"/>
                <w:szCs w:val="18"/>
                <w:highlight w:val="none"/>
              </w:rPr>
              <w:t>软件和信息技术服</w:t>
            </w:r>
            <w:r>
              <w:rPr>
                <w:rFonts w:hint="eastAsia" w:ascii="宋体" w:hAnsi="宋体" w:eastAsia="宋体" w:cs="宋体"/>
                <w:color w:val="auto"/>
                <w:kern w:val="0"/>
                <w:sz w:val="18"/>
                <w:szCs w:val="18"/>
                <w:highlight w:val="none"/>
              </w:rPr>
              <w:t>务业</w:t>
            </w:r>
          </w:p>
        </w:tc>
        <w:tc>
          <w:tcPr>
            <w:tcW w:w="758"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456"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59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90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108" w:leftChars="0" w:hanging="108" w:hangingChars="6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75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10≤X＜100</w:t>
            </w:r>
          </w:p>
        </w:tc>
        <w:tc>
          <w:tcPr>
            <w:tcW w:w="52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07" w:type="pct"/>
            <w:vMerge w:val="continue"/>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left"/>
              <w:textAlignment w:val="auto"/>
              <w:rPr>
                <w:rFonts w:hint="eastAsia" w:ascii="宋体" w:hAnsi="宋体" w:eastAsia="宋体" w:cs="宋体"/>
                <w:color w:val="auto"/>
                <w:spacing w:val="-12"/>
                <w:kern w:val="0"/>
                <w:sz w:val="18"/>
                <w:szCs w:val="18"/>
                <w:highlight w:val="none"/>
              </w:rPr>
            </w:pPr>
          </w:p>
        </w:tc>
        <w:tc>
          <w:tcPr>
            <w:tcW w:w="758"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456"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59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90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75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50≤Y＜1000</w:t>
            </w:r>
          </w:p>
        </w:tc>
        <w:tc>
          <w:tcPr>
            <w:tcW w:w="52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07" w:type="pct"/>
            <w:vMerge w:val="restar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房地产开发经营</w:t>
            </w:r>
          </w:p>
        </w:tc>
        <w:tc>
          <w:tcPr>
            <w:tcW w:w="758"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456"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59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Y≥200000</w:t>
            </w:r>
          </w:p>
        </w:tc>
        <w:tc>
          <w:tcPr>
            <w:tcW w:w="90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1000≤Y＜200000</w:t>
            </w:r>
          </w:p>
        </w:tc>
        <w:tc>
          <w:tcPr>
            <w:tcW w:w="75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100≤Y＜1000</w:t>
            </w:r>
          </w:p>
        </w:tc>
        <w:tc>
          <w:tcPr>
            <w:tcW w:w="52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07" w:type="pct"/>
            <w:vMerge w:val="continue"/>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left"/>
              <w:textAlignment w:val="auto"/>
              <w:rPr>
                <w:rFonts w:hint="eastAsia" w:ascii="宋体" w:hAnsi="宋体" w:eastAsia="宋体" w:cs="宋体"/>
                <w:color w:val="auto"/>
                <w:kern w:val="0"/>
                <w:sz w:val="18"/>
                <w:szCs w:val="18"/>
                <w:highlight w:val="none"/>
              </w:rPr>
            </w:pPr>
          </w:p>
        </w:tc>
        <w:tc>
          <w:tcPr>
            <w:tcW w:w="758"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456"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59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Z≥10000</w:t>
            </w:r>
          </w:p>
        </w:tc>
        <w:tc>
          <w:tcPr>
            <w:tcW w:w="90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75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2000≤Z＜5000 </w:t>
            </w:r>
          </w:p>
        </w:tc>
        <w:tc>
          <w:tcPr>
            <w:tcW w:w="52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07" w:type="pct"/>
            <w:vMerge w:val="restar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物业管理</w:t>
            </w:r>
          </w:p>
        </w:tc>
        <w:tc>
          <w:tcPr>
            <w:tcW w:w="758"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456"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59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90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75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52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07" w:type="pct"/>
            <w:vMerge w:val="continue"/>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left"/>
              <w:textAlignment w:val="auto"/>
              <w:rPr>
                <w:rFonts w:hint="eastAsia" w:ascii="宋体" w:hAnsi="宋体" w:eastAsia="宋体" w:cs="宋体"/>
                <w:color w:val="auto"/>
                <w:kern w:val="0"/>
                <w:sz w:val="18"/>
                <w:szCs w:val="18"/>
                <w:highlight w:val="none"/>
              </w:rPr>
            </w:pPr>
          </w:p>
        </w:tc>
        <w:tc>
          <w:tcPr>
            <w:tcW w:w="758"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456"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59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Y≥5000</w:t>
            </w:r>
          </w:p>
        </w:tc>
        <w:tc>
          <w:tcPr>
            <w:tcW w:w="90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108" w:leftChars="0" w:hanging="108" w:hangingChars="6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1000≤Y＜5000 </w:t>
            </w:r>
          </w:p>
        </w:tc>
        <w:tc>
          <w:tcPr>
            <w:tcW w:w="75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500≤Y＜1000</w:t>
            </w:r>
          </w:p>
        </w:tc>
        <w:tc>
          <w:tcPr>
            <w:tcW w:w="52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07" w:type="pct"/>
            <w:vMerge w:val="restar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租赁和商务服务业</w:t>
            </w:r>
          </w:p>
        </w:tc>
        <w:tc>
          <w:tcPr>
            <w:tcW w:w="758"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456"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59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90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108" w:leftChars="0" w:hanging="108" w:hangingChars="6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75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10≤X＜100</w:t>
            </w:r>
          </w:p>
        </w:tc>
        <w:tc>
          <w:tcPr>
            <w:tcW w:w="52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07" w:type="pct"/>
            <w:vMerge w:val="continue"/>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left"/>
              <w:textAlignment w:val="auto"/>
              <w:rPr>
                <w:rFonts w:hint="eastAsia" w:ascii="宋体" w:hAnsi="宋体" w:eastAsia="宋体" w:cs="宋体"/>
                <w:color w:val="auto"/>
                <w:kern w:val="0"/>
                <w:sz w:val="18"/>
                <w:szCs w:val="18"/>
                <w:highlight w:val="none"/>
              </w:rPr>
            </w:pPr>
          </w:p>
        </w:tc>
        <w:tc>
          <w:tcPr>
            <w:tcW w:w="758"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456"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59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Z≥120000</w:t>
            </w:r>
          </w:p>
        </w:tc>
        <w:tc>
          <w:tcPr>
            <w:tcW w:w="90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8000≤Z＜120000</w:t>
            </w:r>
          </w:p>
        </w:tc>
        <w:tc>
          <w:tcPr>
            <w:tcW w:w="75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100≤Z＜8000</w:t>
            </w:r>
          </w:p>
        </w:tc>
        <w:tc>
          <w:tcPr>
            <w:tcW w:w="52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07"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其他未列明行业 *</w:t>
            </w:r>
          </w:p>
        </w:tc>
        <w:tc>
          <w:tcPr>
            <w:tcW w:w="758"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456"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59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90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108" w:leftChars="0" w:hanging="108" w:hangingChars="6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75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10≤X＜100</w:t>
            </w:r>
          </w:p>
        </w:tc>
        <w:tc>
          <w:tcPr>
            <w:tcW w:w="52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28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pPr>
        <w:keepNext w:val="0"/>
        <w:keepLines w:val="0"/>
        <w:pageBreakBefore w:val="0"/>
        <w:widowControl/>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rPr>
        <w:t>说明：</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rPr>
        <w:t>1.大型、中型和小型企业须同时满足所列指标的下限，否则下划一档；微型企业只须满足所列指标中的一项即可。</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rPr>
        <w:t>2.附表中各行业的范围以《国民经济行业分类》</w:t>
      </w:r>
      <w:r>
        <w:rPr>
          <w:rFonts w:hint="eastAsia" w:cs="宋体"/>
          <w:color w:val="auto"/>
          <w:spacing w:val="8"/>
          <w:kern w:val="0"/>
          <w:sz w:val="24"/>
          <w:szCs w:val="24"/>
          <w:highlight w:val="none"/>
          <w:lang w:eastAsia="zh-CN"/>
        </w:rPr>
        <w:t>(</w:t>
      </w:r>
      <w:r>
        <w:rPr>
          <w:rFonts w:hint="eastAsia" w:ascii="宋体" w:hAnsi="宋体" w:eastAsia="宋体" w:cs="宋体"/>
          <w:color w:val="auto"/>
          <w:spacing w:val="8"/>
          <w:kern w:val="0"/>
          <w:sz w:val="24"/>
          <w:szCs w:val="24"/>
          <w:highlight w:val="none"/>
        </w:rPr>
        <w:t>GB/T4754-2017</w:t>
      </w:r>
      <w:r>
        <w:rPr>
          <w:rFonts w:hint="eastAsia" w:cs="宋体"/>
          <w:color w:val="auto"/>
          <w:spacing w:val="8"/>
          <w:kern w:val="0"/>
          <w:sz w:val="24"/>
          <w:szCs w:val="24"/>
          <w:highlight w:val="none"/>
          <w:lang w:eastAsia="zh-CN"/>
        </w:rPr>
        <w:t>)</w:t>
      </w:r>
      <w:r>
        <w:rPr>
          <w:rFonts w:hint="eastAsia" w:ascii="宋体" w:hAnsi="宋体" w:eastAsia="宋体" w:cs="宋体"/>
          <w:color w:val="auto"/>
          <w:spacing w:val="8"/>
          <w:kern w:val="0"/>
          <w:sz w:val="24"/>
          <w:szCs w:val="24"/>
          <w:highlight w:val="none"/>
        </w:rPr>
        <w:t>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cs="宋体"/>
          <w:color w:val="auto"/>
          <w:spacing w:val="8"/>
          <w:kern w:val="0"/>
          <w:sz w:val="24"/>
          <w:szCs w:val="24"/>
          <w:highlight w:val="none"/>
          <w:lang w:eastAsia="zh-CN"/>
        </w:rPr>
        <w:t>；</w:t>
      </w:r>
      <w:r>
        <w:rPr>
          <w:rFonts w:hint="eastAsia" w:ascii="宋体" w:hAnsi="宋体" w:eastAsia="宋体" w:cs="宋体"/>
          <w:color w:val="auto"/>
          <w:spacing w:val="8"/>
          <w:kern w:val="0"/>
          <w:sz w:val="24"/>
          <w:szCs w:val="24"/>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keepNext w:val="0"/>
        <w:keepLines w:val="0"/>
        <w:pageBreakBefore w:val="0"/>
        <w:kinsoku/>
        <w:wordWrap/>
        <w:overflowPunct/>
        <w:topLinePunct w:val="0"/>
        <w:autoSpaceDE/>
        <w:autoSpaceDN/>
        <w:bidi w:val="0"/>
        <w:ind w:left="0" w:firstLine="512" w:firstLineChars="200"/>
        <w:textAlignment w:val="auto"/>
        <w:rPr>
          <w:color w:val="auto"/>
          <w:highlight w:val="none"/>
        </w:rPr>
      </w:pPr>
      <w:r>
        <w:rPr>
          <w:rFonts w:hint="eastAsia" w:ascii="宋体" w:hAnsi="宋体" w:eastAsia="宋体" w:cs="宋体"/>
          <w:color w:val="auto"/>
          <w:spacing w:val="8"/>
          <w:kern w:val="0"/>
          <w:sz w:val="24"/>
          <w:szCs w:val="24"/>
          <w:highlight w:val="none"/>
        </w:rPr>
        <w:t>3.企业划分指标以现行统计制度为准。</w:t>
      </w:r>
      <w:r>
        <w:rPr>
          <w:rFonts w:hint="eastAsia" w:cs="宋体"/>
          <w:color w:val="auto"/>
          <w:spacing w:val="8"/>
          <w:kern w:val="0"/>
          <w:sz w:val="24"/>
          <w:szCs w:val="24"/>
          <w:highlight w:val="none"/>
          <w:lang w:eastAsia="zh-CN"/>
        </w:rPr>
        <w:t>(</w:t>
      </w:r>
      <w:r>
        <w:rPr>
          <w:rFonts w:hint="eastAsia" w:ascii="宋体" w:hAnsi="宋体" w:eastAsia="宋体" w:cs="宋体"/>
          <w:color w:val="auto"/>
          <w:spacing w:val="8"/>
          <w:kern w:val="0"/>
          <w:sz w:val="24"/>
          <w:szCs w:val="24"/>
          <w:highlight w:val="none"/>
        </w:rPr>
        <w:t>1</w:t>
      </w:r>
      <w:r>
        <w:rPr>
          <w:rFonts w:hint="eastAsia" w:cs="宋体"/>
          <w:color w:val="auto"/>
          <w:spacing w:val="8"/>
          <w:kern w:val="0"/>
          <w:sz w:val="24"/>
          <w:szCs w:val="24"/>
          <w:highlight w:val="none"/>
          <w:lang w:eastAsia="zh-CN"/>
        </w:rPr>
        <w:t>)</w:t>
      </w:r>
      <w:r>
        <w:rPr>
          <w:rFonts w:hint="eastAsia" w:ascii="宋体" w:hAnsi="宋体" w:eastAsia="宋体" w:cs="宋体"/>
          <w:color w:val="auto"/>
          <w:spacing w:val="8"/>
          <w:kern w:val="0"/>
          <w:sz w:val="24"/>
          <w:szCs w:val="24"/>
          <w:highlight w:val="none"/>
        </w:rPr>
        <w:t>从业人员，是指期末从业人员数，没有期末从业人员数的，采用全年平均人员数代替。</w:t>
      </w:r>
      <w:r>
        <w:rPr>
          <w:rFonts w:hint="eastAsia" w:cs="宋体"/>
          <w:color w:val="auto"/>
          <w:spacing w:val="8"/>
          <w:kern w:val="0"/>
          <w:sz w:val="24"/>
          <w:szCs w:val="24"/>
          <w:highlight w:val="none"/>
          <w:lang w:eastAsia="zh-CN"/>
        </w:rPr>
        <w:t>(</w:t>
      </w:r>
      <w:r>
        <w:rPr>
          <w:rFonts w:hint="eastAsia" w:ascii="宋体" w:hAnsi="宋体" w:eastAsia="宋体" w:cs="宋体"/>
          <w:color w:val="auto"/>
          <w:spacing w:val="8"/>
          <w:kern w:val="0"/>
          <w:sz w:val="24"/>
          <w:szCs w:val="24"/>
          <w:highlight w:val="none"/>
        </w:rPr>
        <w:t>2</w:t>
      </w:r>
      <w:r>
        <w:rPr>
          <w:rFonts w:hint="eastAsia" w:cs="宋体"/>
          <w:color w:val="auto"/>
          <w:spacing w:val="8"/>
          <w:kern w:val="0"/>
          <w:sz w:val="24"/>
          <w:szCs w:val="24"/>
          <w:highlight w:val="none"/>
          <w:lang w:eastAsia="zh-CN"/>
        </w:rPr>
        <w:t>)</w:t>
      </w:r>
      <w:r>
        <w:rPr>
          <w:rFonts w:hint="eastAsia" w:ascii="宋体" w:hAnsi="宋体" w:eastAsia="宋体" w:cs="宋体"/>
          <w:color w:val="auto"/>
          <w:spacing w:val="8"/>
          <w:kern w:val="0"/>
          <w:sz w:val="24"/>
          <w:szCs w:val="24"/>
          <w:highlight w:val="none"/>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cs="宋体"/>
          <w:color w:val="auto"/>
          <w:spacing w:val="8"/>
          <w:kern w:val="0"/>
          <w:sz w:val="24"/>
          <w:szCs w:val="24"/>
          <w:highlight w:val="none"/>
          <w:lang w:eastAsia="zh-CN"/>
        </w:rPr>
        <w:t>(</w:t>
      </w:r>
      <w:r>
        <w:rPr>
          <w:rFonts w:hint="eastAsia" w:ascii="宋体" w:hAnsi="宋体" w:eastAsia="宋体" w:cs="宋体"/>
          <w:color w:val="auto"/>
          <w:spacing w:val="8"/>
          <w:kern w:val="0"/>
          <w:sz w:val="24"/>
          <w:szCs w:val="24"/>
          <w:highlight w:val="none"/>
        </w:rPr>
        <w:t>3</w:t>
      </w:r>
      <w:r>
        <w:rPr>
          <w:rFonts w:hint="eastAsia" w:cs="宋体"/>
          <w:color w:val="auto"/>
          <w:spacing w:val="8"/>
          <w:kern w:val="0"/>
          <w:sz w:val="24"/>
          <w:szCs w:val="24"/>
          <w:highlight w:val="none"/>
          <w:lang w:eastAsia="zh-CN"/>
        </w:rPr>
        <w:t>)</w:t>
      </w:r>
      <w:r>
        <w:rPr>
          <w:rFonts w:hint="eastAsia" w:ascii="宋体" w:hAnsi="宋体" w:eastAsia="宋体" w:cs="宋体"/>
          <w:color w:val="auto"/>
          <w:spacing w:val="8"/>
          <w:kern w:val="0"/>
          <w:sz w:val="24"/>
          <w:szCs w:val="24"/>
          <w:highlight w:val="none"/>
        </w:rPr>
        <w:t>资产总额，采用资产总计代替。</w:t>
      </w:r>
    </w:p>
    <w:sectPr>
      <w:headerReference r:id="rId15" w:type="first"/>
      <w:footerReference r:id="rId17" w:type="first"/>
      <w:headerReference r:id="rId14" w:type="default"/>
      <w:footerReference r:id="rId16" w:type="default"/>
      <w:pgSz w:w="11906" w:h="16838"/>
      <w:pgMar w:top="1440" w:right="1080" w:bottom="1440" w:left="1080" w:header="851" w:footer="992" w:gutter="0"/>
      <w:pgNumType w:fmt="decimal"/>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71F0C9-2069-4DA0-A548-4E41427520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8EDAC49-2907-4C20-8003-3BD9E5850DF2}"/>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embedRegular r:id="rId3" w:fontKey="{3008B773-1A8C-452E-9E9B-5E82D6A5D7B9}"/>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ind w:right="360"/>
      <w:rPr>
        <w:rFonts w:hint="eastAsia"/>
        <w:sz w:val="15"/>
        <w:szCs w:val="15"/>
      </w:rPr>
    </w:pPr>
    <w:r>
      <w:rPr>
        <w:rFonts w:ascii="宋体" w:hAnsi="Calibri" w:eastAsia="宋体" w:cs="黑体"/>
        <w:sz w:val="15"/>
        <w:szCs w:val="20"/>
        <w:lang w:val="en-US" w:eastAsia="zh-CN" w:bidi="ar-SA"/>
      </w:rPr>
      <mc:AlternateContent>
        <mc:Choice Requires="wps">
          <w:drawing>
            <wp:anchor distT="0" distB="0" distL="114300" distR="114300" simplePos="0" relativeHeight="251661312" behindDoc="0" locked="0" layoutInCell="1" allowOverlap="1">
              <wp:simplePos x="0" y="0"/>
              <wp:positionH relativeFrom="margin">
                <wp:posOffset>3034665</wp:posOffset>
              </wp:positionH>
              <wp:positionV relativeFrom="paragraph">
                <wp:posOffset>0</wp:posOffset>
              </wp:positionV>
              <wp:extent cx="114935" cy="147955"/>
              <wp:effectExtent l="0" t="0" r="0" b="0"/>
              <wp:wrapNone/>
              <wp:docPr id="4" name="矩形 4"/>
              <wp:cNvGraphicFramePr/>
              <a:graphic xmlns:a="http://schemas.openxmlformats.org/drawingml/2006/main">
                <a:graphicData uri="http://schemas.microsoft.com/office/word/2010/wordprocessingShape">
                  <wps:wsp>
                    <wps:cNvSpPr/>
                    <wps:spPr>
                      <a:xfrm>
                        <a:off x="0" y="0"/>
                        <a:ext cx="114935" cy="147955"/>
                      </a:xfrm>
                      <a:prstGeom prst="rect">
                        <a:avLst/>
                      </a:prstGeom>
                      <a:noFill/>
                      <a:ln>
                        <a:noFill/>
                      </a:ln>
                    </wps:spPr>
                    <wps:txbx>
                      <w:txbxContent>
                        <w:p>
                          <w:pPr>
                            <w:snapToGrid w:val="0"/>
                            <w:rPr>
                              <w:rFonts w:hint="eastAsia"/>
                              <w:sz w:val="18"/>
                            </w:rPr>
                          </w:pPr>
                        </w:p>
                      </w:txbxContent>
                    </wps:txbx>
                    <wps:bodyPr wrap="none" lIns="0" tIns="0" rIns="0" bIns="0" upright="1">
                      <a:spAutoFit/>
                    </wps:bodyPr>
                  </wps:wsp>
                </a:graphicData>
              </a:graphic>
            </wp:anchor>
          </w:drawing>
        </mc:Choice>
        <mc:Fallback>
          <w:pict>
            <v:rect id="_x0000_s1026" o:spid="_x0000_s1026" o:spt="1" style="position:absolute;left:0pt;margin-left:238.95pt;margin-top:0pt;height:11.65pt;width:9.05pt;mso-position-horizontal-relative:margin;mso-wrap-style:none;z-index:251661312;mso-width-relative:page;mso-height-relative:page;" filled="f" stroked="f" coordsize="21600,21600" o:gfxdata="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M/edfWAAAABwEAAA8AAAAAAAAAAQAgAAAAIgAAAGRycy9kb3ducmV2&#10;LnhtbFBLAQIUABQAAAAIAIdO4kBuI/RkxQEAAIoDAAAOAAAAAAAAAAEAIAAAACUBAABkcnMvZTJv&#10;RG9jLnhtbFBLBQYAAAAABgAGAFkBAABcBQAAAAA=&#10;">
              <v:fill on="f" focussize="0,0"/>
              <v:stroke on="f"/>
              <v:imagedata o:title=""/>
              <o:lock v:ext="edit" aspectratio="f"/>
              <v:textbox inset="0mm,0mm,0mm,0mm" style="mso-fit-shape-to-text:t;">
                <w:txbxContent>
                  <w:p>
                    <w:pPr>
                      <w:snapToGrid w:val="0"/>
                      <w:rPr>
                        <w:rFonts w:hint="eastAsia"/>
                        <w:sz w:val="18"/>
                      </w:rPr>
                    </w:pPr>
                  </w:p>
                </w:txbxContent>
              </v:textbox>
            </v:rect>
          </w:pict>
        </mc:Fallback>
      </mc:AlternateContent>
    </w:r>
    <w:r>
      <w:rPr>
        <w:rFonts w:hint="eastAsia"/>
        <w:sz w:val="15"/>
        <w:szCs w:val="15"/>
      </w:rPr>
      <w:t>地址：</w:t>
    </w:r>
    <w:r>
      <w:rPr>
        <w:rFonts w:hint="eastAsia"/>
        <w:sz w:val="15"/>
        <w:szCs w:val="15"/>
        <w:lang w:eastAsia="zh-CN"/>
      </w:rPr>
      <w:t>成都市高新区吉庆三路333号蜀都中心二期一号楼一单元401号</w:t>
    </w:r>
    <w:r>
      <w:rPr>
        <w:rFonts w:hint="eastAsia"/>
        <w:sz w:val="15"/>
        <w:szCs w:val="15"/>
      </w:rPr>
      <w:t xml:space="preserve">                                  </w:t>
    </w:r>
    <w:r>
      <w:rPr>
        <w:rFonts w:hint="eastAsia"/>
        <w:sz w:val="15"/>
        <w:szCs w:val="15"/>
        <w:lang w:val="en-US" w:eastAsia="zh-CN"/>
      </w:rPr>
      <w:t xml:space="preserve">      </w:t>
    </w:r>
    <w:r>
      <w:rPr>
        <w:rFonts w:hint="eastAsia"/>
        <w:sz w:val="15"/>
        <w:szCs w:val="15"/>
      </w:rPr>
      <w:t xml:space="preserve"> 邮政编码：610041</w:t>
    </w:r>
  </w:p>
  <w:p>
    <w:pPr>
      <w:pStyle w:val="14"/>
      <w:tabs>
        <w:tab w:val="center" w:pos="4153"/>
        <w:tab w:val="right" w:pos="8306"/>
        <w:tab w:val="clear" w:pos="0"/>
      </w:tabs>
      <w:ind w:right="360"/>
      <w:rPr>
        <w:rFonts w:hint="eastAsia"/>
        <w:lang w:val="en-US" w:eastAsia="zh-CN"/>
      </w:rPr>
    </w:pPr>
    <w:r>
      <w:rPr>
        <w:rFonts w:hint="eastAsia"/>
        <w:sz w:val="15"/>
        <w:szCs w:val="15"/>
      </w:rPr>
      <w:t>电话(TEL)</w:t>
    </w:r>
    <w:r>
      <w:rPr>
        <w:rFonts w:hint="eastAsia"/>
        <w:sz w:val="15"/>
        <w:szCs w:val="15"/>
        <w:lang w:eastAsia="zh-CN"/>
      </w:rPr>
      <w:t>：</w:t>
    </w:r>
    <w:r>
      <w:rPr>
        <w:rFonts w:hint="eastAsia"/>
        <w:sz w:val="15"/>
        <w:szCs w:val="15"/>
      </w:rPr>
      <w:t>86-028-6137557</w:t>
    </w:r>
    <w:r>
      <w:rPr>
        <w:rFonts w:hint="eastAsia"/>
        <w:sz w:val="15"/>
        <w:szCs w:val="15"/>
        <w:lang w:eastAsia="zh-CN"/>
      </w:rPr>
      <w:t>5、</w:t>
    </w:r>
    <w:r>
      <w:rPr>
        <w:rFonts w:hint="eastAsia"/>
        <w:sz w:val="15"/>
        <w:szCs w:val="15"/>
      </w:rPr>
      <w:t xml:space="preserve">62600820、62630990                                           </w:t>
    </w:r>
    <w:r>
      <w:rPr>
        <w:rFonts w:hint="eastAsia"/>
        <w:sz w:val="15"/>
        <w:szCs w:val="15"/>
        <w:lang w:val="en-US" w:eastAsia="zh-CN"/>
      </w:rPr>
      <w:t xml:space="preserve">          </w:t>
    </w:r>
    <w:r>
      <w:rPr>
        <w:rFonts w:hint="eastAsia"/>
        <w:sz w:val="15"/>
        <w:szCs w:val="15"/>
      </w:rPr>
      <w:t xml:space="preserve"> </w:t>
    </w:r>
    <w:r>
      <w:rPr>
        <w:rFonts w:hint="eastAsia"/>
        <w:sz w:val="15"/>
        <w:szCs w:val="15"/>
        <w:lang w:val="en-US" w:eastAsia="zh-CN"/>
      </w:rPr>
      <w:t xml:space="preserve">      </w:t>
    </w:r>
    <w:r>
      <w:rPr>
        <w:rFonts w:hint="eastAsia"/>
        <w:sz w:val="15"/>
        <w:szCs w:val="15"/>
      </w:rPr>
      <w:t>传真(FAX)</w:t>
    </w:r>
    <w:r>
      <w:rPr>
        <w:rFonts w:hint="eastAsia"/>
        <w:sz w:val="15"/>
        <w:szCs w:val="15"/>
        <w:lang w:eastAsia="zh-CN"/>
      </w:rPr>
      <w:t>：</w:t>
    </w:r>
    <w:r>
      <w:rPr>
        <w:rFonts w:hint="eastAsia"/>
        <w:sz w:val="15"/>
        <w:szCs w:val="15"/>
        <w:lang w:val="en-US" w:eastAsia="zh-CN"/>
      </w:rPr>
      <w:t>028-</w:t>
    </w:r>
    <w:r>
      <w:rPr>
        <w:rFonts w:hint="eastAsia"/>
        <w:sz w:val="15"/>
        <w:szCs w:val="15"/>
      </w:rPr>
      <w:t>83381</w:t>
    </w:r>
    <w:r>
      <w:rPr>
        <w:rFonts w:hint="eastAsia"/>
        <w:sz w:val="15"/>
        <w:szCs w:val="15"/>
        <w:lang w:val="en-US" w:eastAsia="zh-CN"/>
      </w:rPr>
      <w:t>268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left"/>
      <w:rPr>
        <w:rFonts w:hint="eastAsia"/>
        <w:b/>
        <w:bCs/>
        <w:szCs w:val="18"/>
      </w:rPr>
    </w:pPr>
    <w:r>
      <w:rPr>
        <w:rFonts w:ascii="宋体" w:hAnsi="Calibri" w:eastAsia="宋体" w:cs="黑体"/>
        <w:sz w:val="20"/>
        <w:szCs w:val="11"/>
        <w:lang w:val="zh-CN" w:eastAsia="zh-CN" w:bidi="ar-SA"/>
      </w:rPr>
      <w:drawing>
        <wp:anchor distT="0" distB="0" distL="114300" distR="114300" simplePos="0" relativeHeight="251659264" behindDoc="0" locked="0" layoutInCell="1" allowOverlap="1">
          <wp:simplePos x="0" y="0"/>
          <wp:positionH relativeFrom="column">
            <wp:posOffset>102235</wp:posOffset>
          </wp:positionH>
          <wp:positionV relativeFrom="paragraph">
            <wp:posOffset>-29210</wp:posOffset>
          </wp:positionV>
          <wp:extent cx="317500" cy="336550"/>
          <wp:effectExtent l="0" t="0" r="2540" b="1397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lum/>
                  </a:blip>
                  <a:srcRect l="25160" r="25117"/>
                  <a:stretch>
                    <a:fillRect/>
                  </a:stretch>
                </pic:blipFill>
                <pic:spPr>
                  <a:xfrm>
                    <a:off x="0" y="0"/>
                    <a:ext cx="317500" cy="336550"/>
                  </a:xfrm>
                  <a:prstGeom prst="rect">
                    <a:avLst/>
                  </a:prstGeom>
                  <a:noFill/>
                  <a:ln>
                    <a:noFill/>
                  </a:ln>
                </pic:spPr>
              </pic:pic>
            </a:graphicData>
          </a:graphic>
        </wp:anchor>
      </w:drawing>
    </w:r>
    <w:r>
      <w:rPr>
        <w:rFonts w:hint="eastAsia"/>
        <w:sz w:val="21"/>
        <w:szCs w:val="21"/>
      </w:rPr>
      <w:t xml:space="preserve">       </w:t>
    </w:r>
    <w:r>
      <w:rPr>
        <w:rFonts w:hint="eastAsia"/>
        <w:b/>
        <w:bCs/>
        <w:szCs w:val="18"/>
      </w:rPr>
      <w:t>四川乾新招投标代理有限公司</w:t>
    </w:r>
  </w:p>
  <w:p>
    <w:pPr>
      <w:pStyle w:val="15"/>
      <w:pBdr>
        <w:bottom w:val="single" w:color="auto" w:sz="4" w:space="1"/>
      </w:pBdr>
      <w:tabs>
        <w:tab w:val="center" w:pos="4153"/>
        <w:tab w:val="right" w:pos="8306"/>
        <w:tab w:val="clear" w:pos="0"/>
      </w:tabs>
      <w:jc w:val="left"/>
      <w:rPr>
        <w:rFonts w:hint="eastAsia"/>
        <w:szCs w:val="18"/>
      </w:rPr>
    </w:pPr>
    <w:r>
      <w:rPr>
        <w:rFonts w:hint="eastAsia"/>
        <w:b/>
        <w:bCs/>
        <w:szCs w:val="18"/>
      </w:rPr>
      <w:t xml:space="preserve">        Si Chuan Qian Xin Tendering and Bidding Agency Co.Ltd                     </w:t>
    </w:r>
    <w:r>
      <w:rPr>
        <w:rFonts w:hint="eastAsia"/>
        <w:b/>
        <w:bCs/>
        <w:szCs w:val="18"/>
        <w:lang w:val="en-US" w:eastAsia="zh-CN"/>
      </w:rPr>
      <w:t xml:space="preserve">        不止专注 更懂托付</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left"/>
      <w:rPr>
        <w:rFonts w:asciiTheme="minorEastAsia" w:hAnsiTheme="minorEastAsia" w:cstheme="minor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left"/>
      <w:rPr>
        <w:rFonts w:asciiTheme="minorEastAsia" w:hAnsiTheme="minorEastAsia" w:cs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D47190"/>
    <w:multiLevelType w:val="singleLevel"/>
    <w:tmpl w:val="ADD47190"/>
    <w:lvl w:ilvl="0" w:tentative="0">
      <w:start w:val="1"/>
      <w:numFmt w:val="decimal"/>
      <w:lvlText w:val="%1."/>
      <w:lvlJc w:val="left"/>
      <w:pPr>
        <w:ind w:left="425" w:hanging="425"/>
      </w:pPr>
      <w:rPr>
        <w:rFonts w:hint="default"/>
      </w:rPr>
    </w:lvl>
  </w:abstractNum>
  <w:abstractNum w:abstractNumId="1">
    <w:nsid w:val="B04D8E0A"/>
    <w:multiLevelType w:val="multilevel"/>
    <w:tmpl w:val="B04D8E0A"/>
    <w:lvl w:ilvl="0" w:tentative="0">
      <w:start w:val="1"/>
      <w:numFmt w:val="chineseCounting"/>
      <w:pStyle w:val="48"/>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34"/>
      <w:suff w:val="nothing"/>
      <w:lvlText w:val="%2、"/>
      <w:lvlJc w:val="left"/>
      <w:pPr>
        <w:ind w:left="0" w:firstLine="0"/>
      </w:pPr>
      <w:rPr>
        <w:rFonts w:hint="eastAsia" w:ascii="宋体" w:hAnsi="宋体" w:eastAsia="宋体" w:cs="宋体"/>
      </w:rPr>
    </w:lvl>
    <w:lvl w:ilvl="2" w:tentative="0">
      <w:start w:val="1"/>
      <w:numFmt w:val="chineseCounting"/>
      <w:pStyle w:val="49"/>
      <w:suff w:val="nothing"/>
      <w:lvlText w:val="(%3)"/>
      <w:lvlJc w:val="left"/>
      <w:pPr>
        <w:tabs>
          <w:tab w:val="left" w:pos="0"/>
        </w:tabs>
        <w:ind w:left="0" w:firstLine="0"/>
      </w:pPr>
      <w:rPr>
        <w:rFonts w:hint="eastAsia" w:ascii="宋体" w:hAnsi="宋体" w:eastAsia="宋体" w:cs="宋体"/>
      </w:rPr>
    </w:lvl>
    <w:lvl w:ilvl="3" w:tentative="0">
      <w:start w:val="1"/>
      <w:numFmt w:val="decimal"/>
      <w:pStyle w:val="63"/>
      <w:suff w:val="nothing"/>
      <w:lvlText w:val="%4."/>
      <w:lvlJc w:val="left"/>
      <w:pPr>
        <w:tabs>
          <w:tab w:val="left" w:pos="0"/>
        </w:tabs>
        <w:ind w:left="0" w:firstLine="0"/>
      </w:pPr>
      <w:rPr>
        <w:rFonts w:hint="eastAsia" w:ascii="宋体" w:hAnsi="宋体" w:eastAsia="宋体" w:cs="宋体"/>
      </w:rPr>
    </w:lvl>
    <w:lvl w:ilvl="4" w:tentative="0">
      <w:start w:val="1"/>
      <w:numFmt w:val="decimal"/>
      <w:pStyle w:val="64"/>
      <w:suff w:val="nothing"/>
      <w:lvlText w:val="%4.%5"/>
      <w:lvlJc w:val="left"/>
      <w:pPr>
        <w:ind w:left="0" w:firstLine="0"/>
      </w:pPr>
      <w:rPr>
        <w:rFonts w:hint="eastAsia" w:ascii="宋体" w:hAnsi="宋体" w:eastAsia="宋体" w:cs="宋体"/>
      </w:rPr>
    </w:lvl>
    <w:lvl w:ilvl="5" w:tentative="0">
      <w:start w:val="1"/>
      <w:numFmt w:val="decimal"/>
      <w:pStyle w:val="65"/>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C7F53590"/>
    <w:multiLevelType w:val="multilevel"/>
    <w:tmpl w:val="C7F53590"/>
    <w:lvl w:ilvl="0" w:tentative="0">
      <w:start w:val="1"/>
      <w:numFmt w:val="decimal"/>
      <w:pStyle w:val="38"/>
      <w:suff w:val="nothing"/>
      <w:lvlText w:val="%1."/>
      <w:lvlJc w:val="left"/>
      <w:pPr>
        <w:tabs>
          <w:tab w:val="left" w:pos="420"/>
        </w:tabs>
        <w:ind w:left="0" w:leftChars="0" w:firstLine="0" w:firstLineChars="0"/>
      </w:pPr>
      <w:rPr>
        <w:rFonts w:hint="default" w:ascii="宋体" w:hAnsi="宋体" w:eastAsia="宋体" w:cs="宋体"/>
      </w:rPr>
    </w:lvl>
    <w:lvl w:ilvl="1" w:tentative="0">
      <w:start w:val="1"/>
      <w:numFmt w:val="decimal"/>
      <w:pStyle w:val="39"/>
      <w:suff w:val="nothing"/>
      <w:lvlText w:val="%1.%2"/>
      <w:lvlJc w:val="left"/>
      <w:pPr>
        <w:tabs>
          <w:tab w:val="left" w:pos="420"/>
        </w:tabs>
        <w:ind w:left="0" w:leftChars="0" w:firstLine="0" w:firstLineChars="0"/>
      </w:pPr>
      <w:rPr>
        <w:rFonts w:hint="default" w:ascii="宋体" w:hAnsi="宋体" w:eastAsia="宋体" w:cs="宋体"/>
      </w:rPr>
    </w:lvl>
    <w:lvl w:ilvl="2" w:tentative="0">
      <w:start w:val="1"/>
      <w:numFmt w:val="decimal"/>
      <w:pStyle w:val="40"/>
      <w:suff w:val="nothing"/>
      <w:lvlText w:val="%1.%2.%3"/>
      <w:lvlJc w:val="left"/>
      <w:pPr>
        <w:tabs>
          <w:tab w:val="left" w:pos="420"/>
        </w:tabs>
        <w:ind w:left="0" w:leftChars="0" w:firstLine="0"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CA240A61"/>
    <w:multiLevelType w:val="singleLevel"/>
    <w:tmpl w:val="CA240A61"/>
    <w:lvl w:ilvl="0" w:tentative="0">
      <w:start w:val="1"/>
      <w:numFmt w:val="chineseCounting"/>
      <w:pStyle w:val="73"/>
      <w:suff w:val="nothing"/>
      <w:lvlText w:val="(%1)"/>
      <w:lvlJc w:val="left"/>
      <w:pPr>
        <w:ind w:left="0" w:firstLine="0"/>
      </w:pPr>
      <w:rPr>
        <w:rFonts w:hint="eastAsia"/>
      </w:rPr>
    </w:lvl>
  </w:abstractNum>
  <w:abstractNum w:abstractNumId="4">
    <w:nsid w:val="D2F3B81A"/>
    <w:multiLevelType w:val="singleLevel"/>
    <w:tmpl w:val="D2F3B81A"/>
    <w:lvl w:ilvl="0" w:tentative="0">
      <w:start w:val="1"/>
      <w:numFmt w:val="chineseCounting"/>
      <w:pStyle w:val="43"/>
      <w:suff w:val="nothing"/>
      <w:lvlText w:val="%1、"/>
      <w:lvlJc w:val="left"/>
      <w:pPr>
        <w:ind w:left="0" w:firstLine="0"/>
      </w:pPr>
      <w:rPr>
        <w:rFonts w:hint="eastAsia"/>
      </w:rPr>
    </w:lvl>
  </w:abstractNum>
  <w:abstractNum w:abstractNumId="5">
    <w:nsid w:val="DCCDE3B6"/>
    <w:multiLevelType w:val="singleLevel"/>
    <w:tmpl w:val="DCCDE3B6"/>
    <w:lvl w:ilvl="0" w:tentative="0">
      <w:start w:val="1"/>
      <w:numFmt w:val="decimal"/>
      <w:lvlText w:val="%1"/>
      <w:lvlJc w:val="left"/>
      <w:pPr>
        <w:tabs>
          <w:tab w:val="left" w:pos="0"/>
        </w:tabs>
        <w:ind w:left="0" w:leftChars="0" w:firstLine="0" w:firstLineChars="0"/>
      </w:pPr>
      <w:rPr>
        <w:rFonts w:hint="default"/>
      </w:rPr>
    </w:lvl>
  </w:abstractNum>
  <w:abstractNum w:abstractNumId="6">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32"/>
      <w:suff w:val="nothing"/>
      <w:lvlText w:val="(%2)"/>
      <w:lvlJc w:val="left"/>
      <w:pPr>
        <w:ind w:left="0" w:firstLine="0"/>
      </w:pPr>
      <w:rPr>
        <w:rFonts w:hint="eastAsia" w:ascii="宋体" w:hAnsi="宋体" w:eastAsia="宋体" w:cs="宋体"/>
      </w:rPr>
    </w:lvl>
    <w:lvl w:ilvl="2" w:tentative="0">
      <w:start w:val="1"/>
      <w:numFmt w:val="decimal"/>
      <w:pStyle w:val="35"/>
      <w:suff w:val="nothing"/>
      <w:lvlText w:val="%3."/>
      <w:lvlJc w:val="left"/>
      <w:pPr>
        <w:ind w:left="0" w:firstLine="0"/>
      </w:pPr>
      <w:rPr>
        <w:rFonts w:hint="eastAsia" w:ascii="宋体" w:hAnsi="宋体" w:eastAsia="宋体" w:cs="宋体"/>
      </w:rPr>
    </w:lvl>
    <w:lvl w:ilvl="3" w:tentative="0">
      <w:start w:val="1"/>
      <w:numFmt w:val="decimal"/>
      <w:pStyle w:val="36"/>
      <w:suff w:val="nothing"/>
      <w:lvlText w:val="%3.%4"/>
      <w:lvlJc w:val="left"/>
      <w:pPr>
        <w:ind w:left="0" w:firstLine="0"/>
      </w:pPr>
      <w:rPr>
        <w:rFonts w:hint="eastAsia" w:ascii="宋体" w:hAnsi="宋体" w:eastAsia="宋体" w:cs="宋体"/>
      </w:rPr>
    </w:lvl>
    <w:lvl w:ilvl="4" w:tentative="0">
      <w:start w:val="1"/>
      <w:numFmt w:val="decimal"/>
      <w:pStyle w:val="37"/>
      <w:suff w:val="nothing"/>
      <w:lvlText w:val="(%5)"/>
      <w:lvlJc w:val="left"/>
      <w:pPr>
        <w:ind w:left="0" w:firstLine="0"/>
      </w:pPr>
      <w:rPr>
        <w:rFonts w:hint="eastAsia" w:ascii="宋体" w:hAnsi="宋体" w:eastAsia="宋体" w:cs="宋体"/>
      </w:rPr>
    </w:lvl>
    <w:lvl w:ilvl="5" w:tentative="0">
      <w:start w:val="1"/>
      <w:numFmt w:val="decimal"/>
      <w:pStyle w:val="5"/>
      <w:suff w:val="nothing"/>
      <w:lvlText w:val="%6）"/>
      <w:lvlJc w:val="left"/>
      <w:pPr>
        <w:ind w:left="0" w:firstLine="402"/>
      </w:pPr>
      <w:rPr>
        <w:rFonts w:hint="eastAsia"/>
      </w:rPr>
    </w:lvl>
    <w:lvl w:ilvl="6" w:tentative="0">
      <w:start w:val="1"/>
      <w:numFmt w:val="lowerLetter"/>
      <w:pStyle w:val="6"/>
      <w:suff w:val="nothing"/>
      <w:lvlText w:val="%7．"/>
      <w:lvlJc w:val="left"/>
      <w:pPr>
        <w:ind w:left="0" w:firstLine="402"/>
      </w:pPr>
      <w:rPr>
        <w:rFonts w:hint="eastAsia"/>
      </w:rPr>
    </w:lvl>
    <w:lvl w:ilvl="7" w:tentative="0">
      <w:start w:val="1"/>
      <w:numFmt w:val="lowerLetter"/>
      <w:pStyle w:val="7"/>
      <w:suff w:val="nothing"/>
      <w:lvlText w:val="%8）"/>
      <w:lvlJc w:val="left"/>
      <w:pPr>
        <w:ind w:left="0" w:firstLine="402"/>
      </w:pPr>
      <w:rPr>
        <w:rFonts w:hint="eastAsia"/>
      </w:rPr>
    </w:lvl>
    <w:lvl w:ilvl="8" w:tentative="0">
      <w:start w:val="1"/>
      <w:numFmt w:val="lowerRoman"/>
      <w:pStyle w:val="8"/>
      <w:suff w:val="nothing"/>
      <w:lvlText w:val="%9 "/>
      <w:lvlJc w:val="left"/>
      <w:pPr>
        <w:ind w:left="0" w:firstLine="402"/>
      </w:pPr>
      <w:rPr>
        <w:rFonts w:hint="eastAsia"/>
      </w:rPr>
    </w:lvl>
  </w:abstractNum>
  <w:abstractNum w:abstractNumId="7">
    <w:nsid w:val="E69990DB"/>
    <w:multiLevelType w:val="singleLevel"/>
    <w:tmpl w:val="E69990DB"/>
    <w:lvl w:ilvl="0" w:tentative="0">
      <w:start w:val="1"/>
      <w:numFmt w:val="chineseCounting"/>
      <w:suff w:val="nothing"/>
      <w:lvlText w:val="%1、"/>
      <w:lvlJc w:val="left"/>
      <w:pPr>
        <w:ind w:left="0" w:firstLine="420"/>
      </w:pPr>
      <w:rPr>
        <w:rFonts w:hint="eastAsia"/>
      </w:rPr>
    </w:lvl>
  </w:abstractNum>
  <w:abstractNum w:abstractNumId="8">
    <w:nsid w:val="EA1AE71F"/>
    <w:multiLevelType w:val="singleLevel"/>
    <w:tmpl w:val="EA1AE71F"/>
    <w:lvl w:ilvl="0" w:tentative="0">
      <w:start w:val="1"/>
      <w:numFmt w:val="decimal"/>
      <w:lvlText w:val="%1."/>
      <w:lvlJc w:val="left"/>
      <w:pPr>
        <w:tabs>
          <w:tab w:val="left" w:pos="312"/>
        </w:tabs>
      </w:pPr>
    </w:lvl>
  </w:abstractNum>
  <w:abstractNum w:abstractNumId="9">
    <w:nsid w:val="FABA3C29"/>
    <w:multiLevelType w:val="singleLevel"/>
    <w:tmpl w:val="FABA3C29"/>
    <w:lvl w:ilvl="0" w:tentative="0">
      <w:start w:val="1"/>
      <w:numFmt w:val="chineseCounting"/>
      <w:suff w:val="nothing"/>
      <w:lvlText w:val="%1、"/>
      <w:lvlJc w:val="left"/>
      <w:pPr>
        <w:ind w:left="2400" w:firstLine="420"/>
      </w:pPr>
      <w:rPr>
        <w:rFonts w:hint="eastAsia"/>
      </w:rPr>
    </w:lvl>
  </w:abstractNum>
  <w:abstractNum w:abstractNumId="10">
    <w:nsid w:val="07C0D5F4"/>
    <w:multiLevelType w:val="singleLevel"/>
    <w:tmpl w:val="07C0D5F4"/>
    <w:lvl w:ilvl="0" w:tentative="0">
      <w:start w:val="1"/>
      <w:numFmt w:val="chineseCounting"/>
      <w:suff w:val="nothing"/>
      <w:lvlText w:val="%1、"/>
      <w:lvlJc w:val="left"/>
      <w:pPr>
        <w:ind w:left="0" w:firstLine="420"/>
      </w:pPr>
      <w:rPr>
        <w:rFonts w:hint="eastAsia"/>
      </w:rPr>
    </w:lvl>
  </w:abstractNum>
  <w:abstractNum w:abstractNumId="11">
    <w:nsid w:val="091CECE6"/>
    <w:multiLevelType w:val="singleLevel"/>
    <w:tmpl w:val="091CECE6"/>
    <w:lvl w:ilvl="0" w:tentative="0">
      <w:start w:val="1"/>
      <w:numFmt w:val="decimal"/>
      <w:lvlText w:val="%1."/>
      <w:lvlJc w:val="left"/>
      <w:pPr>
        <w:ind w:left="425" w:hanging="425"/>
      </w:pPr>
      <w:rPr>
        <w:rFonts w:hint="default"/>
      </w:rPr>
    </w:lvl>
  </w:abstractNum>
  <w:abstractNum w:abstractNumId="12">
    <w:nsid w:val="0D3DD0CB"/>
    <w:multiLevelType w:val="singleLevel"/>
    <w:tmpl w:val="0D3DD0CB"/>
    <w:lvl w:ilvl="0" w:tentative="0">
      <w:start w:val="1"/>
      <w:numFmt w:val="decimal"/>
      <w:lvlText w:val="%1."/>
      <w:lvlJc w:val="left"/>
      <w:pPr>
        <w:tabs>
          <w:tab w:val="left" w:pos="312"/>
        </w:tabs>
      </w:pPr>
    </w:lvl>
  </w:abstractNum>
  <w:abstractNum w:abstractNumId="13">
    <w:nsid w:val="1D6432C1"/>
    <w:multiLevelType w:val="singleLevel"/>
    <w:tmpl w:val="1D6432C1"/>
    <w:lvl w:ilvl="0" w:tentative="0">
      <w:start w:val="1"/>
      <w:numFmt w:val="decimal"/>
      <w:lvlText w:val="(%1)"/>
      <w:lvlJc w:val="left"/>
      <w:pPr>
        <w:ind w:left="425" w:hanging="425"/>
      </w:pPr>
      <w:rPr>
        <w:rFonts w:hint="default"/>
      </w:rPr>
    </w:lvl>
  </w:abstractNum>
  <w:abstractNum w:abstractNumId="14">
    <w:nsid w:val="1DE75F93"/>
    <w:multiLevelType w:val="singleLevel"/>
    <w:tmpl w:val="1DE75F93"/>
    <w:lvl w:ilvl="0" w:tentative="0">
      <w:start w:val="1"/>
      <w:numFmt w:val="decimal"/>
      <w:lvlText w:val="%1."/>
      <w:lvlJc w:val="left"/>
      <w:pPr>
        <w:ind w:left="425" w:hanging="425"/>
      </w:pPr>
      <w:rPr>
        <w:rFonts w:hint="default"/>
      </w:rPr>
    </w:lvl>
  </w:abstractNum>
  <w:abstractNum w:abstractNumId="15">
    <w:nsid w:val="2EA61A09"/>
    <w:multiLevelType w:val="singleLevel"/>
    <w:tmpl w:val="2EA61A09"/>
    <w:lvl w:ilvl="0" w:tentative="0">
      <w:start w:val="1"/>
      <w:numFmt w:val="decimal"/>
      <w:lvlText w:val="%1."/>
      <w:lvlJc w:val="left"/>
      <w:pPr>
        <w:ind w:left="425" w:hanging="425"/>
      </w:pPr>
      <w:rPr>
        <w:rFonts w:hint="default"/>
      </w:rPr>
    </w:lvl>
  </w:abstractNum>
  <w:abstractNum w:abstractNumId="16">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7">
    <w:nsid w:val="5912557E"/>
    <w:multiLevelType w:val="singleLevel"/>
    <w:tmpl w:val="5912557E"/>
    <w:lvl w:ilvl="0" w:tentative="0">
      <w:start w:val="1"/>
      <w:numFmt w:val="chineseCounting"/>
      <w:suff w:val="nothing"/>
      <w:lvlText w:val="%1、"/>
      <w:lvlJc w:val="left"/>
      <w:rPr>
        <w:rFonts w:hint="eastAsia"/>
      </w:rPr>
    </w:lvl>
  </w:abstractNum>
  <w:abstractNum w:abstractNumId="18">
    <w:nsid w:val="5D053081"/>
    <w:multiLevelType w:val="singleLevel"/>
    <w:tmpl w:val="5D053081"/>
    <w:lvl w:ilvl="0" w:tentative="0">
      <w:start w:val="1"/>
      <w:numFmt w:val="chineseCounting"/>
      <w:suff w:val="nothing"/>
      <w:lvlText w:val="%1、"/>
      <w:lvlJc w:val="left"/>
      <w:pPr>
        <w:ind w:left="0" w:firstLine="420"/>
      </w:pPr>
      <w:rPr>
        <w:rFonts w:hint="eastAsia"/>
      </w:rPr>
    </w:lvl>
  </w:abstractNum>
  <w:abstractNum w:abstractNumId="19">
    <w:nsid w:val="60270A80"/>
    <w:multiLevelType w:val="singleLevel"/>
    <w:tmpl w:val="60270A80"/>
    <w:lvl w:ilvl="0" w:tentative="0">
      <w:start w:val="1"/>
      <w:numFmt w:val="decimal"/>
      <w:lvlText w:val="%1."/>
      <w:lvlJc w:val="left"/>
      <w:pPr>
        <w:ind w:left="425" w:hanging="425"/>
      </w:pPr>
      <w:rPr>
        <w:rFonts w:hint="default"/>
      </w:rPr>
    </w:lvl>
  </w:abstractNum>
  <w:num w:numId="1">
    <w:abstractNumId w:val="6"/>
  </w:num>
  <w:num w:numId="2">
    <w:abstractNumId w:val="16"/>
  </w:num>
  <w:num w:numId="3">
    <w:abstractNumId w:val="1"/>
  </w:num>
  <w:num w:numId="4">
    <w:abstractNumId w:val="2"/>
  </w:num>
  <w:num w:numId="5">
    <w:abstractNumId w:val="4"/>
  </w:num>
  <w:num w:numId="6">
    <w:abstractNumId w:val="3"/>
  </w:num>
  <w:num w:numId="7">
    <w:abstractNumId w:val="10"/>
  </w:num>
  <w:num w:numId="8">
    <w:abstractNumId w:val="5"/>
  </w:num>
  <w:num w:numId="9">
    <w:abstractNumId w:val="8"/>
  </w:num>
  <w:num w:numId="10">
    <w:abstractNumId w:val="17"/>
  </w:num>
  <w:num w:numId="11">
    <w:abstractNumId w:val="12"/>
  </w:num>
  <w:num w:numId="12">
    <w:abstractNumId w:val="1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9"/>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5"/>
  </w:num>
  <w:num w:numId="32">
    <w:abstractNumId w:val="14"/>
  </w:num>
  <w:num w:numId="33">
    <w:abstractNumId w:val="0"/>
  </w:num>
  <w:num w:numId="34">
    <w:abstractNumId w:val="11"/>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2YzA1NDIxM2U5NDM4YjdhOWYzZjU0NGUzNzdkOTgifQ=="/>
  </w:docVars>
  <w:rsids>
    <w:rsidRoot w:val="00172A27"/>
    <w:rsid w:val="0000400A"/>
    <w:rsid w:val="000168D4"/>
    <w:rsid w:val="000504D4"/>
    <w:rsid w:val="00050929"/>
    <w:rsid w:val="000552F1"/>
    <w:rsid w:val="00071F90"/>
    <w:rsid w:val="0007665C"/>
    <w:rsid w:val="00080967"/>
    <w:rsid w:val="00083410"/>
    <w:rsid w:val="00083A85"/>
    <w:rsid w:val="000A22EE"/>
    <w:rsid w:val="000B25B6"/>
    <w:rsid w:val="000D7DD0"/>
    <w:rsid w:val="0010191C"/>
    <w:rsid w:val="001025A9"/>
    <w:rsid w:val="0010309E"/>
    <w:rsid w:val="0012071D"/>
    <w:rsid w:val="00127F82"/>
    <w:rsid w:val="00133528"/>
    <w:rsid w:val="00152049"/>
    <w:rsid w:val="00166040"/>
    <w:rsid w:val="001672A1"/>
    <w:rsid w:val="00172A27"/>
    <w:rsid w:val="001747EE"/>
    <w:rsid w:val="00180AAC"/>
    <w:rsid w:val="00181149"/>
    <w:rsid w:val="00187C5D"/>
    <w:rsid w:val="00190708"/>
    <w:rsid w:val="001B6050"/>
    <w:rsid w:val="001C42C5"/>
    <w:rsid w:val="001E2AED"/>
    <w:rsid w:val="001E6888"/>
    <w:rsid w:val="002214E7"/>
    <w:rsid w:val="00225683"/>
    <w:rsid w:val="00234073"/>
    <w:rsid w:val="002435A0"/>
    <w:rsid w:val="0024360B"/>
    <w:rsid w:val="00243FF7"/>
    <w:rsid w:val="00247B38"/>
    <w:rsid w:val="0025536B"/>
    <w:rsid w:val="002565E2"/>
    <w:rsid w:val="00267611"/>
    <w:rsid w:val="00282CD9"/>
    <w:rsid w:val="00290AF1"/>
    <w:rsid w:val="002B5D9A"/>
    <w:rsid w:val="002B6AE7"/>
    <w:rsid w:val="002B79CA"/>
    <w:rsid w:val="002E06BF"/>
    <w:rsid w:val="002E1A1C"/>
    <w:rsid w:val="002E5F48"/>
    <w:rsid w:val="002F05A6"/>
    <w:rsid w:val="002F3BB7"/>
    <w:rsid w:val="00315B60"/>
    <w:rsid w:val="003274CB"/>
    <w:rsid w:val="00346B27"/>
    <w:rsid w:val="00353E82"/>
    <w:rsid w:val="00377076"/>
    <w:rsid w:val="00396369"/>
    <w:rsid w:val="003B2228"/>
    <w:rsid w:val="003C13E4"/>
    <w:rsid w:val="003D21F1"/>
    <w:rsid w:val="003E1DCC"/>
    <w:rsid w:val="003F4651"/>
    <w:rsid w:val="00410967"/>
    <w:rsid w:val="00411E40"/>
    <w:rsid w:val="00415E21"/>
    <w:rsid w:val="0042186C"/>
    <w:rsid w:val="00445ADF"/>
    <w:rsid w:val="00450821"/>
    <w:rsid w:val="0046727E"/>
    <w:rsid w:val="0048109C"/>
    <w:rsid w:val="00482071"/>
    <w:rsid w:val="00483674"/>
    <w:rsid w:val="004861AE"/>
    <w:rsid w:val="00486D20"/>
    <w:rsid w:val="00495036"/>
    <w:rsid w:val="004A6781"/>
    <w:rsid w:val="004A7D40"/>
    <w:rsid w:val="004B0604"/>
    <w:rsid w:val="004B4092"/>
    <w:rsid w:val="004E0FDD"/>
    <w:rsid w:val="004F1325"/>
    <w:rsid w:val="004F2F95"/>
    <w:rsid w:val="00506600"/>
    <w:rsid w:val="00526D76"/>
    <w:rsid w:val="00551430"/>
    <w:rsid w:val="00554499"/>
    <w:rsid w:val="00557A19"/>
    <w:rsid w:val="005601DD"/>
    <w:rsid w:val="00570E40"/>
    <w:rsid w:val="00573162"/>
    <w:rsid w:val="005A2BA7"/>
    <w:rsid w:val="005A7C81"/>
    <w:rsid w:val="005F3F05"/>
    <w:rsid w:val="0060449E"/>
    <w:rsid w:val="006058A4"/>
    <w:rsid w:val="006109FE"/>
    <w:rsid w:val="00614BF4"/>
    <w:rsid w:val="00616B6E"/>
    <w:rsid w:val="00633858"/>
    <w:rsid w:val="00670841"/>
    <w:rsid w:val="006708EE"/>
    <w:rsid w:val="006778E4"/>
    <w:rsid w:val="006927C1"/>
    <w:rsid w:val="006934B4"/>
    <w:rsid w:val="00694C4F"/>
    <w:rsid w:val="006B1D4C"/>
    <w:rsid w:val="006C21DD"/>
    <w:rsid w:val="006F6EF3"/>
    <w:rsid w:val="00722E70"/>
    <w:rsid w:val="00735F80"/>
    <w:rsid w:val="0074524D"/>
    <w:rsid w:val="00784579"/>
    <w:rsid w:val="007B1F36"/>
    <w:rsid w:val="007D09EC"/>
    <w:rsid w:val="007F300C"/>
    <w:rsid w:val="008003F4"/>
    <w:rsid w:val="008016F9"/>
    <w:rsid w:val="008062AE"/>
    <w:rsid w:val="00811328"/>
    <w:rsid w:val="00815C57"/>
    <w:rsid w:val="00815F35"/>
    <w:rsid w:val="0082614F"/>
    <w:rsid w:val="008352AC"/>
    <w:rsid w:val="00835973"/>
    <w:rsid w:val="00850B71"/>
    <w:rsid w:val="0085639C"/>
    <w:rsid w:val="008738BD"/>
    <w:rsid w:val="0087454D"/>
    <w:rsid w:val="00890D7F"/>
    <w:rsid w:val="008A0EB1"/>
    <w:rsid w:val="008A2076"/>
    <w:rsid w:val="008E659E"/>
    <w:rsid w:val="008F1529"/>
    <w:rsid w:val="008F1CB6"/>
    <w:rsid w:val="008F717E"/>
    <w:rsid w:val="008F74EB"/>
    <w:rsid w:val="00902627"/>
    <w:rsid w:val="00902C2A"/>
    <w:rsid w:val="00931981"/>
    <w:rsid w:val="00932AFD"/>
    <w:rsid w:val="00942ED3"/>
    <w:rsid w:val="00945986"/>
    <w:rsid w:val="00946F94"/>
    <w:rsid w:val="00973102"/>
    <w:rsid w:val="00990893"/>
    <w:rsid w:val="00997D49"/>
    <w:rsid w:val="009C43E6"/>
    <w:rsid w:val="009D01D2"/>
    <w:rsid w:val="009E1E4F"/>
    <w:rsid w:val="009F5992"/>
    <w:rsid w:val="00A23AFB"/>
    <w:rsid w:val="00A3273B"/>
    <w:rsid w:val="00A466E6"/>
    <w:rsid w:val="00A47F1F"/>
    <w:rsid w:val="00A75A1A"/>
    <w:rsid w:val="00A837A5"/>
    <w:rsid w:val="00A95C07"/>
    <w:rsid w:val="00AA32B3"/>
    <w:rsid w:val="00AA51C1"/>
    <w:rsid w:val="00AB65CA"/>
    <w:rsid w:val="00AB67D8"/>
    <w:rsid w:val="00AC2F78"/>
    <w:rsid w:val="00AC5E59"/>
    <w:rsid w:val="00AF3998"/>
    <w:rsid w:val="00B07B2E"/>
    <w:rsid w:val="00B31CC3"/>
    <w:rsid w:val="00B90629"/>
    <w:rsid w:val="00BA2262"/>
    <w:rsid w:val="00BA69F4"/>
    <w:rsid w:val="00BA6D13"/>
    <w:rsid w:val="00BB299F"/>
    <w:rsid w:val="00BE1766"/>
    <w:rsid w:val="00BE194A"/>
    <w:rsid w:val="00BF4E9E"/>
    <w:rsid w:val="00C00F81"/>
    <w:rsid w:val="00C17A63"/>
    <w:rsid w:val="00C35487"/>
    <w:rsid w:val="00C43BC1"/>
    <w:rsid w:val="00CA0AAA"/>
    <w:rsid w:val="00CB1EB4"/>
    <w:rsid w:val="00CD401B"/>
    <w:rsid w:val="00CD437E"/>
    <w:rsid w:val="00CD43B3"/>
    <w:rsid w:val="00CD58A7"/>
    <w:rsid w:val="00CE226F"/>
    <w:rsid w:val="00CF53F3"/>
    <w:rsid w:val="00D13F32"/>
    <w:rsid w:val="00D174EB"/>
    <w:rsid w:val="00D23AEC"/>
    <w:rsid w:val="00D373B2"/>
    <w:rsid w:val="00D37D24"/>
    <w:rsid w:val="00D80201"/>
    <w:rsid w:val="00D827D3"/>
    <w:rsid w:val="00D87B92"/>
    <w:rsid w:val="00D87C93"/>
    <w:rsid w:val="00DA34DD"/>
    <w:rsid w:val="00DA65C9"/>
    <w:rsid w:val="00DB5C76"/>
    <w:rsid w:val="00DC4298"/>
    <w:rsid w:val="00DC68DD"/>
    <w:rsid w:val="00DD654B"/>
    <w:rsid w:val="00DE3615"/>
    <w:rsid w:val="00DF10BC"/>
    <w:rsid w:val="00E04823"/>
    <w:rsid w:val="00E057E9"/>
    <w:rsid w:val="00E14C29"/>
    <w:rsid w:val="00E2173D"/>
    <w:rsid w:val="00E53568"/>
    <w:rsid w:val="00E74CE9"/>
    <w:rsid w:val="00E7539A"/>
    <w:rsid w:val="00E83C3F"/>
    <w:rsid w:val="00E86078"/>
    <w:rsid w:val="00E87BB1"/>
    <w:rsid w:val="00E90A6C"/>
    <w:rsid w:val="00E93F48"/>
    <w:rsid w:val="00E965F8"/>
    <w:rsid w:val="00EB31E1"/>
    <w:rsid w:val="00EC1D3C"/>
    <w:rsid w:val="00EE2E61"/>
    <w:rsid w:val="00EE2E62"/>
    <w:rsid w:val="00EF4699"/>
    <w:rsid w:val="00F025B2"/>
    <w:rsid w:val="00F0340D"/>
    <w:rsid w:val="00F140D0"/>
    <w:rsid w:val="00F22D2F"/>
    <w:rsid w:val="00F23715"/>
    <w:rsid w:val="00F32329"/>
    <w:rsid w:val="00F359AF"/>
    <w:rsid w:val="00F4295B"/>
    <w:rsid w:val="00F714C7"/>
    <w:rsid w:val="00F72067"/>
    <w:rsid w:val="00F9177B"/>
    <w:rsid w:val="00FB1DA4"/>
    <w:rsid w:val="01021BFD"/>
    <w:rsid w:val="010351AA"/>
    <w:rsid w:val="01164975"/>
    <w:rsid w:val="01235338"/>
    <w:rsid w:val="012746B9"/>
    <w:rsid w:val="012B76F3"/>
    <w:rsid w:val="012C44AA"/>
    <w:rsid w:val="013435B5"/>
    <w:rsid w:val="013667AE"/>
    <w:rsid w:val="013D1C8A"/>
    <w:rsid w:val="013F0F7C"/>
    <w:rsid w:val="01430BEC"/>
    <w:rsid w:val="01464694"/>
    <w:rsid w:val="0149221C"/>
    <w:rsid w:val="014D28C9"/>
    <w:rsid w:val="015258FF"/>
    <w:rsid w:val="015357B9"/>
    <w:rsid w:val="01553CFE"/>
    <w:rsid w:val="01575A75"/>
    <w:rsid w:val="015C48BA"/>
    <w:rsid w:val="01675739"/>
    <w:rsid w:val="01733B27"/>
    <w:rsid w:val="01782F69"/>
    <w:rsid w:val="017B2F92"/>
    <w:rsid w:val="01876A1F"/>
    <w:rsid w:val="018A16B2"/>
    <w:rsid w:val="018F03FE"/>
    <w:rsid w:val="018F2EE2"/>
    <w:rsid w:val="019377A3"/>
    <w:rsid w:val="01950C8B"/>
    <w:rsid w:val="01997BFD"/>
    <w:rsid w:val="019D624D"/>
    <w:rsid w:val="019D6D53"/>
    <w:rsid w:val="01A050EF"/>
    <w:rsid w:val="01A10AB4"/>
    <w:rsid w:val="01A17AA8"/>
    <w:rsid w:val="01A93CDD"/>
    <w:rsid w:val="01A96BB6"/>
    <w:rsid w:val="01AA4D6A"/>
    <w:rsid w:val="01AD4AAA"/>
    <w:rsid w:val="01B029F8"/>
    <w:rsid w:val="01B479C7"/>
    <w:rsid w:val="01B763DC"/>
    <w:rsid w:val="01B83F92"/>
    <w:rsid w:val="01BC53AC"/>
    <w:rsid w:val="01C22242"/>
    <w:rsid w:val="01C2493E"/>
    <w:rsid w:val="01C43E2A"/>
    <w:rsid w:val="01C91C5F"/>
    <w:rsid w:val="01CE126B"/>
    <w:rsid w:val="01D440FD"/>
    <w:rsid w:val="01D65137"/>
    <w:rsid w:val="01D865E6"/>
    <w:rsid w:val="01E16A43"/>
    <w:rsid w:val="01E366FD"/>
    <w:rsid w:val="01E4322D"/>
    <w:rsid w:val="01E459C2"/>
    <w:rsid w:val="01EA4845"/>
    <w:rsid w:val="01EF249C"/>
    <w:rsid w:val="01EF3980"/>
    <w:rsid w:val="01F176F8"/>
    <w:rsid w:val="01F54337"/>
    <w:rsid w:val="01F77461"/>
    <w:rsid w:val="01FC54B7"/>
    <w:rsid w:val="01FF4EDD"/>
    <w:rsid w:val="0208513A"/>
    <w:rsid w:val="021138F7"/>
    <w:rsid w:val="0213141D"/>
    <w:rsid w:val="02132164"/>
    <w:rsid w:val="02160470"/>
    <w:rsid w:val="02195753"/>
    <w:rsid w:val="02223C50"/>
    <w:rsid w:val="0229045C"/>
    <w:rsid w:val="022C260F"/>
    <w:rsid w:val="022E6BF1"/>
    <w:rsid w:val="023372E3"/>
    <w:rsid w:val="0234353E"/>
    <w:rsid w:val="02347E69"/>
    <w:rsid w:val="023575E5"/>
    <w:rsid w:val="02362CC5"/>
    <w:rsid w:val="02395177"/>
    <w:rsid w:val="023C5149"/>
    <w:rsid w:val="0247556A"/>
    <w:rsid w:val="024E70F8"/>
    <w:rsid w:val="02535CBD"/>
    <w:rsid w:val="02665FD5"/>
    <w:rsid w:val="02673FBF"/>
    <w:rsid w:val="02676F4A"/>
    <w:rsid w:val="026D1F8E"/>
    <w:rsid w:val="026D704D"/>
    <w:rsid w:val="026E6706"/>
    <w:rsid w:val="02735026"/>
    <w:rsid w:val="027655B6"/>
    <w:rsid w:val="02792F82"/>
    <w:rsid w:val="027A2AED"/>
    <w:rsid w:val="02820350"/>
    <w:rsid w:val="02825F13"/>
    <w:rsid w:val="028430AA"/>
    <w:rsid w:val="0286015B"/>
    <w:rsid w:val="028879D9"/>
    <w:rsid w:val="028919DF"/>
    <w:rsid w:val="028E13EB"/>
    <w:rsid w:val="02964ADD"/>
    <w:rsid w:val="02A14D74"/>
    <w:rsid w:val="02A4476B"/>
    <w:rsid w:val="02AD29C6"/>
    <w:rsid w:val="02B0450C"/>
    <w:rsid w:val="02B43DAD"/>
    <w:rsid w:val="02B7624C"/>
    <w:rsid w:val="02C10B38"/>
    <w:rsid w:val="02C668D1"/>
    <w:rsid w:val="02D36DFE"/>
    <w:rsid w:val="02D84AC8"/>
    <w:rsid w:val="02D9413D"/>
    <w:rsid w:val="02D97DE5"/>
    <w:rsid w:val="02DC1FED"/>
    <w:rsid w:val="02DD3DF1"/>
    <w:rsid w:val="02E1151B"/>
    <w:rsid w:val="02E247AD"/>
    <w:rsid w:val="02E3266E"/>
    <w:rsid w:val="02EA4873"/>
    <w:rsid w:val="02EB188A"/>
    <w:rsid w:val="02F0675F"/>
    <w:rsid w:val="02F13434"/>
    <w:rsid w:val="02F3474E"/>
    <w:rsid w:val="02F71628"/>
    <w:rsid w:val="02F92D08"/>
    <w:rsid w:val="02FD2232"/>
    <w:rsid w:val="03033784"/>
    <w:rsid w:val="0308499E"/>
    <w:rsid w:val="030B01F1"/>
    <w:rsid w:val="030E29C8"/>
    <w:rsid w:val="03110BB0"/>
    <w:rsid w:val="0318425F"/>
    <w:rsid w:val="03190CB5"/>
    <w:rsid w:val="031C70D4"/>
    <w:rsid w:val="0321449C"/>
    <w:rsid w:val="032338E1"/>
    <w:rsid w:val="03241B28"/>
    <w:rsid w:val="03250245"/>
    <w:rsid w:val="032A4C70"/>
    <w:rsid w:val="03351867"/>
    <w:rsid w:val="03406878"/>
    <w:rsid w:val="034547E6"/>
    <w:rsid w:val="03486A36"/>
    <w:rsid w:val="034C555B"/>
    <w:rsid w:val="034D5EB3"/>
    <w:rsid w:val="0350391F"/>
    <w:rsid w:val="035619A6"/>
    <w:rsid w:val="035937A7"/>
    <w:rsid w:val="035C6DF3"/>
    <w:rsid w:val="03631FAD"/>
    <w:rsid w:val="036C1F3C"/>
    <w:rsid w:val="036D31EC"/>
    <w:rsid w:val="036E7CB0"/>
    <w:rsid w:val="03770FAA"/>
    <w:rsid w:val="0377438E"/>
    <w:rsid w:val="037D0A35"/>
    <w:rsid w:val="039261BA"/>
    <w:rsid w:val="03941692"/>
    <w:rsid w:val="039753F3"/>
    <w:rsid w:val="03975801"/>
    <w:rsid w:val="03A00A45"/>
    <w:rsid w:val="03A10074"/>
    <w:rsid w:val="03B331F8"/>
    <w:rsid w:val="03BD3D36"/>
    <w:rsid w:val="03BF4CE8"/>
    <w:rsid w:val="03C23BAF"/>
    <w:rsid w:val="03C40ABE"/>
    <w:rsid w:val="03C73EF9"/>
    <w:rsid w:val="03CA1FAF"/>
    <w:rsid w:val="03CA7926"/>
    <w:rsid w:val="03CE5F43"/>
    <w:rsid w:val="03D316D3"/>
    <w:rsid w:val="03D44A43"/>
    <w:rsid w:val="03D60077"/>
    <w:rsid w:val="03D95AF5"/>
    <w:rsid w:val="03DA5860"/>
    <w:rsid w:val="03E3449B"/>
    <w:rsid w:val="03E42FB5"/>
    <w:rsid w:val="03F050BD"/>
    <w:rsid w:val="03F338A7"/>
    <w:rsid w:val="03F62CB4"/>
    <w:rsid w:val="03F7077E"/>
    <w:rsid w:val="03FB00F1"/>
    <w:rsid w:val="03FC155B"/>
    <w:rsid w:val="03FC1BFF"/>
    <w:rsid w:val="04027210"/>
    <w:rsid w:val="04053316"/>
    <w:rsid w:val="040922A3"/>
    <w:rsid w:val="040E27E3"/>
    <w:rsid w:val="04143AD8"/>
    <w:rsid w:val="041E020C"/>
    <w:rsid w:val="041E0A40"/>
    <w:rsid w:val="041E22FB"/>
    <w:rsid w:val="041E23EC"/>
    <w:rsid w:val="042222D7"/>
    <w:rsid w:val="042876CA"/>
    <w:rsid w:val="042E0EC7"/>
    <w:rsid w:val="0431295A"/>
    <w:rsid w:val="0433644D"/>
    <w:rsid w:val="043A47ED"/>
    <w:rsid w:val="043D3A3C"/>
    <w:rsid w:val="044D771D"/>
    <w:rsid w:val="044F225E"/>
    <w:rsid w:val="0453127A"/>
    <w:rsid w:val="0462655C"/>
    <w:rsid w:val="04671AF4"/>
    <w:rsid w:val="0467789F"/>
    <w:rsid w:val="046D5DE0"/>
    <w:rsid w:val="046F52E9"/>
    <w:rsid w:val="04770389"/>
    <w:rsid w:val="047B1E84"/>
    <w:rsid w:val="047E7170"/>
    <w:rsid w:val="04802939"/>
    <w:rsid w:val="04806B11"/>
    <w:rsid w:val="04822C51"/>
    <w:rsid w:val="04841778"/>
    <w:rsid w:val="04873C0F"/>
    <w:rsid w:val="04892F7A"/>
    <w:rsid w:val="048D195A"/>
    <w:rsid w:val="0496363A"/>
    <w:rsid w:val="04964424"/>
    <w:rsid w:val="04992B18"/>
    <w:rsid w:val="049D3B7D"/>
    <w:rsid w:val="04A1495E"/>
    <w:rsid w:val="04A3117E"/>
    <w:rsid w:val="04A44D8E"/>
    <w:rsid w:val="04A53D14"/>
    <w:rsid w:val="04A93BA3"/>
    <w:rsid w:val="04AB0032"/>
    <w:rsid w:val="04AC5B58"/>
    <w:rsid w:val="04AC6DE5"/>
    <w:rsid w:val="04AF1964"/>
    <w:rsid w:val="04B05649"/>
    <w:rsid w:val="04B07BE1"/>
    <w:rsid w:val="04B2532F"/>
    <w:rsid w:val="04B830C1"/>
    <w:rsid w:val="04BA2023"/>
    <w:rsid w:val="04BA4C7D"/>
    <w:rsid w:val="04BC2EB2"/>
    <w:rsid w:val="04C64E6C"/>
    <w:rsid w:val="04CA4143"/>
    <w:rsid w:val="04D146D9"/>
    <w:rsid w:val="04D57F4E"/>
    <w:rsid w:val="04D97593"/>
    <w:rsid w:val="04DE5CC1"/>
    <w:rsid w:val="04E50456"/>
    <w:rsid w:val="04E57BE9"/>
    <w:rsid w:val="04EE0917"/>
    <w:rsid w:val="04F17FCA"/>
    <w:rsid w:val="04F35535"/>
    <w:rsid w:val="04F4393C"/>
    <w:rsid w:val="04F51041"/>
    <w:rsid w:val="04F574FF"/>
    <w:rsid w:val="04FB6CA5"/>
    <w:rsid w:val="04FD03D8"/>
    <w:rsid w:val="04FF31ED"/>
    <w:rsid w:val="04FF4175"/>
    <w:rsid w:val="050355D2"/>
    <w:rsid w:val="05044AF9"/>
    <w:rsid w:val="050C088E"/>
    <w:rsid w:val="05111DBD"/>
    <w:rsid w:val="051304B1"/>
    <w:rsid w:val="0519537F"/>
    <w:rsid w:val="051D23B5"/>
    <w:rsid w:val="05204AF2"/>
    <w:rsid w:val="05232BB3"/>
    <w:rsid w:val="05315B92"/>
    <w:rsid w:val="05377B18"/>
    <w:rsid w:val="053C2598"/>
    <w:rsid w:val="053C4D34"/>
    <w:rsid w:val="05401A25"/>
    <w:rsid w:val="05412745"/>
    <w:rsid w:val="0546428C"/>
    <w:rsid w:val="054A5C05"/>
    <w:rsid w:val="054C4204"/>
    <w:rsid w:val="054E2399"/>
    <w:rsid w:val="05533444"/>
    <w:rsid w:val="055B54C4"/>
    <w:rsid w:val="055D3FA1"/>
    <w:rsid w:val="056059F7"/>
    <w:rsid w:val="05624790"/>
    <w:rsid w:val="056621AB"/>
    <w:rsid w:val="05685F23"/>
    <w:rsid w:val="05692CEB"/>
    <w:rsid w:val="056D77F4"/>
    <w:rsid w:val="057256BC"/>
    <w:rsid w:val="057C1154"/>
    <w:rsid w:val="0581679A"/>
    <w:rsid w:val="05832D5D"/>
    <w:rsid w:val="05834B0B"/>
    <w:rsid w:val="0586026D"/>
    <w:rsid w:val="058645FB"/>
    <w:rsid w:val="058E48DD"/>
    <w:rsid w:val="0596483F"/>
    <w:rsid w:val="05976809"/>
    <w:rsid w:val="059771FE"/>
    <w:rsid w:val="0599675D"/>
    <w:rsid w:val="059A406C"/>
    <w:rsid w:val="05A53D39"/>
    <w:rsid w:val="05AA6018"/>
    <w:rsid w:val="05AA6ECF"/>
    <w:rsid w:val="05AC28F4"/>
    <w:rsid w:val="05AF1133"/>
    <w:rsid w:val="05AF6A3D"/>
    <w:rsid w:val="05AF76AE"/>
    <w:rsid w:val="05B55267"/>
    <w:rsid w:val="05B660BC"/>
    <w:rsid w:val="05B922DB"/>
    <w:rsid w:val="05BB6053"/>
    <w:rsid w:val="05C14E93"/>
    <w:rsid w:val="05C173E2"/>
    <w:rsid w:val="05C47C84"/>
    <w:rsid w:val="05CA098C"/>
    <w:rsid w:val="05DE5C05"/>
    <w:rsid w:val="05E01F5E"/>
    <w:rsid w:val="05EE7A21"/>
    <w:rsid w:val="05EF03F3"/>
    <w:rsid w:val="05F03F1F"/>
    <w:rsid w:val="05F74FD6"/>
    <w:rsid w:val="06015BFD"/>
    <w:rsid w:val="0608138F"/>
    <w:rsid w:val="06085010"/>
    <w:rsid w:val="06166C5B"/>
    <w:rsid w:val="06167B46"/>
    <w:rsid w:val="0618237D"/>
    <w:rsid w:val="061A703B"/>
    <w:rsid w:val="061F3DF2"/>
    <w:rsid w:val="06224324"/>
    <w:rsid w:val="06292793"/>
    <w:rsid w:val="062953DC"/>
    <w:rsid w:val="063302DF"/>
    <w:rsid w:val="06364822"/>
    <w:rsid w:val="063902D9"/>
    <w:rsid w:val="063B7194"/>
    <w:rsid w:val="06420131"/>
    <w:rsid w:val="0644691C"/>
    <w:rsid w:val="06473E71"/>
    <w:rsid w:val="064918B1"/>
    <w:rsid w:val="064A5629"/>
    <w:rsid w:val="064C13DA"/>
    <w:rsid w:val="064C5DA0"/>
    <w:rsid w:val="065169B7"/>
    <w:rsid w:val="06563A2F"/>
    <w:rsid w:val="06594B88"/>
    <w:rsid w:val="065C4451"/>
    <w:rsid w:val="06607022"/>
    <w:rsid w:val="06640B64"/>
    <w:rsid w:val="06657762"/>
    <w:rsid w:val="066B442F"/>
    <w:rsid w:val="066D09E8"/>
    <w:rsid w:val="066D20E0"/>
    <w:rsid w:val="06735A2A"/>
    <w:rsid w:val="067803E8"/>
    <w:rsid w:val="06791870"/>
    <w:rsid w:val="067A55A2"/>
    <w:rsid w:val="06821290"/>
    <w:rsid w:val="068341DC"/>
    <w:rsid w:val="06884418"/>
    <w:rsid w:val="068A4E6D"/>
    <w:rsid w:val="068C41F6"/>
    <w:rsid w:val="0698222A"/>
    <w:rsid w:val="069D5BEE"/>
    <w:rsid w:val="06A404EF"/>
    <w:rsid w:val="06A50AB1"/>
    <w:rsid w:val="06AB7088"/>
    <w:rsid w:val="06AC7FCB"/>
    <w:rsid w:val="06B220B1"/>
    <w:rsid w:val="06B4177E"/>
    <w:rsid w:val="06B546E4"/>
    <w:rsid w:val="06BD229F"/>
    <w:rsid w:val="06BD4818"/>
    <w:rsid w:val="06C14990"/>
    <w:rsid w:val="06C255FB"/>
    <w:rsid w:val="06C466BB"/>
    <w:rsid w:val="06C66564"/>
    <w:rsid w:val="06C67079"/>
    <w:rsid w:val="06C675E3"/>
    <w:rsid w:val="06D0501F"/>
    <w:rsid w:val="06D17F1E"/>
    <w:rsid w:val="06D64860"/>
    <w:rsid w:val="06DC4238"/>
    <w:rsid w:val="06DD2008"/>
    <w:rsid w:val="06DF3FC3"/>
    <w:rsid w:val="06E87E6F"/>
    <w:rsid w:val="06E91B3A"/>
    <w:rsid w:val="06E93471"/>
    <w:rsid w:val="06F23D1E"/>
    <w:rsid w:val="06F671DB"/>
    <w:rsid w:val="06FE7CDC"/>
    <w:rsid w:val="06FF392B"/>
    <w:rsid w:val="07057562"/>
    <w:rsid w:val="070E0BA1"/>
    <w:rsid w:val="07106873"/>
    <w:rsid w:val="0712012C"/>
    <w:rsid w:val="07147814"/>
    <w:rsid w:val="0715101A"/>
    <w:rsid w:val="07164A72"/>
    <w:rsid w:val="071D4AEC"/>
    <w:rsid w:val="07245DA2"/>
    <w:rsid w:val="07284CFD"/>
    <w:rsid w:val="0728618F"/>
    <w:rsid w:val="072A238A"/>
    <w:rsid w:val="072B0FB7"/>
    <w:rsid w:val="07335CEC"/>
    <w:rsid w:val="073A1C46"/>
    <w:rsid w:val="073B634E"/>
    <w:rsid w:val="073C2D1E"/>
    <w:rsid w:val="07423620"/>
    <w:rsid w:val="074958E1"/>
    <w:rsid w:val="074C58DC"/>
    <w:rsid w:val="07527CF9"/>
    <w:rsid w:val="075545BE"/>
    <w:rsid w:val="075615A8"/>
    <w:rsid w:val="07562B9A"/>
    <w:rsid w:val="075B7696"/>
    <w:rsid w:val="07641D0D"/>
    <w:rsid w:val="07662674"/>
    <w:rsid w:val="0767483A"/>
    <w:rsid w:val="076E785E"/>
    <w:rsid w:val="076F5C7C"/>
    <w:rsid w:val="07724E37"/>
    <w:rsid w:val="077309BA"/>
    <w:rsid w:val="077741FC"/>
    <w:rsid w:val="07781B1E"/>
    <w:rsid w:val="077A550A"/>
    <w:rsid w:val="07825F0E"/>
    <w:rsid w:val="07864814"/>
    <w:rsid w:val="078A03D3"/>
    <w:rsid w:val="07945FAF"/>
    <w:rsid w:val="07971D2A"/>
    <w:rsid w:val="07972AF0"/>
    <w:rsid w:val="07992EB2"/>
    <w:rsid w:val="079F3753"/>
    <w:rsid w:val="07A0475C"/>
    <w:rsid w:val="07A31B05"/>
    <w:rsid w:val="07A56862"/>
    <w:rsid w:val="07A82607"/>
    <w:rsid w:val="07AD3ABB"/>
    <w:rsid w:val="07B077CA"/>
    <w:rsid w:val="07B11440"/>
    <w:rsid w:val="07B216D8"/>
    <w:rsid w:val="07B42784"/>
    <w:rsid w:val="07BC0D1A"/>
    <w:rsid w:val="07BD0606"/>
    <w:rsid w:val="07C40FCD"/>
    <w:rsid w:val="07CD4764"/>
    <w:rsid w:val="07D879E1"/>
    <w:rsid w:val="07DF1979"/>
    <w:rsid w:val="07E0507A"/>
    <w:rsid w:val="07E61381"/>
    <w:rsid w:val="07E761B7"/>
    <w:rsid w:val="07EC2E3C"/>
    <w:rsid w:val="07EF46DA"/>
    <w:rsid w:val="07F66D0A"/>
    <w:rsid w:val="07F67835"/>
    <w:rsid w:val="07FD6DF7"/>
    <w:rsid w:val="07FF5772"/>
    <w:rsid w:val="080207BD"/>
    <w:rsid w:val="08053D0A"/>
    <w:rsid w:val="080F372F"/>
    <w:rsid w:val="0817323B"/>
    <w:rsid w:val="081A6BAD"/>
    <w:rsid w:val="08273974"/>
    <w:rsid w:val="08273E74"/>
    <w:rsid w:val="082A3964"/>
    <w:rsid w:val="082A73B9"/>
    <w:rsid w:val="082F56F4"/>
    <w:rsid w:val="08320A23"/>
    <w:rsid w:val="08345E02"/>
    <w:rsid w:val="08365A12"/>
    <w:rsid w:val="08372ED5"/>
    <w:rsid w:val="08400A92"/>
    <w:rsid w:val="08400F85"/>
    <w:rsid w:val="08403721"/>
    <w:rsid w:val="08430582"/>
    <w:rsid w:val="08460D9C"/>
    <w:rsid w:val="084D1037"/>
    <w:rsid w:val="085049F9"/>
    <w:rsid w:val="08507E33"/>
    <w:rsid w:val="08512C9F"/>
    <w:rsid w:val="085257EE"/>
    <w:rsid w:val="08531DD5"/>
    <w:rsid w:val="08541F2D"/>
    <w:rsid w:val="0854364F"/>
    <w:rsid w:val="08560593"/>
    <w:rsid w:val="08580653"/>
    <w:rsid w:val="0859235C"/>
    <w:rsid w:val="085A15A9"/>
    <w:rsid w:val="08634780"/>
    <w:rsid w:val="086379DD"/>
    <w:rsid w:val="086504F8"/>
    <w:rsid w:val="086F1195"/>
    <w:rsid w:val="0879029B"/>
    <w:rsid w:val="08795873"/>
    <w:rsid w:val="08796737"/>
    <w:rsid w:val="087B7D1C"/>
    <w:rsid w:val="087D36E3"/>
    <w:rsid w:val="08885FE3"/>
    <w:rsid w:val="088D58E5"/>
    <w:rsid w:val="088F138A"/>
    <w:rsid w:val="08903BD8"/>
    <w:rsid w:val="08931509"/>
    <w:rsid w:val="089332B7"/>
    <w:rsid w:val="089963F4"/>
    <w:rsid w:val="08A2799E"/>
    <w:rsid w:val="08A4283A"/>
    <w:rsid w:val="08A639AA"/>
    <w:rsid w:val="08B0513C"/>
    <w:rsid w:val="08B54488"/>
    <w:rsid w:val="08BE07C4"/>
    <w:rsid w:val="08BE5AB8"/>
    <w:rsid w:val="08BF40AC"/>
    <w:rsid w:val="08C0336E"/>
    <w:rsid w:val="08C203AB"/>
    <w:rsid w:val="08C20DA2"/>
    <w:rsid w:val="08C6543B"/>
    <w:rsid w:val="08C711B3"/>
    <w:rsid w:val="08CC4969"/>
    <w:rsid w:val="08D539E3"/>
    <w:rsid w:val="08D65C48"/>
    <w:rsid w:val="08DB73B0"/>
    <w:rsid w:val="08DE1C47"/>
    <w:rsid w:val="08E52080"/>
    <w:rsid w:val="08EC63BA"/>
    <w:rsid w:val="08EE6740"/>
    <w:rsid w:val="08EE6DAF"/>
    <w:rsid w:val="08FD5E73"/>
    <w:rsid w:val="09045F63"/>
    <w:rsid w:val="09067414"/>
    <w:rsid w:val="090C3804"/>
    <w:rsid w:val="09131FB5"/>
    <w:rsid w:val="091D71CF"/>
    <w:rsid w:val="0926412B"/>
    <w:rsid w:val="09292315"/>
    <w:rsid w:val="09323EEC"/>
    <w:rsid w:val="093B5F9E"/>
    <w:rsid w:val="093E60E8"/>
    <w:rsid w:val="09427C3A"/>
    <w:rsid w:val="094409C9"/>
    <w:rsid w:val="09474FBC"/>
    <w:rsid w:val="094D4667"/>
    <w:rsid w:val="094F0F52"/>
    <w:rsid w:val="09582DA3"/>
    <w:rsid w:val="095A4D4F"/>
    <w:rsid w:val="095A5B83"/>
    <w:rsid w:val="095D0712"/>
    <w:rsid w:val="09651679"/>
    <w:rsid w:val="09656ADE"/>
    <w:rsid w:val="09685C81"/>
    <w:rsid w:val="096B20A4"/>
    <w:rsid w:val="09704EF2"/>
    <w:rsid w:val="09734147"/>
    <w:rsid w:val="09760202"/>
    <w:rsid w:val="09761E33"/>
    <w:rsid w:val="097C2059"/>
    <w:rsid w:val="09807F91"/>
    <w:rsid w:val="0984355C"/>
    <w:rsid w:val="098A2122"/>
    <w:rsid w:val="098B1201"/>
    <w:rsid w:val="098D45B7"/>
    <w:rsid w:val="098E57E7"/>
    <w:rsid w:val="099240FF"/>
    <w:rsid w:val="0995305F"/>
    <w:rsid w:val="099E0166"/>
    <w:rsid w:val="09A514F4"/>
    <w:rsid w:val="09B024F6"/>
    <w:rsid w:val="09BD2D95"/>
    <w:rsid w:val="09BF7005"/>
    <w:rsid w:val="09C32102"/>
    <w:rsid w:val="09C875A3"/>
    <w:rsid w:val="09C94BC3"/>
    <w:rsid w:val="09C97575"/>
    <w:rsid w:val="09CA3930"/>
    <w:rsid w:val="09CC3BAD"/>
    <w:rsid w:val="09D60615"/>
    <w:rsid w:val="09D73678"/>
    <w:rsid w:val="09E244D3"/>
    <w:rsid w:val="09E44204"/>
    <w:rsid w:val="09E55D95"/>
    <w:rsid w:val="09F410FD"/>
    <w:rsid w:val="09F61D50"/>
    <w:rsid w:val="09F85300"/>
    <w:rsid w:val="09F9533F"/>
    <w:rsid w:val="09FA1862"/>
    <w:rsid w:val="0A136F96"/>
    <w:rsid w:val="0A141092"/>
    <w:rsid w:val="0A18215B"/>
    <w:rsid w:val="0A1A5515"/>
    <w:rsid w:val="0A1C206E"/>
    <w:rsid w:val="0A1F3AFB"/>
    <w:rsid w:val="0A220467"/>
    <w:rsid w:val="0A287A2F"/>
    <w:rsid w:val="0A2D0238"/>
    <w:rsid w:val="0A35648F"/>
    <w:rsid w:val="0A3D4730"/>
    <w:rsid w:val="0A406793"/>
    <w:rsid w:val="0A4C7BC2"/>
    <w:rsid w:val="0A4F2112"/>
    <w:rsid w:val="0A4F76B2"/>
    <w:rsid w:val="0A562C91"/>
    <w:rsid w:val="0A562EAD"/>
    <w:rsid w:val="0A5700E0"/>
    <w:rsid w:val="0A5E153D"/>
    <w:rsid w:val="0A5F6FCC"/>
    <w:rsid w:val="0A61724E"/>
    <w:rsid w:val="0A720B8B"/>
    <w:rsid w:val="0A761D8B"/>
    <w:rsid w:val="0A762E91"/>
    <w:rsid w:val="0A7F0DF3"/>
    <w:rsid w:val="0A862689"/>
    <w:rsid w:val="0A8643B4"/>
    <w:rsid w:val="0A877A05"/>
    <w:rsid w:val="0A88671B"/>
    <w:rsid w:val="0A8A4F8C"/>
    <w:rsid w:val="0A8B671A"/>
    <w:rsid w:val="0A8D53E6"/>
    <w:rsid w:val="0A941E7B"/>
    <w:rsid w:val="0A990353"/>
    <w:rsid w:val="0AA3367A"/>
    <w:rsid w:val="0AA479FE"/>
    <w:rsid w:val="0AA85816"/>
    <w:rsid w:val="0AAE20B2"/>
    <w:rsid w:val="0AB144E5"/>
    <w:rsid w:val="0AB37C41"/>
    <w:rsid w:val="0AB72AB4"/>
    <w:rsid w:val="0ABF45E0"/>
    <w:rsid w:val="0AD029E3"/>
    <w:rsid w:val="0AD06D46"/>
    <w:rsid w:val="0AD20D78"/>
    <w:rsid w:val="0AD95FEE"/>
    <w:rsid w:val="0ADA2CA9"/>
    <w:rsid w:val="0ADF46B7"/>
    <w:rsid w:val="0AE15AA2"/>
    <w:rsid w:val="0AE50CEA"/>
    <w:rsid w:val="0AE74A9B"/>
    <w:rsid w:val="0AEB1D55"/>
    <w:rsid w:val="0AEF28BE"/>
    <w:rsid w:val="0AF66B05"/>
    <w:rsid w:val="0AFA5870"/>
    <w:rsid w:val="0AFD0EBC"/>
    <w:rsid w:val="0AFF2E86"/>
    <w:rsid w:val="0AFF39E9"/>
    <w:rsid w:val="0B016BFE"/>
    <w:rsid w:val="0B030A0E"/>
    <w:rsid w:val="0B057D70"/>
    <w:rsid w:val="0B0C55A3"/>
    <w:rsid w:val="0B0E003D"/>
    <w:rsid w:val="0B0F543F"/>
    <w:rsid w:val="0B165FCB"/>
    <w:rsid w:val="0B1A1A6E"/>
    <w:rsid w:val="0B1D5061"/>
    <w:rsid w:val="0B1F3335"/>
    <w:rsid w:val="0B210D44"/>
    <w:rsid w:val="0B2D79F3"/>
    <w:rsid w:val="0B354AFA"/>
    <w:rsid w:val="0B373A25"/>
    <w:rsid w:val="0B3B7F3C"/>
    <w:rsid w:val="0B3D750A"/>
    <w:rsid w:val="0B3F14D4"/>
    <w:rsid w:val="0B3F7726"/>
    <w:rsid w:val="0B490628"/>
    <w:rsid w:val="0B4A6D39"/>
    <w:rsid w:val="0B4D084E"/>
    <w:rsid w:val="0B5001FD"/>
    <w:rsid w:val="0B5255EB"/>
    <w:rsid w:val="0B5331D2"/>
    <w:rsid w:val="0B5D62E7"/>
    <w:rsid w:val="0B5E6C1B"/>
    <w:rsid w:val="0B685A51"/>
    <w:rsid w:val="0B7050D0"/>
    <w:rsid w:val="0B780CAF"/>
    <w:rsid w:val="0B786794"/>
    <w:rsid w:val="0B7C78A1"/>
    <w:rsid w:val="0B94665C"/>
    <w:rsid w:val="0B955093"/>
    <w:rsid w:val="0B9648CA"/>
    <w:rsid w:val="0B970C03"/>
    <w:rsid w:val="0B98470C"/>
    <w:rsid w:val="0B9956E6"/>
    <w:rsid w:val="0B996E37"/>
    <w:rsid w:val="0B9B3CCE"/>
    <w:rsid w:val="0B9E756F"/>
    <w:rsid w:val="0BA62356"/>
    <w:rsid w:val="0BAA1E73"/>
    <w:rsid w:val="0BAB0918"/>
    <w:rsid w:val="0BB15CE2"/>
    <w:rsid w:val="0BBE7D93"/>
    <w:rsid w:val="0BC31E67"/>
    <w:rsid w:val="0BC639A4"/>
    <w:rsid w:val="0BC75C03"/>
    <w:rsid w:val="0BCF0D6E"/>
    <w:rsid w:val="0BD25244"/>
    <w:rsid w:val="0BD72135"/>
    <w:rsid w:val="0BDB390D"/>
    <w:rsid w:val="0BDD0790"/>
    <w:rsid w:val="0BDD4638"/>
    <w:rsid w:val="0BDE7B9C"/>
    <w:rsid w:val="0BE24B2A"/>
    <w:rsid w:val="0BE3664B"/>
    <w:rsid w:val="0BEB2FDB"/>
    <w:rsid w:val="0BF31F88"/>
    <w:rsid w:val="0BF5093F"/>
    <w:rsid w:val="0BFB189F"/>
    <w:rsid w:val="0BFC5617"/>
    <w:rsid w:val="0BFD5229"/>
    <w:rsid w:val="0C0238B6"/>
    <w:rsid w:val="0C095932"/>
    <w:rsid w:val="0C0D7E74"/>
    <w:rsid w:val="0C1309B3"/>
    <w:rsid w:val="0C154760"/>
    <w:rsid w:val="0C166DCE"/>
    <w:rsid w:val="0C216E2C"/>
    <w:rsid w:val="0C2565F7"/>
    <w:rsid w:val="0C272694"/>
    <w:rsid w:val="0C2B072E"/>
    <w:rsid w:val="0C2F5900"/>
    <w:rsid w:val="0C312359"/>
    <w:rsid w:val="0C370695"/>
    <w:rsid w:val="0C38015F"/>
    <w:rsid w:val="0C385E6D"/>
    <w:rsid w:val="0C3B0D7B"/>
    <w:rsid w:val="0C3D6E4B"/>
    <w:rsid w:val="0C4072B2"/>
    <w:rsid w:val="0C4147F3"/>
    <w:rsid w:val="0C4B0B48"/>
    <w:rsid w:val="0C4F74F5"/>
    <w:rsid w:val="0C546A20"/>
    <w:rsid w:val="0C593A85"/>
    <w:rsid w:val="0C6658D4"/>
    <w:rsid w:val="0C6963A5"/>
    <w:rsid w:val="0C6A762B"/>
    <w:rsid w:val="0C6B4035"/>
    <w:rsid w:val="0C6B61EE"/>
    <w:rsid w:val="0C6C00A7"/>
    <w:rsid w:val="0C6D2071"/>
    <w:rsid w:val="0C6F3B75"/>
    <w:rsid w:val="0C7E602C"/>
    <w:rsid w:val="0C802078"/>
    <w:rsid w:val="0C8607FB"/>
    <w:rsid w:val="0C8C56BB"/>
    <w:rsid w:val="0C903A31"/>
    <w:rsid w:val="0C90491D"/>
    <w:rsid w:val="0C932F02"/>
    <w:rsid w:val="0C933B09"/>
    <w:rsid w:val="0C97046E"/>
    <w:rsid w:val="0CA20DF1"/>
    <w:rsid w:val="0CA34C64"/>
    <w:rsid w:val="0CA53F3A"/>
    <w:rsid w:val="0CA87886"/>
    <w:rsid w:val="0CAF57CC"/>
    <w:rsid w:val="0CB101B0"/>
    <w:rsid w:val="0CB80BBA"/>
    <w:rsid w:val="0CBE1C5E"/>
    <w:rsid w:val="0CC04B54"/>
    <w:rsid w:val="0CC06DC6"/>
    <w:rsid w:val="0CC12374"/>
    <w:rsid w:val="0CC41DD4"/>
    <w:rsid w:val="0CC56735"/>
    <w:rsid w:val="0CC92786"/>
    <w:rsid w:val="0CD30126"/>
    <w:rsid w:val="0CD83387"/>
    <w:rsid w:val="0CDA6B23"/>
    <w:rsid w:val="0CDC30C8"/>
    <w:rsid w:val="0CDC5AA4"/>
    <w:rsid w:val="0CDD6EE1"/>
    <w:rsid w:val="0CDE4FA4"/>
    <w:rsid w:val="0CDF4AFB"/>
    <w:rsid w:val="0CE94F94"/>
    <w:rsid w:val="0CED067B"/>
    <w:rsid w:val="0CED24A5"/>
    <w:rsid w:val="0CF66F6C"/>
    <w:rsid w:val="0CFC6488"/>
    <w:rsid w:val="0CFF00B2"/>
    <w:rsid w:val="0D0309E4"/>
    <w:rsid w:val="0D0B3D64"/>
    <w:rsid w:val="0D1158BC"/>
    <w:rsid w:val="0D186481"/>
    <w:rsid w:val="0D1D5BF4"/>
    <w:rsid w:val="0D201A95"/>
    <w:rsid w:val="0D286E37"/>
    <w:rsid w:val="0D2E4510"/>
    <w:rsid w:val="0D2E7CDA"/>
    <w:rsid w:val="0D304B21"/>
    <w:rsid w:val="0D4A61F6"/>
    <w:rsid w:val="0D4F0152"/>
    <w:rsid w:val="0D5A4C9D"/>
    <w:rsid w:val="0D5E127F"/>
    <w:rsid w:val="0D606801"/>
    <w:rsid w:val="0D636535"/>
    <w:rsid w:val="0D692839"/>
    <w:rsid w:val="0D777890"/>
    <w:rsid w:val="0D790005"/>
    <w:rsid w:val="0D793F75"/>
    <w:rsid w:val="0D8323B8"/>
    <w:rsid w:val="0D8D3FD0"/>
    <w:rsid w:val="0D8F3E2F"/>
    <w:rsid w:val="0D900001"/>
    <w:rsid w:val="0D947DEF"/>
    <w:rsid w:val="0D984ECC"/>
    <w:rsid w:val="0D993238"/>
    <w:rsid w:val="0D9960F6"/>
    <w:rsid w:val="0D9B3836"/>
    <w:rsid w:val="0D9D017D"/>
    <w:rsid w:val="0DA153BE"/>
    <w:rsid w:val="0DA24802"/>
    <w:rsid w:val="0DA570AA"/>
    <w:rsid w:val="0DA908D1"/>
    <w:rsid w:val="0DB87064"/>
    <w:rsid w:val="0DBA12E6"/>
    <w:rsid w:val="0DBF06AB"/>
    <w:rsid w:val="0DC61A39"/>
    <w:rsid w:val="0DC80D06"/>
    <w:rsid w:val="0DC932D7"/>
    <w:rsid w:val="0DC97C18"/>
    <w:rsid w:val="0DD37D4F"/>
    <w:rsid w:val="0DD70E5E"/>
    <w:rsid w:val="0DD86494"/>
    <w:rsid w:val="0DD91F3D"/>
    <w:rsid w:val="0DE1509D"/>
    <w:rsid w:val="0DE9567C"/>
    <w:rsid w:val="0DED31DA"/>
    <w:rsid w:val="0DEF2F72"/>
    <w:rsid w:val="0DF849E2"/>
    <w:rsid w:val="0DF854CB"/>
    <w:rsid w:val="0DF85636"/>
    <w:rsid w:val="0DF90060"/>
    <w:rsid w:val="0DFF2925"/>
    <w:rsid w:val="0E012A71"/>
    <w:rsid w:val="0E020709"/>
    <w:rsid w:val="0E037125"/>
    <w:rsid w:val="0E087379"/>
    <w:rsid w:val="0E0D1416"/>
    <w:rsid w:val="0E0F2E28"/>
    <w:rsid w:val="0E105F97"/>
    <w:rsid w:val="0E111189"/>
    <w:rsid w:val="0E15148E"/>
    <w:rsid w:val="0E16133B"/>
    <w:rsid w:val="0E1A54A6"/>
    <w:rsid w:val="0E1D4C94"/>
    <w:rsid w:val="0E1E01D2"/>
    <w:rsid w:val="0E2350DD"/>
    <w:rsid w:val="0E237ECF"/>
    <w:rsid w:val="0E2C57A6"/>
    <w:rsid w:val="0E2E1FA8"/>
    <w:rsid w:val="0E3A08A5"/>
    <w:rsid w:val="0E3B4AAC"/>
    <w:rsid w:val="0E3F4A94"/>
    <w:rsid w:val="0E444E25"/>
    <w:rsid w:val="0E4528EE"/>
    <w:rsid w:val="0E461CF5"/>
    <w:rsid w:val="0E463841"/>
    <w:rsid w:val="0E463F6A"/>
    <w:rsid w:val="0E476241"/>
    <w:rsid w:val="0E4860E1"/>
    <w:rsid w:val="0E490AEC"/>
    <w:rsid w:val="0E4E095A"/>
    <w:rsid w:val="0E533A22"/>
    <w:rsid w:val="0E5400D2"/>
    <w:rsid w:val="0E563ECD"/>
    <w:rsid w:val="0E5D50FC"/>
    <w:rsid w:val="0E5E0B3E"/>
    <w:rsid w:val="0E6260ED"/>
    <w:rsid w:val="0E6354DA"/>
    <w:rsid w:val="0E6D75F7"/>
    <w:rsid w:val="0E7073F8"/>
    <w:rsid w:val="0E770F85"/>
    <w:rsid w:val="0E7A7A80"/>
    <w:rsid w:val="0E801240"/>
    <w:rsid w:val="0E843002"/>
    <w:rsid w:val="0E8C2C83"/>
    <w:rsid w:val="0E8D165D"/>
    <w:rsid w:val="0E8D2FCC"/>
    <w:rsid w:val="0E93689F"/>
    <w:rsid w:val="0E94261D"/>
    <w:rsid w:val="0E987FFF"/>
    <w:rsid w:val="0E9944EA"/>
    <w:rsid w:val="0E9C4E00"/>
    <w:rsid w:val="0EA06123"/>
    <w:rsid w:val="0EA3321E"/>
    <w:rsid w:val="0EA55D77"/>
    <w:rsid w:val="0EAA66D7"/>
    <w:rsid w:val="0EB21234"/>
    <w:rsid w:val="0EB331E4"/>
    <w:rsid w:val="0EB5186D"/>
    <w:rsid w:val="0EBC4BEA"/>
    <w:rsid w:val="0EBF43D5"/>
    <w:rsid w:val="0EC419EC"/>
    <w:rsid w:val="0EC73CBB"/>
    <w:rsid w:val="0ECD0E2A"/>
    <w:rsid w:val="0ED11030"/>
    <w:rsid w:val="0ED308B1"/>
    <w:rsid w:val="0ED45063"/>
    <w:rsid w:val="0ED629D9"/>
    <w:rsid w:val="0ED86D8A"/>
    <w:rsid w:val="0EDA3323"/>
    <w:rsid w:val="0EDA6A03"/>
    <w:rsid w:val="0EE024C9"/>
    <w:rsid w:val="0EE216E8"/>
    <w:rsid w:val="0EEB3C41"/>
    <w:rsid w:val="0EF16957"/>
    <w:rsid w:val="0EF56A7A"/>
    <w:rsid w:val="0EF56BB3"/>
    <w:rsid w:val="0EFA0064"/>
    <w:rsid w:val="0EFD148A"/>
    <w:rsid w:val="0EFD4B79"/>
    <w:rsid w:val="0EFE379D"/>
    <w:rsid w:val="0F090320"/>
    <w:rsid w:val="0F092098"/>
    <w:rsid w:val="0F0C6E52"/>
    <w:rsid w:val="0F145994"/>
    <w:rsid w:val="0F180126"/>
    <w:rsid w:val="0F1E5006"/>
    <w:rsid w:val="0F206D18"/>
    <w:rsid w:val="0F31247F"/>
    <w:rsid w:val="0F360E40"/>
    <w:rsid w:val="0F362BEE"/>
    <w:rsid w:val="0F3A448D"/>
    <w:rsid w:val="0F3E4FBF"/>
    <w:rsid w:val="0F3F7CF5"/>
    <w:rsid w:val="0F4527B9"/>
    <w:rsid w:val="0F4838EA"/>
    <w:rsid w:val="0F491260"/>
    <w:rsid w:val="0F4E1CE6"/>
    <w:rsid w:val="0F4E567B"/>
    <w:rsid w:val="0F5070D3"/>
    <w:rsid w:val="0F527A16"/>
    <w:rsid w:val="0F5372FC"/>
    <w:rsid w:val="0F552295"/>
    <w:rsid w:val="0F555D3E"/>
    <w:rsid w:val="0F596082"/>
    <w:rsid w:val="0F5A4C3C"/>
    <w:rsid w:val="0F680516"/>
    <w:rsid w:val="0F6B05BA"/>
    <w:rsid w:val="0F7331B1"/>
    <w:rsid w:val="0F830CF9"/>
    <w:rsid w:val="0F835DE1"/>
    <w:rsid w:val="0F845C87"/>
    <w:rsid w:val="0F851480"/>
    <w:rsid w:val="0F8807D3"/>
    <w:rsid w:val="0F8C7EC0"/>
    <w:rsid w:val="0F9069D9"/>
    <w:rsid w:val="0F957915"/>
    <w:rsid w:val="0F985025"/>
    <w:rsid w:val="0FA022E0"/>
    <w:rsid w:val="0FA65900"/>
    <w:rsid w:val="0FA715B7"/>
    <w:rsid w:val="0FAB0735"/>
    <w:rsid w:val="0FAB73CF"/>
    <w:rsid w:val="0FAD3495"/>
    <w:rsid w:val="0FAE09D7"/>
    <w:rsid w:val="0FB33DBD"/>
    <w:rsid w:val="0FBA136E"/>
    <w:rsid w:val="0FBF2BE4"/>
    <w:rsid w:val="0FC67596"/>
    <w:rsid w:val="0FCF6299"/>
    <w:rsid w:val="0FD22B86"/>
    <w:rsid w:val="0FD23538"/>
    <w:rsid w:val="0FD348E1"/>
    <w:rsid w:val="0FDE2763"/>
    <w:rsid w:val="0FE46AE5"/>
    <w:rsid w:val="0FE64614"/>
    <w:rsid w:val="0FEA7956"/>
    <w:rsid w:val="0FED5FE3"/>
    <w:rsid w:val="0FF2619D"/>
    <w:rsid w:val="0FF36E45"/>
    <w:rsid w:val="0FF82BFE"/>
    <w:rsid w:val="0FFF7484"/>
    <w:rsid w:val="10002E78"/>
    <w:rsid w:val="10021C8E"/>
    <w:rsid w:val="10090303"/>
    <w:rsid w:val="100A088B"/>
    <w:rsid w:val="100D6538"/>
    <w:rsid w:val="100E0F3F"/>
    <w:rsid w:val="10120548"/>
    <w:rsid w:val="10125409"/>
    <w:rsid w:val="10126035"/>
    <w:rsid w:val="101441E2"/>
    <w:rsid w:val="101D1BBB"/>
    <w:rsid w:val="101E557F"/>
    <w:rsid w:val="10205AAD"/>
    <w:rsid w:val="10220902"/>
    <w:rsid w:val="10273174"/>
    <w:rsid w:val="10280FE6"/>
    <w:rsid w:val="102B2027"/>
    <w:rsid w:val="102C76B3"/>
    <w:rsid w:val="102F3B57"/>
    <w:rsid w:val="1030329B"/>
    <w:rsid w:val="10324889"/>
    <w:rsid w:val="10351C5D"/>
    <w:rsid w:val="10372E40"/>
    <w:rsid w:val="10377484"/>
    <w:rsid w:val="103C5FE2"/>
    <w:rsid w:val="10417AB4"/>
    <w:rsid w:val="104A41B1"/>
    <w:rsid w:val="10540ECD"/>
    <w:rsid w:val="105E407C"/>
    <w:rsid w:val="106C7853"/>
    <w:rsid w:val="106E1F45"/>
    <w:rsid w:val="106F460A"/>
    <w:rsid w:val="10710B24"/>
    <w:rsid w:val="1075299E"/>
    <w:rsid w:val="107921C2"/>
    <w:rsid w:val="107E07FE"/>
    <w:rsid w:val="1083654E"/>
    <w:rsid w:val="1084133C"/>
    <w:rsid w:val="10843C64"/>
    <w:rsid w:val="108B5C75"/>
    <w:rsid w:val="10927871"/>
    <w:rsid w:val="10931ACE"/>
    <w:rsid w:val="109B2457"/>
    <w:rsid w:val="109B7694"/>
    <w:rsid w:val="109C559F"/>
    <w:rsid w:val="10A305EF"/>
    <w:rsid w:val="10A86948"/>
    <w:rsid w:val="10AA1215"/>
    <w:rsid w:val="10AC5DB4"/>
    <w:rsid w:val="10BB15FD"/>
    <w:rsid w:val="10BC41A8"/>
    <w:rsid w:val="10BD4B6E"/>
    <w:rsid w:val="10C0129B"/>
    <w:rsid w:val="10C32E2F"/>
    <w:rsid w:val="10CA1840"/>
    <w:rsid w:val="10CA79BF"/>
    <w:rsid w:val="10CC1442"/>
    <w:rsid w:val="10D13D4E"/>
    <w:rsid w:val="10D8735E"/>
    <w:rsid w:val="10D948AF"/>
    <w:rsid w:val="10DB6AC5"/>
    <w:rsid w:val="10E123A2"/>
    <w:rsid w:val="10E55858"/>
    <w:rsid w:val="10E8122E"/>
    <w:rsid w:val="10E90235"/>
    <w:rsid w:val="10E93D19"/>
    <w:rsid w:val="10EC5C5A"/>
    <w:rsid w:val="10EE58BA"/>
    <w:rsid w:val="10F16B8E"/>
    <w:rsid w:val="10F26C4B"/>
    <w:rsid w:val="10F60887"/>
    <w:rsid w:val="11002024"/>
    <w:rsid w:val="11010BE5"/>
    <w:rsid w:val="1101215E"/>
    <w:rsid w:val="11020FDA"/>
    <w:rsid w:val="1107086A"/>
    <w:rsid w:val="110A60E1"/>
    <w:rsid w:val="110A63B9"/>
    <w:rsid w:val="11146F5F"/>
    <w:rsid w:val="111508F5"/>
    <w:rsid w:val="11187121"/>
    <w:rsid w:val="111D4066"/>
    <w:rsid w:val="112467A8"/>
    <w:rsid w:val="112545FE"/>
    <w:rsid w:val="112673D2"/>
    <w:rsid w:val="11272A81"/>
    <w:rsid w:val="112813EC"/>
    <w:rsid w:val="112E0750"/>
    <w:rsid w:val="1131366D"/>
    <w:rsid w:val="11343C71"/>
    <w:rsid w:val="113A2F43"/>
    <w:rsid w:val="113D1A76"/>
    <w:rsid w:val="113D2902"/>
    <w:rsid w:val="1140061F"/>
    <w:rsid w:val="11406900"/>
    <w:rsid w:val="11421D1E"/>
    <w:rsid w:val="11432411"/>
    <w:rsid w:val="114B0EAA"/>
    <w:rsid w:val="114F3FEB"/>
    <w:rsid w:val="1150476A"/>
    <w:rsid w:val="11511756"/>
    <w:rsid w:val="11560B91"/>
    <w:rsid w:val="11563B20"/>
    <w:rsid w:val="115F619C"/>
    <w:rsid w:val="1166278E"/>
    <w:rsid w:val="116B3023"/>
    <w:rsid w:val="116E28E7"/>
    <w:rsid w:val="1170636B"/>
    <w:rsid w:val="11726C24"/>
    <w:rsid w:val="117479FE"/>
    <w:rsid w:val="11791BDA"/>
    <w:rsid w:val="11800151"/>
    <w:rsid w:val="118151C6"/>
    <w:rsid w:val="11883982"/>
    <w:rsid w:val="118C11EC"/>
    <w:rsid w:val="11900568"/>
    <w:rsid w:val="119D25D7"/>
    <w:rsid w:val="119F0F1F"/>
    <w:rsid w:val="11A3453B"/>
    <w:rsid w:val="11A5473B"/>
    <w:rsid w:val="11A976A8"/>
    <w:rsid w:val="11AA18AD"/>
    <w:rsid w:val="11AF5A91"/>
    <w:rsid w:val="11B13A44"/>
    <w:rsid w:val="11B469EC"/>
    <w:rsid w:val="11B64B9D"/>
    <w:rsid w:val="11B70129"/>
    <w:rsid w:val="11BA3C77"/>
    <w:rsid w:val="11C34C5A"/>
    <w:rsid w:val="11C35EBE"/>
    <w:rsid w:val="11C826A1"/>
    <w:rsid w:val="11C82E11"/>
    <w:rsid w:val="11C91AF8"/>
    <w:rsid w:val="11C949CA"/>
    <w:rsid w:val="11CB40E2"/>
    <w:rsid w:val="11CB5A56"/>
    <w:rsid w:val="11CD0310"/>
    <w:rsid w:val="11CF64D1"/>
    <w:rsid w:val="11D16BFE"/>
    <w:rsid w:val="11D27F85"/>
    <w:rsid w:val="11D7281B"/>
    <w:rsid w:val="11D93657"/>
    <w:rsid w:val="11DA3722"/>
    <w:rsid w:val="11DA3C43"/>
    <w:rsid w:val="11E57CD7"/>
    <w:rsid w:val="11E62926"/>
    <w:rsid w:val="11E7019B"/>
    <w:rsid w:val="11EB5F12"/>
    <w:rsid w:val="11EC3A38"/>
    <w:rsid w:val="11F12249"/>
    <w:rsid w:val="11F2487A"/>
    <w:rsid w:val="12041F1C"/>
    <w:rsid w:val="12080872"/>
    <w:rsid w:val="120B35D2"/>
    <w:rsid w:val="120C60C8"/>
    <w:rsid w:val="12126BE3"/>
    <w:rsid w:val="12130FC5"/>
    <w:rsid w:val="12165DE3"/>
    <w:rsid w:val="121C2BD8"/>
    <w:rsid w:val="12244421"/>
    <w:rsid w:val="122641D1"/>
    <w:rsid w:val="12273289"/>
    <w:rsid w:val="12292105"/>
    <w:rsid w:val="12355743"/>
    <w:rsid w:val="123A15D8"/>
    <w:rsid w:val="123F1856"/>
    <w:rsid w:val="124A1D2C"/>
    <w:rsid w:val="124F40E9"/>
    <w:rsid w:val="12525F91"/>
    <w:rsid w:val="125B5D86"/>
    <w:rsid w:val="12614F87"/>
    <w:rsid w:val="12625391"/>
    <w:rsid w:val="12674DCE"/>
    <w:rsid w:val="12696E37"/>
    <w:rsid w:val="126F5ED9"/>
    <w:rsid w:val="12744159"/>
    <w:rsid w:val="12771ACB"/>
    <w:rsid w:val="1288550F"/>
    <w:rsid w:val="12892C0E"/>
    <w:rsid w:val="12902616"/>
    <w:rsid w:val="12916AA7"/>
    <w:rsid w:val="12953FC0"/>
    <w:rsid w:val="12956B09"/>
    <w:rsid w:val="12977E48"/>
    <w:rsid w:val="1299328B"/>
    <w:rsid w:val="12A035E9"/>
    <w:rsid w:val="12A04B9A"/>
    <w:rsid w:val="12A30DA6"/>
    <w:rsid w:val="12A31A6A"/>
    <w:rsid w:val="12A52565"/>
    <w:rsid w:val="12A73D26"/>
    <w:rsid w:val="12AE184F"/>
    <w:rsid w:val="12B46304"/>
    <w:rsid w:val="12BB714B"/>
    <w:rsid w:val="12BB7B92"/>
    <w:rsid w:val="12BD4102"/>
    <w:rsid w:val="12C23A7C"/>
    <w:rsid w:val="12C744D8"/>
    <w:rsid w:val="12D03C66"/>
    <w:rsid w:val="12D06EB6"/>
    <w:rsid w:val="12D37006"/>
    <w:rsid w:val="12D919C1"/>
    <w:rsid w:val="12DE519C"/>
    <w:rsid w:val="12DF4D7E"/>
    <w:rsid w:val="12E04EEB"/>
    <w:rsid w:val="12E10DF9"/>
    <w:rsid w:val="12E94BA8"/>
    <w:rsid w:val="12EE7186"/>
    <w:rsid w:val="12EF7344"/>
    <w:rsid w:val="12F0367F"/>
    <w:rsid w:val="12F55F70"/>
    <w:rsid w:val="1300779B"/>
    <w:rsid w:val="13051255"/>
    <w:rsid w:val="130628D8"/>
    <w:rsid w:val="13071321"/>
    <w:rsid w:val="130A3353"/>
    <w:rsid w:val="130E3E54"/>
    <w:rsid w:val="131175E5"/>
    <w:rsid w:val="13136C38"/>
    <w:rsid w:val="13154A51"/>
    <w:rsid w:val="13196A69"/>
    <w:rsid w:val="131B0C66"/>
    <w:rsid w:val="131E7C21"/>
    <w:rsid w:val="131F12F3"/>
    <w:rsid w:val="13250FB0"/>
    <w:rsid w:val="13321775"/>
    <w:rsid w:val="133236CD"/>
    <w:rsid w:val="13332E61"/>
    <w:rsid w:val="13380869"/>
    <w:rsid w:val="133A74E5"/>
    <w:rsid w:val="13410BBA"/>
    <w:rsid w:val="134156A3"/>
    <w:rsid w:val="13421B62"/>
    <w:rsid w:val="134A2083"/>
    <w:rsid w:val="134C478E"/>
    <w:rsid w:val="13585B2A"/>
    <w:rsid w:val="13615054"/>
    <w:rsid w:val="136C3083"/>
    <w:rsid w:val="136D25E4"/>
    <w:rsid w:val="136E457E"/>
    <w:rsid w:val="136F6A51"/>
    <w:rsid w:val="13713219"/>
    <w:rsid w:val="13755EB2"/>
    <w:rsid w:val="1381155A"/>
    <w:rsid w:val="138453C4"/>
    <w:rsid w:val="138541F2"/>
    <w:rsid w:val="13877DCB"/>
    <w:rsid w:val="13887B1A"/>
    <w:rsid w:val="13896FCC"/>
    <w:rsid w:val="13961B0B"/>
    <w:rsid w:val="1398132F"/>
    <w:rsid w:val="139F2E5E"/>
    <w:rsid w:val="13A04ADA"/>
    <w:rsid w:val="13A23966"/>
    <w:rsid w:val="13A35911"/>
    <w:rsid w:val="13A407E7"/>
    <w:rsid w:val="13A47BFE"/>
    <w:rsid w:val="13A50343"/>
    <w:rsid w:val="13A91BE1"/>
    <w:rsid w:val="13A95433"/>
    <w:rsid w:val="13AB06B4"/>
    <w:rsid w:val="13AE5449"/>
    <w:rsid w:val="13B0729A"/>
    <w:rsid w:val="13B50586"/>
    <w:rsid w:val="13B773EB"/>
    <w:rsid w:val="13B955EA"/>
    <w:rsid w:val="13BA06E0"/>
    <w:rsid w:val="13C0517C"/>
    <w:rsid w:val="13C070DC"/>
    <w:rsid w:val="13C33F9D"/>
    <w:rsid w:val="13C34C6E"/>
    <w:rsid w:val="13C4002F"/>
    <w:rsid w:val="13C7650B"/>
    <w:rsid w:val="13C82603"/>
    <w:rsid w:val="13C87C3A"/>
    <w:rsid w:val="13CA06A2"/>
    <w:rsid w:val="13CE7899"/>
    <w:rsid w:val="13D604FC"/>
    <w:rsid w:val="13E3389E"/>
    <w:rsid w:val="13E656C9"/>
    <w:rsid w:val="13E67824"/>
    <w:rsid w:val="13E744B7"/>
    <w:rsid w:val="13E84D13"/>
    <w:rsid w:val="13E939FC"/>
    <w:rsid w:val="13E9548F"/>
    <w:rsid w:val="13ED6898"/>
    <w:rsid w:val="13EF397E"/>
    <w:rsid w:val="13F46DFC"/>
    <w:rsid w:val="13F6294C"/>
    <w:rsid w:val="13F84916"/>
    <w:rsid w:val="140664B1"/>
    <w:rsid w:val="14093876"/>
    <w:rsid w:val="140C55EA"/>
    <w:rsid w:val="141352AC"/>
    <w:rsid w:val="14162BF8"/>
    <w:rsid w:val="14166484"/>
    <w:rsid w:val="14197E9B"/>
    <w:rsid w:val="141D252C"/>
    <w:rsid w:val="141F550D"/>
    <w:rsid w:val="141F552E"/>
    <w:rsid w:val="142028B9"/>
    <w:rsid w:val="14242A9B"/>
    <w:rsid w:val="142676D5"/>
    <w:rsid w:val="14293FDD"/>
    <w:rsid w:val="142B19AB"/>
    <w:rsid w:val="14335E33"/>
    <w:rsid w:val="14343277"/>
    <w:rsid w:val="144357A0"/>
    <w:rsid w:val="14472E7F"/>
    <w:rsid w:val="144A32D1"/>
    <w:rsid w:val="144B5F53"/>
    <w:rsid w:val="144E062A"/>
    <w:rsid w:val="145742EB"/>
    <w:rsid w:val="14593173"/>
    <w:rsid w:val="145C30F7"/>
    <w:rsid w:val="145D7218"/>
    <w:rsid w:val="14627FE2"/>
    <w:rsid w:val="14663754"/>
    <w:rsid w:val="14695629"/>
    <w:rsid w:val="1470604A"/>
    <w:rsid w:val="14773A8D"/>
    <w:rsid w:val="147A3327"/>
    <w:rsid w:val="147E7EFC"/>
    <w:rsid w:val="148056E8"/>
    <w:rsid w:val="148166BA"/>
    <w:rsid w:val="148461AA"/>
    <w:rsid w:val="148562C2"/>
    <w:rsid w:val="14857BC8"/>
    <w:rsid w:val="148937C0"/>
    <w:rsid w:val="148A09EC"/>
    <w:rsid w:val="148C5306"/>
    <w:rsid w:val="148D505F"/>
    <w:rsid w:val="149E4122"/>
    <w:rsid w:val="14A16D5C"/>
    <w:rsid w:val="14A95C11"/>
    <w:rsid w:val="14AA20B4"/>
    <w:rsid w:val="14B06F9F"/>
    <w:rsid w:val="14B16945"/>
    <w:rsid w:val="14B510BC"/>
    <w:rsid w:val="14B86439"/>
    <w:rsid w:val="14BE3BD0"/>
    <w:rsid w:val="14C64A14"/>
    <w:rsid w:val="14C772D4"/>
    <w:rsid w:val="14C91781"/>
    <w:rsid w:val="14CA588A"/>
    <w:rsid w:val="14CB1D50"/>
    <w:rsid w:val="14CB598A"/>
    <w:rsid w:val="14CF2CA5"/>
    <w:rsid w:val="14D53920"/>
    <w:rsid w:val="14D74531"/>
    <w:rsid w:val="14DB12B2"/>
    <w:rsid w:val="14DF2C70"/>
    <w:rsid w:val="14E36FB1"/>
    <w:rsid w:val="14E40995"/>
    <w:rsid w:val="14E446B9"/>
    <w:rsid w:val="14E453F1"/>
    <w:rsid w:val="14E60E10"/>
    <w:rsid w:val="14E86739"/>
    <w:rsid w:val="14ED2581"/>
    <w:rsid w:val="14F20518"/>
    <w:rsid w:val="14F71157"/>
    <w:rsid w:val="14F94754"/>
    <w:rsid w:val="15072773"/>
    <w:rsid w:val="15075411"/>
    <w:rsid w:val="15095839"/>
    <w:rsid w:val="150F2E6F"/>
    <w:rsid w:val="15183FE5"/>
    <w:rsid w:val="151D60E3"/>
    <w:rsid w:val="151F2A96"/>
    <w:rsid w:val="1524211C"/>
    <w:rsid w:val="15270F29"/>
    <w:rsid w:val="152B2BAC"/>
    <w:rsid w:val="152D429D"/>
    <w:rsid w:val="152E4A94"/>
    <w:rsid w:val="1530340C"/>
    <w:rsid w:val="153B0F5F"/>
    <w:rsid w:val="15443470"/>
    <w:rsid w:val="154A733D"/>
    <w:rsid w:val="1552183E"/>
    <w:rsid w:val="155B515D"/>
    <w:rsid w:val="155D44F6"/>
    <w:rsid w:val="155E652D"/>
    <w:rsid w:val="155E7216"/>
    <w:rsid w:val="1568195A"/>
    <w:rsid w:val="156825AE"/>
    <w:rsid w:val="156A20EE"/>
    <w:rsid w:val="156D4E90"/>
    <w:rsid w:val="156E60BC"/>
    <w:rsid w:val="157648A9"/>
    <w:rsid w:val="157708C6"/>
    <w:rsid w:val="15794688"/>
    <w:rsid w:val="157D25F1"/>
    <w:rsid w:val="157E0E4B"/>
    <w:rsid w:val="157F3A8B"/>
    <w:rsid w:val="158013B3"/>
    <w:rsid w:val="15875F52"/>
    <w:rsid w:val="15897466"/>
    <w:rsid w:val="158B6D3B"/>
    <w:rsid w:val="158C012D"/>
    <w:rsid w:val="158D5643"/>
    <w:rsid w:val="158E72E0"/>
    <w:rsid w:val="15903FC7"/>
    <w:rsid w:val="159213D6"/>
    <w:rsid w:val="1594375E"/>
    <w:rsid w:val="159D2A18"/>
    <w:rsid w:val="159D2AA8"/>
    <w:rsid w:val="15A20E36"/>
    <w:rsid w:val="15A35B1D"/>
    <w:rsid w:val="15A73FE1"/>
    <w:rsid w:val="15AF1E97"/>
    <w:rsid w:val="15AF54A9"/>
    <w:rsid w:val="15B90678"/>
    <w:rsid w:val="15BB2A37"/>
    <w:rsid w:val="15BB7678"/>
    <w:rsid w:val="15BC3A0F"/>
    <w:rsid w:val="15BF393E"/>
    <w:rsid w:val="15C11C13"/>
    <w:rsid w:val="15CF264A"/>
    <w:rsid w:val="15CF3C06"/>
    <w:rsid w:val="15CF6FF0"/>
    <w:rsid w:val="15D17D83"/>
    <w:rsid w:val="15D65804"/>
    <w:rsid w:val="15E016A8"/>
    <w:rsid w:val="15E03E43"/>
    <w:rsid w:val="15E2295A"/>
    <w:rsid w:val="15E40909"/>
    <w:rsid w:val="15E6711C"/>
    <w:rsid w:val="15F07F9B"/>
    <w:rsid w:val="15F15C2C"/>
    <w:rsid w:val="15F97B47"/>
    <w:rsid w:val="16005D04"/>
    <w:rsid w:val="16021A3F"/>
    <w:rsid w:val="16031706"/>
    <w:rsid w:val="16071DD9"/>
    <w:rsid w:val="1609222F"/>
    <w:rsid w:val="160C5D02"/>
    <w:rsid w:val="16184098"/>
    <w:rsid w:val="161A5018"/>
    <w:rsid w:val="161E50BE"/>
    <w:rsid w:val="161F7166"/>
    <w:rsid w:val="16211A64"/>
    <w:rsid w:val="16216BBF"/>
    <w:rsid w:val="16220D9F"/>
    <w:rsid w:val="16225C7A"/>
    <w:rsid w:val="1628366A"/>
    <w:rsid w:val="16290D5F"/>
    <w:rsid w:val="16297009"/>
    <w:rsid w:val="162A607A"/>
    <w:rsid w:val="162C4C37"/>
    <w:rsid w:val="162F68C6"/>
    <w:rsid w:val="16321739"/>
    <w:rsid w:val="16322CA9"/>
    <w:rsid w:val="16340060"/>
    <w:rsid w:val="163409FD"/>
    <w:rsid w:val="16340DA2"/>
    <w:rsid w:val="16343981"/>
    <w:rsid w:val="164925E6"/>
    <w:rsid w:val="164C0B16"/>
    <w:rsid w:val="164D2E97"/>
    <w:rsid w:val="164E786D"/>
    <w:rsid w:val="16564ED8"/>
    <w:rsid w:val="165D1CCD"/>
    <w:rsid w:val="16695F27"/>
    <w:rsid w:val="166B2C03"/>
    <w:rsid w:val="166B2D98"/>
    <w:rsid w:val="166C3226"/>
    <w:rsid w:val="1674297A"/>
    <w:rsid w:val="16744501"/>
    <w:rsid w:val="1678043E"/>
    <w:rsid w:val="167A093E"/>
    <w:rsid w:val="167B5198"/>
    <w:rsid w:val="167D73BF"/>
    <w:rsid w:val="167E6CA3"/>
    <w:rsid w:val="167F4B95"/>
    <w:rsid w:val="16825E59"/>
    <w:rsid w:val="168F2701"/>
    <w:rsid w:val="16907088"/>
    <w:rsid w:val="16956647"/>
    <w:rsid w:val="16962C25"/>
    <w:rsid w:val="169708B7"/>
    <w:rsid w:val="169A7F07"/>
    <w:rsid w:val="169D0E74"/>
    <w:rsid w:val="16A0455F"/>
    <w:rsid w:val="16AB3EC2"/>
    <w:rsid w:val="16AF50F8"/>
    <w:rsid w:val="16B661DE"/>
    <w:rsid w:val="16B71280"/>
    <w:rsid w:val="16BE3BF5"/>
    <w:rsid w:val="16BF5817"/>
    <w:rsid w:val="16C26B2D"/>
    <w:rsid w:val="16CC0580"/>
    <w:rsid w:val="16DB5435"/>
    <w:rsid w:val="16E135E7"/>
    <w:rsid w:val="16E21427"/>
    <w:rsid w:val="16E218B5"/>
    <w:rsid w:val="16E75618"/>
    <w:rsid w:val="16E96C0B"/>
    <w:rsid w:val="16F53E83"/>
    <w:rsid w:val="17033117"/>
    <w:rsid w:val="170C751B"/>
    <w:rsid w:val="17100CA3"/>
    <w:rsid w:val="17174AB2"/>
    <w:rsid w:val="17176555"/>
    <w:rsid w:val="17227089"/>
    <w:rsid w:val="172577D0"/>
    <w:rsid w:val="17274C8F"/>
    <w:rsid w:val="172F59B8"/>
    <w:rsid w:val="17312619"/>
    <w:rsid w:val="17327861"/>
    <w:rsid w:val="173B6FF4"/>
    <w:rsid w:val="173C59AC"/>
    <w:rsid w:val="173F20E2"/>
    <w:rsid w:val="174F5DA2"/>
    <w:rsid w:val="175F02F7"/>
    <w:rsid w:val="17651225"/>
    <w:rsid w:val="1767197C"/>
    <w:rsid w:val="176C18A3"/>
    <w:rsid w:val="176D64DA"/>
    <w:rsid w:val="176D6D62"/>
    <w:rsid w:val="177200CD"/>
    <w:rsid w:val="17726700"/>
    <w:rsid w:val="177B1ED9"/>
    <w:rsid w:val="177F62FA"/>
    <w:rsid w:val="17866843"/>
    <w:rsid w:val="178A1016"/>
    <w:rsid w:val="178E0BAF"/>
    <w:rsid w:val="178E0E4C"/>
    <w:rsid w:val="178F26BA"/>
    <w:rsid w:val="17906430"/>
    <w:rsid w:val="1793062E"/>
    <w:rsid w:val="17942194"/>
    <w:rsid w:val="17973392"/>
    <w:rsid w:val="179A5E10"/>
    <w:rsid w:val="17A00827"/>
    <w:rsid w:val="17A032FB"/>
    <w:rsid w:val="17A20A2C"/>
    <w:rsid w:val="17A76445"/>
    <w:rsid w:val="17A816D3"/>
    <w:rsid w:val="17A84C85"/>
    <w:rsid w:val="17A86A84"/>
    <w:rsid w:val="17BE2E31"/>
    <w:rsid w:val="17C214C3"/>
    <w:rsid w:val="17C271C7"/>
    <w:rsid w:val="17C77396"/>
    <w:rsid w:val="17C802C3"/>
    <w:rsid w:val="17C84858"/>
    <w:rsid w:val="17C93299"/>
    <w:rsid w:val="17D46671"/>
    <w:rsid w:val="17E07B9B"/>
    <w:rsid w:val="17E25684"/>
    <w:rsid w:val="17E94BEE"/>
    <w:rsid w:val="17EB6C6C"/>
    <w:rsid w:val="17EC5142"/>
    <w:rsid w:val="17EE3D06"/>
    <w:rsid w:val="17F3649A"/>
    <w:rsid w:val="17F558E5"/>
    <w:rsid w:val="17F7123E"/>
    <w:rsid w:val="17F93750"/>
    <w:rsid w:val="17FA253A"/>
    <w:rsid w:val="17FA2DCA"/>
    <w:rsid w:val="17FA3EFA"/>
    <w:rsid w:val="18071145"/>
    <w:rsid w:val="180C6BE2"/>
    <w:rsid w:val="180D1861"/>
    <w:rsid w:val="181635BD"/>
    <w:rsid w:val="18185587"/>
    <w:rsid w:val="18211619"/>
    <w:rsid w:val="1824021D"/>
    <w:rsid w:val="18267507"/>
    <w:rsid w:val="182727AA"/>
    <w:rsid w:val="182C3C1D"/>
    <w:rsid w:val="182C4B8E"/>
    <w:rsid w:val="18463A37"/>
    <w:rsid w:val="18477C1A"/>
    <w:rsid w:val="1858668C"/>
    <w:rsid w:val="18597D61"/>
    <w:rsid w:val="185C2DF9"/>
    <w:rsid w:val="185E27E0"/>
    <w:rsid w:val="186456CD"/>
    <w:rsid w:val="18690252"/>
    <w:rsid w:val="186921BE"/>
    <w:rsid w:val="186A253C"/>
    <w:rsid w:val="186A35F2"/>
    <w:rsid w:val="186B6507"/>
    <w:rsid w:val="186C2B04"/>
    <w:rsid w:val="186E07BA"/>
    <w:rsid w:val="18707171"/>
    <w:rsid w:val="187327BD"/>
    <w:rsid w:val="187602DD"/>
    <w:rsid w:val="18764A71"/>
    <w:rsid w:val="18782953"/>
    <w:rsid w:val="18806E60"/>
    <w:rsid w:val="1881137E"/>
    <w:rsid w:val="188414D8"/>
    <w:rsid w:val="188D727F"/>
    <w:rsid w:val="18906360"/>
    <w:rsid w:val="18921538"/>
    <w:rsid w:val="189310B2"/>
    <w:rsid w:val="18960A15"/>
    <w:rsid w:val="189D12B1"/>
    <w:rsid w:val="189E12C3"/>
    <w:rsid w:val="189E32A4"/>
    <w:rsid w:val="189F1804"/>
    <w:rsid w:val="189F1A93"/>
    <w:rsid w:val="18A34073"/>
    <w:rsid w:val="18A57E34"/>
    <w:rsid w:val="18A77792"/>
    <w:rsid w:val="18AA6087"/>
    <w:rsid w:val="18B07129"/>
    <w:rsid w:val="18B452A5"/>
    <w:rsid w:val="18B629E3"/>
    <w:rsid w:val="18BA4F49"/>
    <w:rsid w:val="18BB781D"/>
    <w:rsid w:val="18BD055D"/>
    <w:rsid w:val="18BE27ED"/>
    <w:rsid w:val="18C04A46"/>
    <w:rsid w:val="18C4037B"/>
    <w:rsid w:val="18C56061"/>
    <w:rsid w:val="18CA554E"/>
    <w:rsid w:val="18CF6F08"/>
    <w:rsid w:val="18CF7EBE"/>
    <w:rsid w:val="18D25736"/>
    <w:rsid w:val="18D314AE"/>
    <w:rsid w:val="18D764B0"/>
    <w:rsid w:val="18D92B7A"/>
    <w:rsid w:val="18DC1446"/>
    <w:rsid w:val="18E15170"/>
    <w:rsid w:val="18E216F1"/>
    <w:rsid w:val="18E67433"/>
    <w:rsid w:val="18E82CB1"/>
    <w:rsid w:val="18EF453A"/>
    <w:rsid w:val="18F4450F"/>
    <w:rsid w:val="18FE716C"/>
    <w:rsid w:val="18FF308F"/>
    <w:rsid w:val="19045B0B"/>
    <w:rsid w:val="19080C81"/>
    <w:rsid w:val="190F6CF0"/>
    <w:rsid w:val="19137DBD"/>
    <w:rsid w:val="191F46F3"/>
    <w:rsid w:val="19263C11"/>
    <w:rsid w:val="19263CD4"/>
    <w:rsid w:val="192D5062"/>
    <w:rsid w:val="19364034"/>
    <w:rsid w:val="1938580E"/>
    <w:rsid w:val="19394EDE"/>
    <w:rsid w:val="193B0C6C"/>
    <w:rsid w:val="194303E2"/>
    <w:rsid w:val="19437393"/>
    <w:rsid w:val="1949544B"/>
    <w:rsid w:val="194B6D06"/>
    <w:rsid w:val="19580F07"/>
    <w:rsid w:val="195C2DE5"/>
    <w:rsid w:val="196C060A"/>
    <w:rsid w:val="196C5C29"/>
    <w:rsid w:val="196E445D"/>
    <w:rsid w:val="197226D6"/>
    <w:rsid w:val="19782037"/>
    <w:rsid w:val="197B045A"/>
    <w:rsid w:val="197C38F4"/>
    <w:rsid w:val="197C71BC"/>
    <w:rsid w:val="198509FA"/>
    <w:rsid w:val="198C4B67"/>
    <w:rsid w:val="198D5036"/>
    <w:rsid w:val="19911370"/>
    <w:rsid w:val="199155F1"/>
    <w:rsid w:val="1991739F"/>
    <w:rsid w:val="199C4521"/>
    <w:rsid w:val="199E3D57"/>
    <w:rsid w:val="19A03A86"/>
    <w:rsid w:val="19A10856"/>
    <w:rsid w:val="19A15120"/>
    <w:rsid w:val="19A50686"/>
    <w:rsid w:val="19A60597"/>
    <w:rsid w:val="19A748CE"/>
    <w:rsid w:val="19AC06FC"/>
    <w:rsid w:val="19B35CBB"/>
    <w:rsid w:val="19B53F29"/>
    <w:rsid w:val="19BB4AC7"/>
    <w:rsid w:val="19C534ED"/>
    <w:rsid w:val="19C81E16"/>
    <w:rsid w:val="19C90485"/>
    <w:rsid w:val="19D0425F"/>
    <w:rsid w:val="19DD0E30"/>
    <w:rsid w:val="19E33EF6"/>
    <w:rsid w:val="19ED1019"/>
    <w:rsid w:val="19EE1E33"/>
    <w:rsid w:val="19EF3D08"/>
    <w:rsid w:val="19F30FD0"/>
    <w:rsid w:val="19F34D14"/>
    <w:rsid w:val="19F716CA"/>
    <w:rsid w:val="19F900BF"/>
    <w:rsid w:val="19F90D6C"/>
    <w:rsid w:val="19FC5289"/>
    <w:rsid w:val="19FE60C0"/>
    <w:rsid w:val="1A0062D3"/>
    <w:rsid w:val="1A061C69"/>
    <w:rsid w:val="1A084125"/>
    <w:rsid w:val="1A084634"/>
    <w:rsid w:val="1A084FA6"/>
    <w:rsid w:val="1A0931E6"/>
    <w:rsid w:val="1A0B22C7"/>
    <w:rsid w:val="1A0E734C"/>
    <w:rsid w:val="1A146B09"/>
    <w:rsid w:val="1A1718C8"/>
    <w:rsid w:val="1A182556"/>
    <w:rsid w:val="1A1D39FB"/>
    <w:rsid w:val="1A266185"/>
    <w:rsid w:val="1A2C6661"/>
    <w:rsid w:val="1A33410B"/>
    <w:rsid w:val="1A3D4066"/>
    <w:rsid w:val="1A3D4AF4"/>
    <w:rsid w:val="1A3E3C85"/>
    <w:rsid w:val="1A422421"/>
    <w:rsid w:val="1A434F5D"/>
    <w:rsid w:val="1A4864A7"/>
    <w:rsid w:val="1A497AC2"/>
    <w:rsid w:val="1A4B1A7C"/>
    <w:rsid w:val="1A534654"/>
    <w:rsid w:val="1A5522FD"/>
    <w:rsid w:val="1A5846A0"/>
    <w:rsid w:val="1A5B75BD"/>
    <w:rsid w:val="1A5C1E8C"/>
    <w:rsid w:val="1A622137"/>
    <w:rsid w:val="1A6307DF"/>
    <w:rsid w:val="1A684E92"/>
    <w:rsid w:val="1A6920CA"/>
    <w:rsid w:val="1A6A3851"/>
    <w:rsid w:val="1A750BFC"/>
    <w:rsid w:val="1A7647E7"/>
    <w:rsid w:val="1A766871"/>
    <w:rsid w:val="1A7E2B00"/>
    <w:rsid w:val="1A8A4647"/>
    <w:rsid w:val="1A8F5E02"/>
    <w:rsid w:val="1A9723B6"/>
    <w:rsid w:val="1A9E2B8D"/>
    <w:rsid w:val="1AA34AA6"/>
    <w:rsid w:val="1AA93183"/>
    <w:rsid w:val="1AAC781B"/>
    <w:rsid w:val="1AB44A07"/>
    <w:rsid w:val="1AB5764A"/>
    <w:rsid w:val="1AC13CB4"/>
    <w:rsid w:val="1AC4365C"/>
    <w:rsid w:val="1AC76DF0"/>
    <w:rsid w:val="1ACE0AAE"/>
    <w:rsid w:val="1AD13FFB"/>
    <w:rsid w:val="1AD35795"/>
    <w:rsid w:val="1AD41623"/>
    <w:rsid w:val="1AD63F77"/>
    <w:rsid w:val="1ADA1B4E"/>
    <w:rsid w:val="1ADB3896"/>
    <w:rsid w:val="1AE11686"/>
    <w:rsid w:val="1AE83066"/>
    <w:rsid w:val="1AED05E1"/>
    <w:rsid w:val="1AED0D4A"/>
    <w:rsid w:val="1AF00F47"/>
    <w:rsid w:val="1AF046CF"/>
    <w:rsid w:val="1AF418C0"/>
    <w:rsid w:val="1AFC4CEC"/>
    <w:rsid w:val="1AFF0C45"/>
    <w:rsid w:val="1B040045"/>
    <w:rsid w:val="1B074284"/>
    <w:rsid w:val="1B0818E3"/>
    <w:rsid w:val="1B152CDB"/>
    <w:rsid w:val="1B155DAE"/>
    <w:rsid w:val="1B171B26"/>
    <w:rsid w:val="1B1900EC"/>
    <w:rsid w:val="1B1B7066"/>
    <w:rsid w:val="1B1D66C9"/>
    <w:rsid w:val="1B24725D"/>
    <w:rsid w:val="1B2B048F"/>
    <w:rsid w:val="1B2D0515"/>
    <w:rsid w:val="1B301CAE"/>
    <w:rsid w:val="1B3449F3"/>
    <w:rsid w:val="1B3A7BAD"/>
    <w:rsid w:val="1B3D3E36"/>
    <w:rsid w:val="1B4A111D"/>
    <w:rsid w:val="1B4A445D"/>
    <w:rsid w:val="1B4B55A8"/>
    <w:rsid w:val="1B4D4C2F"/>
    <w:rsid w:val="1B4E4762"/>
    <w:rsid w:val="1B4F0D46"/>
    <w:rsid w:val="1B4F7512"/>
    <w:rsid w:val="1B5543FC"/>
    <w:rsid w:val="1B5752AC"/>
    <w:rsid w:val="1B5B3E9D"/>
    <w:rsid w:val="1B5D75AD"/>
    <w:rsid w:val="1B605A24"/>
    <w:rsid w:val="1B67625B"/>
    <w:rsid w:val="1B695DFB"/>
    <w:rsid w:val="1B6B336B"/>
    <w:rsid w:val="1B721452"/>
    <w:rsid w:val="1B7551B8"/>
    <w:rsid w:val="1B7A25EF"/>
    <w:rsid w:val="1B7F1C39"/>
    <w:rsid w:val="1B7F7BA2"/>
    <w:rsid w:val="1B830F69"/>
    <w:rsid w:val="1B857D11"/>
    <w:rsid w:val="1B861274"/>
    <w:rsid w:val="1B8B1EEF"/>
    <w:rsid w:val="1B8E1561"/>
    <w:rsid w:val="1B8E253E"/>
    <w:rsid w:val="1B927AE6"/>
    <w:rsid w:val="1B9369D7"/>
    <w:rsid w:val="1B940F60"/>
    <w:rsid w:val="1B94573C"/>
    <w:rsid w:val="1B974A15"/>
    <w:rsid w:val="1B9E5564"/>
    <w:rsid w:val="1BA02EBA"/>
    <w:rsid w:val="1BA96A1D"/>
    <w:rsid w:val="1BAF5377"/>
    <w:rsid w:val="1BB043CA"/>
    <w:rsid w:val="1BC670A8"/>
    <w:rsid w:val="1BC852CB"/>
    <w:rsid w:val="1BCB06DF"/>
    <w:rsid w:val="1BCB3B13"/>
    <w:rsid w:val="1BD417C5"/>
    <w:rsid w:val="1BD57B8D"/>
    <w:rsid w:val="1BDF67D9"/>
    <w:rsid w:val="1BEE1FC3"/>
    <w:rsid w:val="1BF015D4"/>
    <w:rsid w:val="1BF21BB3"/>
    <w:rsid w:val="1BF260EF"/>
    <w:rsid w:val="1BF6798D"/>
    <w:rsid w:val="1BF80B18"/>
    <w:rsid w:val="1BF81957"/>
    <w:rsid w:val="1C037C38"/>
    <w:rsid w:val="1C073948"/>
    <w:rsid w:val="1C076142"/>
    <w:rsid w:val="1C103C4A"/>
    <w:rsid w:val="1C116575"/>
    <w:rsid w:val="1C121A19"/>
    <w:rsid w:val="1C19483C"/>
    <w:rsid w:val="1C213008"/>
    <w:rsid w:val="1C250273"/>
    <w:rsid w:val="1C260736"/>
    <w:rsid w:val="1C2C1601"/>
    <w:rsid w:val="1C3030F3"/>
    <w:rsid w:val="1C347AE7"/>
    <w:rsid w:val="1C3709C2"/>
    <w:rsid w:val="1C3D55BC"/>
    <w:rsid w:val="1C3E6B9D"/>
    <w:rsid w:val="1C4A5BD3"/>
    <w:rsid w:val="1C4C57FF"/>
    <w:rsid w:val="1C512E16"/>
    <w:rsid w:val="1C520A79"/>
    <w:rsid w:val="1C575617"/>
    <w:rsid w:val="1C592E09"/>
    <w:rsid w:val="1C5D5C5E"/>
    <w:rsid w:val="1C5D7284"/>
    <w:rsid w:val="1C646FED"/>
    <w:rsid w:val="1C662D65"/>
    <w:rsid w:val="1C673791"/>
    <w:rsid w:val="1C674BB2"/>
    <w:rsid w:val="1C6C036E"/>
    <w:rsid w:val="1C7320FC"/>
    <w:rsid w:val="1C73352D"/>
    <w:rsid w:val="1C750F91"/>
    <w:rsid w:val="1C75322F"/>
    <w:rsid w:val="1C760ACE"/>
    <w:rsid w:val="1C783953"/>
    <w:rsid w:val="1C7C3254"/>
    <w:rsid w:val="1C7F0A0D"/>
    <w:rsid w:val="1C842C05"/>
    <w:rsid w:val="1C880D09"/>
    <w:rsid w:val="1C883EE2"/>
    <w:rsid w:val="1C8A5704"/>
    <w:rsid w:val="1C9176B6"/>
    <w:rsid w:val="1C9827AE"/>
    <w:rsid w:val="1C993644"/>
    <w:rsid w:val="1C9A47BD"/>
    <w:rsid w:val="1C9B22E3"/>
    <w:rsid w:val="1C9D2861"/>
    <w:rsid w:val="1CA30814"/>
    <w:rsid w:val="1CA411B8"/>
    <w:rsid w:val="1CA91C58"/>
    <w:rsid w:val="1CC7132A"/>
    <w:rsid w:val="1CC932F4"/>
    <w:rsid w:val="1CC97385"/>
    <w:rsid w:val="1CD11261"/>
    <w:rsid w:val="1CD8784D"/>
    <w:rsid w:val="1CDB2D68"/>
    <w:rsid w:val="1CDF52B8"/>
    <w:rsid w:val="1CF333E6"/>
    <w:rsid w:val="1CF361DB"/>
    <w:rsid w:val="1CF52B1D"/>
    <w:rsid w:val="1CFB0F6D"/>
    <w:rsid w:val="1D0055D9"/>
    <w:rsid w:val="1D0565E2"/>
    <w:rsid w:val="1D075E75"/>
    <w:rsid w:val="1D097058"/>
    <w:rsid w:val="1D101740"/>
    <w:rsid w:val="1D1125A5"/>
    <w:rsid w:val="1D142E25"/>
    <w:rsid w:val="1D163CF4"/>
    <w:rsid w:val="1D182D77"/>
    <w:rsid w:val="1D1F1166"/>
    <w:rsid w:val="1D2122A1"/>
    <w:rsid w:val="1D2357FD"/>
    <w:rsid w:val="1D270BC9"/>
    <w:rsid w:val="1D2B47EE"/>
    <w:rsid w:val="1D2D51F1"/>
    <w:rsid w:val="1D2D73DF"/>
    <w:rsid w:val="1D320E99"/>
    <w:rsid w:val="1D322C47"/>
    <w:rsid w:val="1D37486F"/>
    <w:rsid w:val="1D42071E"/>
    <w:rsid w:val="1D45169C"/>
    <w:rsid w:val="1D453489"/>
    <w:rsid w:val="1D4604A0"/>
    <w:rsid w:val="1D47582D"/>
    <w:rsid w:val="1D4856D1"/>
    <w:rsid w:val="1D486FBE"/>
    <w:rsid w:val="1D4C0A31"/>
    <w:rsid w:val="1D541122"/>
    <w:rsid w:val="1D607F49"/>
    <w:rsid w:val="1D617875"/>
    <w:rsid w:val="1D645888"/>
    <w:rsid w:val="1D677324"/>
    <w:rsid w:val="1D6B0DE6"/>
    <w:rsid w:val="1D6E2D29"/>
    <w:rsid w:val="1D6F3E9B"/>
    <w:rsid w:val="1D7C2114"/>
    <w:rsid w:val="1D8C6A7E"/>
    <w:rsid w:val="1D8D5C6C"/>
    <w:rsid w:val="1D8E167F"/>
    <w:rsid w:val="1D9707A8"/>
    <w:rsid w:val="1DA134AF"/>
    <w:rsid w:val="1DA16837"/>
    <w:rsid w:val="1DAB22A7"/>
    <w:rsid w:val="1DAE1935"/>
    <w:rsid w:val="1DB95872"/>
    <w:rsid w:val="1DBA2C3C"/>
    <w:rsid w:val="1DC13873"/>
    <w:rsid w:val="1DC15568"/>
    <w:rsid w:val="1DC42B36"/>
    <w:rsid w:val="1DC77F7C"/>
    <w:rsid w:val="1DD0335C"/>
    <w:rsid w:val="1DD12460"/>
    <w:rsid w:val="1DD83F0B"/>
    <w:rsid w:val="1DE56026"/>
    <w:rsid w:val="1DE8493B"/>
    <w:rsid w:val="1DF24184"/>
    <w:rsid w:val="1DF83E91"/>
    <w:rsid w:val="1DF924BE"/>
    <w:rsid w:val="1DFC3B16"/>
    <w:rsid w:val="1DFD44BA"/>
    <w:rsid w:val="1E0A1EB4"/>
    <w:rsid w:val="1E1862E1"/>
    <w:rsid w:val="1E1C321D"/>
    <w:rsid w:val="1E1C56BC"/>
    <w:rsid w:val="1E1E21E7"/>
    <w:rsid w:val="1E214F2A"/>
    <w:rsid w:val="1E237736"/>
    <w:rsid w:val="1E242676"/>
    <w:rsid w:val="1E2566DA"/>
    <w:rsid w:val="1E2A4527"/>
    <w:rsid w:val="1E2D48C4"/>
    <w:rsid w:val="1E2D7F5D"/>
    <w:rsid w:val="1E32366D"/>
    <w:rsid w:val="1E3300E4"/>
    <w:rsid w:val="1E3463A0"/>
    <w:rsid w:val="1E363DC4"/>
    <w:rsid w:val="1E371794"/>
    <w:rsid w:val="1E3A5EC8"/>
    <w:rsid w:val="1E474E0D"/>
    <w:rsid w:val="1E505836"/>
    <w:rsid w:val="1E510853"/>
    <w:rsid w:val="1E527930"/>
    <w:rsid w:val="1E5C1BD8"/>
    <w:rsid w:val="1E5F74B2"/>
    <w:rsid w:val="1E635018"/>
    <w:rsid w:val="1E6805A9"/>
    <w:rsid w:val="1E6A6411"/>
    <w:rsid w:val="1E6B2D73"/>
    <w:rsid w:val="1E6F712E"/>
    <w:rsid w:val="1E7177FA"/>
    <w:rsid w:val="1E747476"/>
    <w:rsid w:val="1E763007"/>
    <w:rsid w:val="1E7F389C"/>
    <w:rsid w:val="1E814CED"/>
    <w:rsid w:val="1E8469F9"/>
    <w:rsid w:val="1E880DBF"/>
    <w:rsid w:val="1E9749F0"/>
    <w:rsid w:val="1E9811D0"/>
    <w:rsid w:val="1E9C5BFF"/>
    <w:rsid w:val="1EAB1199"/>
    <w:rsid w:val="1EBB4EBE"/>
    <w:rsid w:val="1EC372E7"/>
    <w:rsid w:val="1ECC3FFD"/>
    <w:rsid w:val="1ED173FF"/>
    <w:rsid w:val="1ED2384F"/>
    <w:rsid w:val="1ED45A2E"/>
    <w:rsid w:val="1EDB26CA"/>
    <w:rsid w:val="1EDD43FA"/>
    <w:rsid w:val="1EDF453C"/>
    <w:rsid w:val="1EDF476D"/>
    <w:rsid w:val="1EE2069D"/>
    <w:rsid w:val="1EE47D48"/>
    <w:rsid w:val="1EE50A5A"/>
    <w:rsid w:val="1EE6171A"/>
    <w:rsid w:val="1EEA697A"/>
    <w:rsid w:val="1EEC0C5C"/>
    <w:rsid w:val="1EF04D86"/>
    <w:rsid w:val="1EF81203"/>
    <w:rsid w:val="1F0545A2"/>
    <w:rsid w:val="1F092813"/>
    <w:rsid w:val="1F0B3EEE"/>
    <w:rsid w:val="1F0C7EB0"/>
    <w:rsid w:val="1F176E60"/>
    <w:rsid w:val="1F1D0AF3"/>
    <w:rsid w:val="1F225BA0"/>
    <w:rsid w:val="1F256BBB"/>
    <w:rsid w:val="1F262338"/>
    <w:rsid w:val="1F2822B3"/>
    <w:rsid w:val="1F282554"/>
    <w:rsid w:val="1F2962CC"/>
    <w:rsid w:val="1F2B5BA0"/>
    <w:rsid w:val="1F301408"/>
    <w:rsid w:val="1F307D9D"/>
    <w:rsid w:val="1F3541C0"/>
    <w:rsid w:val="1F37018C"/>
    <w:rsid w:val="1F376447"/>
    <w:rsid w:val="1F394761"/>
    <w:rsid w:val="1F4153C3"/>
    <w:rsid w:val="1F51433D"/>
    <w:rsid w:val="1F521E7C"/>
    <w:rsid w:val="1F532FA9"/>
    <w:rsid w:val="1F5500CB"/>
    <w:rsid w:val="1F5E564A"/>
    <w:rsid w:val="1F623C55"/>
    <w:rsid w:val="1F705C16"/>
    <w:rsid w:val="1F7539F2"/>
    <w:rsid w:val="1F786BFA"/>
    <w:rsid w:val="1F7A140D"/>
    <w:rsid w:val="1F7C2D1B"/>
    <w:rsid w:val="1F7C4AFF"/>
    <w:rsid w:val="1F7E2174"/>
    <w:rsid w:val="1F8359DC"/>
    <w:rsid w:val="1F83778A"/>
    <w:rsid w:val="1F847C23"/>
    <w:rsid w:val="1F8B1F95"/>
    <w:rsid w:val="1F8B69B5"/>
    <w:rsid w:val="1F8F0786"/>
    <w:rsid w:val="1F926008"/>
    <w:rsid w:val="1F9279CD"/>
    <w:rsid w:val="1F941815"/>
    <w:rsid w:val="1F941997"/>
    <w:rsid w:val="1F9A340A"/>
    <w:rsid w:val="1F9C6A9E"/>
    <w:rsid w:val="1F9E22F5"/>
    <w:rsid w:val="1FA53BA4"/>
    <w:rsid w:val="1FAE057F"/>
    <w:rsid w:val="1FAE4160"/>
    <w:rsid w:val="1FB31A5F"/>
    <w:rsid w:val="1FC3159A"/>
    <w:rsid w:val="1FC40DEA"/>
    <w:rsid w:val="1FC8212B"/>
    <w:rsid w:val="1FC97C87"/>
    <w:rsid w:val="1FCC023A"/>
    <w:rsid w:val="1FCC2DF5"/>
    <w:rsid w:val="1FCE08B2"/>
    <w:rsid w:val="1FD560AD"/>
    <w:rsid w:val="1FDE2C12"/>
    <w:rsid w:val="1FDE3F49"/>
    <w:rsid w:val="1FDE41D2"/>
    <w:rsid w:val="1FE47ADD"/>
    <w:rsid w:val="1FE933AA"/>
    <w:rsid w:val="1FEA2CEF"/>
    <w:rsid w:val="1FED4E93"/>
    <w:rsid w:val="1FF468DA"/>
    <w:rsid w:val="1FF9105D"/>
    <w:rsid w:val="1FFC170E"/>
    <w:rsid w:val="1FFC3D78"/>
    <w:rsid w:val="20032921"/>
    <w:rsid w:val="200510D9"/>
    <w:rsid w:val="200A42EE"/>
    <w:rsid w:val="201051B9"/>
    <w:rsid w:val="201216AD"/>
    <w:rsid w:val="201A2520"/>
    <w:rsid w:val="201E5705"/>
    <w:rsid w:val="20241C77"/>
    <w:rsid w:val="20280F84"/>
    <w:rsid w:val="202820DF"/>
    <w:rsid w:val="20340A84"/>
    <w:rsid w:val="203C0B52"/>
    <w:rsid w:val="2040794E"/>
    <w:rsid w:val="20460DDC"/>
    <w:rsid w:val="204D6F6C"/>
    <w:rsid w:val="20506C8E"/>
    <w:rsid w:val="20586FE4"/>
    <w:rsid w:val="2059246C"/>
    <w:rsid w:val="205C7D47"/>
    <w:rsid w:val="2061013F"/>
    <w:rsid w:val="20650D38"/>
    <w:rsid w:val="206C46C2"/>
    <w:rsid w:val="206E043A"/>
    <w:rsid w:val="207322E4"/>
    <w:rsid w:val="20781866"/>
    <w:rsid w:val="20785235"/>
    <w:rsid w:val="207C7F6E"/>
    <w:rsid w:val="207E6C3D"/>
    <w:rsid w:val="207F43D9"/>
    <w:rsid w:val="20875058"/>
    <w:rsid w:val="20893ECE"/>
    <w:rsid w:val="208D6F54"/>
    <w:rsid w:val="208E5A67"/>
    <w:rsid w:val="209128E5"/>
    <w:rsid w:val="20955599"/>
    <w:rsid w:val="20992FDD"/>
    <w:rsid w:val="20A762F2"/>
    <w:rsid w:val="20A84AFD"/>
    <w:rsid w:val="20AA1C69"/>
    <w:rsid w:val="20AA5651"/>
    <w:rsid w:val="20B336D0"/>
    <w:rsid w:val="20B805CF"/>
    <w:rsid w:val="20B95752"/>
    <w:rsid w:val="20BA09F2"/>
    <w:rsid w:val="20BF5984"/>
    <w:rsid w:val="20BF7004"/>
    <w:rsid w:val="20C4005A"/>
    <w:rsid w:val="20C75134"/>
    <w:rsid w:val="20CF69FF"/>
    <w:rsid w:val="20CF70D3"/>
    <w:rsid w:val="20D85658"/>
    <w:rsid w:val="20DA452F"/>
    <w:rsid w:val="20DE44E2"/>
    <w:rsid w:val="20E40D06"/>
    <w:rsid w:val="20E70DDA"/>
    <w:rsid w:val="20EE4DDE"/>
    <w:rsid w:val="20EE5292"/>
    <w:rsid w:val="20EE7A98"/>
    <w:rsid w:val="20F012DA"/>
    <w:rsid w:val="20F75BC2"/>
    <w:rsid w:val="20F91B22"/>
    <w:rsid w:val="2102118F"/>
    <w:rsid w:val="210370E2"/>
    <w:rsid w:val="21057CBC"/>
    <w:rsid w:val="210643F0"/>
    <w:rsid w:val="210E2502"/>
    <w:rsid w:val="210E3524"/>
    <w:rsid w:val="210E39CB"/>
    <w:rsid w:val="210F494A"/>
    <w:rsid w:val="21107DFA"/>
    <w:rsid w:val="21126A1E"/>
    <w:rsid w:val="2116490A"/>
    <w:rsid w:val="21197C6C"/>
    <w:rsid w:val="211A3117"/>
    <w:rsid w:val="211D6ED8"/>
    <w:rsid w:val="21210F03"/>
    <w:rsid w:val="212150B8"/>
    <w:rsid w:val="212339B6"/>
    <w:rsid w:val="21260D15"/>
    <w:rsid w:val="212B528A"/>
    <w:rsid w:val="21365E4F"/>
    <w:rsid w:val="213A5A02"/>
    <w:rsid w:val="21414FA7"/>
    <w:rsid w:val="214271D1"/>
    <w:rsid w:val="21432762"/>
    <w:rsid w:val="214A5A38"/>
    <w:rsid w:val="214C24EF"/>
    <w:rsid w:val="215F3821"/>
    <w:rsid w:val="215F5D66"/>
    <w:rsid w:val="21665F3D"/>
    <w:rsid w:val="216B420D"/>
    <w:rsid w:val="217355DC"/>
    <w:rsid w:val="217413CD"/>
    <w:rsid w:val="217557F8"/>
    <w:rsid w:val="217627C5"/>
    <w:rsid w:val="217C62EF"/>
    <w:rsid w:val="217C6B87"/>
    <w:rsid w:val="21864314"/>
    <w:rsid w:val="21865F85"/>
    <w:rsid w:val="21905D83"/>
    <w:rsid w:val="21906017"/>
    <w:rsid w:val="21933051"/>
    <w:rsid w:val="219739C1"/>
    <w:rsid w:val="219937B6"/>
    <w:rsid w:val="219B228D"/>
    <w:rsid w:val="219C1847"/>
    <w:rsid w:val="219C7087"/>
    <w:rsid w:val="219D2205"/>
    <w:rsid w:val="21A2770F"/>
    <w:rsid w:val="21A8797C"/>
    <w:rsid w:val="21A97C41"/>
    <w:rsid w:val="21AA16FB"/>
    <w:rsid w:val="21AA3480"/>
    <w:rsid w:val="21AF4DC3"/>
    <w:rsid w:val="21B03F9D"/>
    <w:rsid w:val="21B06830"/>
    <w:rsid w:val="21C06F92"/>
    <w:rsid w:val="21C26D31"/>
    <w:rsid w:val="21C84E9E"/>
    <w:rsid w:val="21CB5CF6"/>
    <w:rsid w:val="21CD2F3E"/>
    <w:rsid w:val="21D26F0C"/>
    <w:rsid w:val="21D56297"/>
    <w:rsid w:val="21DB649A"/>
    <w:rsid w:val="21DF3601"/>
    <w:rsid w:val="21E27DA0"/>
    <w:rsid w:val="21E5632B"/>
    <w:rsid w:val="21E70736"/>
    <w:rsid w:val="21ED25B6"/>
    <w:rsid w:val="21F143E4"/>
    <w:rsid w:val="21F21B9F"/>
    <w:rsid w:val="21F718D2"/>
    <w:rsid w:val="21FD0FFF"/>
    <w:rsid w:val="220643AF"/>
    <w:rsid w:val="22077889"/>
    <w:rsid w:val="220E44FD"/>
    <w:rsid w:val="220F79FB"/>
    <w:rsid w:val="22104944"/>
    <w:rsid w:val="22121D33"/>
    <w:rsid w:val="2218661D"/>
    <w:rsid w:val="221A374B"/>
    <w:rsid w:val="221A671C"/>
    <w:rsid w:val="2225695B"/>
    <w:rsid w:val="222B4A26"/>
    <w:rsid w:val="22356D36"/>
    <w:rsid w:val="22377C1D"/>
    <w:rsid w:val="22413173"/>
    <w:rsid w:val="2245341D"/>
    <w:rsid w:val="22453BA2"/>
    <w:rsid w:val="224C1EE4"/>
    <w:rsid w:val="224E5006"/>
    <w:rsid w:val="22513127"/>
    <w:rsid w:val="225208D8"/>
    <w:rsid w:val="225418B2"/>
    <w:rsid w:val="225F4FD4"/>
    <w:rsid w:val="225F71CC"/>
    <w:rsid w:val="22606663"/>
    <w:rsid w:val="2262082B"/>
    <w:rsid w:val="226C6BFB"/>
    <w:rsid w:val="226E0F46"/>
    <w:rsid w:val="22717D6E"/>
    <w:rsid w:val="22721109"/>
    <w:rsid w:val="22794A39"/>
    <w:rsid w:val="227D33B1"/>
    <w:rsid w:val="227E489F"/>
    <w:rsid w:val="22823533"/>
    <w:rsid w:val="22880432"/>
    <w:rsid w:val="228B3EFA"/>
    <w:rsid w:val="228B7D1B"/>
    <w:rsid w:val="22930AC2"/>
    <w:rsid w:val="229677D4"/>
    <w:rsid w:val="22981B95"/>
    <w:rsid w:val="229A0584"/>
    <w:rsid w:val="22A11BBD"/>
    <w:rsid w:val="22A348B6"/>
    <w:rsid w:val="22A51CFF"/>
    <w:rsid w:val="22A5618C"/>
    <w:rsid w:val="22A74638"/>
    <w:rsid w:val="22AA14D2"/>
    <w:rsid w:val="22AC349C"/>
    <w:rsid w:val="22B9400A"/>
    <w:rsid w:val="22BB1853"/>
    <w:rsid w:val="22BC2B4B"/>
    <w:rsid w:val="22C22E9C"/>
    <w:rsid w:val="22C24A6D"/>
    <w:rsid w:val="22CA1EB7"/>
    <w:rsid w:val="22CE244F"/>
    <w:rsid w:val="22D93FF1"/>
    <w:rsid w:val="22E65A67"/>
    <w:rsid w:val="22E83DA8"/>
    <w:rsid w:val="22E93299"/>
    <w:rsid w:val="22EB5094"/>
    <w:rsid w:val="22EE7034"/>
    <w:rsid w:val="22FF7187"/>
    <w:rsid w:val="230666DC"/>
    <w:rsid w:val="230E7EA4"/>
    <w:rsid w:val="23193EB4"/>
    <w:rsid w:val="231B17F9"/>
    <w:rsid w:val="231F636F"/>
    <w:rsid w:val="232667A8"/>
    <w:rsid w:val="23275721"/>
    <w:rsid w:val="2328636C"/>
    <w:rsid w:val="232D0D02"/>
    <w:rsid w:val="23325A6C"/>
    <w:rsid w:val="23331FCF"/>
    <w:rsid w:val="23334F7E"/>
    <w:rsid w:val="23360FB7"/>
    <w:rsid w:val="233A304E"/>
    <w:rsid w:val="233D6806"/>
    <w:rsid w:val="2344186A"/>
    <w:rsid w:val="235176F4"/>
    <w:rsid w:val="23531723"/>
    <w:rsid w:val="235511EA"/>
    <w:rsid w:val="235558E1"/>
    <w:rsid w:val="235F5EC4"/>
    <w:rsid w:val="23644BFA"/>
    <w:rsid w:val="23690609"/>
    <w:rsid w:val="23691421"/>
    <w:rsid w:val="2375388E"/>
    <w:rsid w:val="2378680C"/>
    <w:rsid w:val="237A3E4E"/>
    <w:rsid w:val="237E1230"/>
    <w:rsid w:val="2386210B"/>
    <w:rsid w:val="238726F4"/>
    <w:rsid w:val="23874C81"/>
    <w:rsid w:val="23875985"/>
    <w:rsid w:val="23881C13"/>
    <w:rsid w:val="238A29AB"/>
    <w:rsid w:val="238C57F7"/>
    <w:rsid w:val="238E1A8E"/>
    <w:rsid w:val="238F40D9"/>
    <w:rsid w:val="23931F66"/>
    <w:rsid w:val="23933508"/>
    <w:rsid w:val="239504D4"/>
    <w:rsid w:val="23950A3C"/>
    <w:rsid w:val="23957A8C"/>
    <w:rsid w:val="2396438D"/>
    <w:rsid w:val="239F525A"/>
    <w:rsid w:val="23A44BC6"/>
    <w:rsid w:val="23A92C60"/>
    <w:rsid w:val="23AB52C6"/>
    <w:rsid w:val="23AB5501"/>
    <w:rsid w:val="23B03FD9"/>
    <w:rsid w:val="23B17934"/>
    <w:rsid w:val="23B55677"/>
    <w:rsid w:val="23B819CC"/>
    <w:rsid w:val="23BA7F5A"/>
    <w:rsid w:val="23C13739"/>
    <w:rsid w:val="23C71602"/>
    <w:rsid w:val="23C860B3"/>
    <w:rsid w:val="23CA5E72"/>
    <w:rsid w:val="23D066EC"/>
    <w:rsid w:val="23D15E6F"/>
    <w:rsid w:val="23D34F44"/>
    <w:rsid w:val="23D351A5"/>
    <w:rsid w:val="23E11DA2"/>
    <w:rsid w:val="23E235B0"/>
    <w:rsid w:val="23E26A49"/>
    <w:rsid w:val="23E427C1"/>
    <w:rsid w:val="23E74E71"/>
    <w:rsid w:val="23ED17D3"/>
    <w:rsid w:val="23F71BEC"/>
    <w:rsid w:val="23F867FF"/>
    <w:rsid w:val="24014F4E"/>
    <w:rsid w:val="24015121"/>
    <w:rsid w:val="24044813"/>
    <w:rsid w:val="240A1718"/>
    <w:rsid w:val="240F7D8B"/>
    <w:rsid w:val="241E3F05"/>
    <w:rsid w:val="24215577"/>
    <w:rsid w:val="242429A1"/>
    <w:rsid w:val="24280900"/>
    <w:rsid w:val="2428389C"/>
    <w:rsid w:val="24284DA4"/>
    <w:rsid w:val="24286AD0"/>
    <w:rsid w:val="242A6703"/>
    <w:rsid w:val="2439617A"/>
    <w:rsid w:val="243E45C7"/>
    <w:rsid w:val="2440206F"/>
    <w:rsid w:val="24424E18"/>
    <w:rsid w:val="24462A48"/>
    <w:rsid w:val="244E553B"/>
    <w:rsid w:val="245005B3"/>
    <w:rsid w:val="245636BF"/>
    <w:rsid w:val="245B37BE"/>
    <w:rsid w:val="24635540"/>
    <w:rsid w:val="24661A7D"/>
    <w:rsid w:val="247277A2"/>
    <w:rsid w:val="24746AEA"/>
    <w:rsid w:val="247905DE"/>
    <w:rsid w:val="247955FF"/>
    <w:rsid w:val="247B1377"/>
    <w:rsid w:val="247C75C5"/>
    <w:rsid w:val="2488744E"/>
    <w:rsid w:val="248B03A6"/>
    <w:rsid w:val="24940315"/>
    <w:rsid w:val="249604BE"/>
    <w:rsid w:val="24A0493A"/>
    <w:rsid w:val="24A31E88"/>
    <w:rsid w:val="24A57E1F"/>
    <w:rsid w:val="24AB131F"/>
    <w:rsid w:val="24B71C84"/>
    <w:rsid w:val="24BB79C6"/>
    <w:rsid w:val="24BF08E2"/>
    <w:rsid w:val="24C504EE"/>
    <w:rsid w:val="24CD7C77"/>
    <w:rsid w:val="24CE259C"/>
    <w:rsid w:val="24D14521"/>
    <w:rsid w:val="24D44611"/>
    <w:rsid w:val="24D76545"/>
    <w:rsid w:val="24E00310"/>
    <w:rsid w:val="24E164AF"/>
    <w:rsid w:val="24E41B08"/>
    <w:rsid w:val="24E6242C"/>
    <w:rsid w:val="24E65466"/>
    <w:rsid w:val="24E944A8"/>
    <w:rsid w:val="24E964E8"/>
    <w:rsid w:val="24EA091B"/>
    <w:rsid w:val="24F353B2"/>
    <w:rsid w:val="24F61130"/>
    <w:rsid w:val="24FA32D7"/>
    <w:rsid w:val="24FB3B1A"/>
    <w:rsid w:val="24FC5064"/>
    <w:rsid w:val="24FE3964"/>
    <w:rsid w:val="25082314"/>
    <w:rsid w:val="250A0B82"/>
    <w:rsid w:val="250B6C88"/>
    <w:rsid w:val="250D16FB"/>
    <w:rsid w:val="250D27EF"/>
    <w:rsid w:val="250F2B73"/>
    <w:rsid w:val="25132A7F"/>
    <w:rsid w:val="25154D7C"/>
    <w:rsid w:val="251B1226"/>
    <w:rsid w:val="25207316"/>
    <w:rsid w:val="25212B2C"/>
    <w:rsid w:val="25230CAF"/>
    <w:rsid w:val="25373204"/>
    <w:rsid w:val="253A1C68"/>
    <w:rsid w:val="253C7281"/>
    <w:rsid w:val="25401AF0"/>
    <w:rsid w:val="25452B4F"/>
    <w:rsid w:val="2549532D"/>
    <w:rsid w:val="25542A3A"/>
    <w:rsid w:val="25545725"/>
    <w:rsid w:val="25545821"/>
    <w:rsid w:val="255A2BE4"/>
    <w:rsid w:val="255A4BBE"/>
    <w:rsid w:val="255F2A47"/>
    <w:rsid w:val="256242E5"/>
    <w:rsid w:val="25627611"/>
    <w:rsid w:val="25636FED"/>
    <w:rsid w:val="25645A54"/>
    <w:rsid w:val="256733F0"/>
    <w:rsid w:val="25687941"/>
    <w:rsid w:val="25765EE6"/>
    <w:rsid w:val="25772EBB"/>
    <w:rsid w:val="25797FDB"/>
    <w:rsid w:val="257E2881"/>
    <w:rsid w:val="257E28B8"/>
    <w:rsid w:val="2580322B"/>
    <w:rsid w:val="25812E66"/>
    <w:rsid w:val="258167E3"/>
    <w:rsid w:val="25826F7E"/>
    <w:rsid w:val="25832019"/>
    <w:rsid w:val="25860C1E"/>
    <w:rsid w:val="25861D82"/>
    <w:rsid w:val="258E50DA"/>
    <w:rsid w:val="259331FE"/>
    <w:rsid w:val="25957FF8"/>
    <w:rsid w:val="25981AB5"/>
    <w:rsid w:val="25A149AC"/>
    <w:rsid w:val="25A47A05"/>
    <w:rsid w:val="25AD6BEE"/>
    <w:rsid w:val="25AF3F32"/>
    <w:rsid w:val="25B22A3B"/>
    <w:rsid w:val="25B655A6"/>
    <w:rsid w:val="25BA2D11"/>
    <w:rsid w:val="25C654B7"/>
    <w:rsid w:val="25CC6A3A"/>
    <w:rsid w:val="25CE6BE3"/>
    <w:rsid w:val="25D26873"/>
    <w:rsid w:val="25D36F91"/>
    <w:rsid w:val="25D73322"/>
    <w:rsid w:val="25D97596"/>
    <w:rsid w:val="25DA372A"/>
    <w:rsid w:val="25DA50B8"/>
    <w:rsid w:val="25DF37D9"/>
    <w:rsid w:val="25E37902"/>
    <w:rsid w:val="25ED312E"/>
    <w:rsid w:val="25F044F9"/>
    <w:rsid w:val="25F413E1"/>
    <w:rsid w:val="25F43EE0"/>
    <w:rsid w:val="25F52A64"/>
    <w:rsid w:val="25F64360"/>
    <w:rsid w:val="25F74971"/>
    <w:rsid w:val="25F9627B"/>
    <w:rsid w:val="25FB0431"/>
    <w:rsid w:val="25FC05B6"/>
    <w:rsid w:val="25FC1EBA"/>
    <w:rsid w:val="26040109"/>
    <w:rsid w:val="26060A54"/>
    <w:rsid w:val="26061115"/>
    <w:rsid w:val="26061962"/>
    <w:rsid w:val="260E7FC9"/>
    <w:rsid w:val="260F672F"/>
    <w:rsid w:val="26110E03"/>
    <w:rsid w:val="26120F2D"/>
    <w:rsid w:val="261703C2"/>
    <w:rsid w:val="26174A30"/>
    <w:rsid w:val="26175540"/>
    <w:rsid w:val="261A783F"/>
    <w:rsid w:val="26260F96"/>
    <w:rsid w:val="262C2F3C"/>
    <w:rsid w:val="262C56B0"/>
    <w:rsid w:val="262D044F"/>
    <w:rsid w:val="262D66A1"/>
    <w:rsid w:val="263722F1"/>
    <w:rsid w:val="263776FB"/>
    <w:rsid w:val="263C18BA"/>
    <w:rsid w:val="2641067D"/>
    <w:rsid w:val="2642755C"/>
    <w:rsid w:val="26431A21"/>
    <w:rsid w:val="264439EB"/>
    <w:rsid w:val="26452EDC"/>
    <w:rsid w:val="264E3591"/>
    <w:rsid w:val="26507D69"/>
    <w:rsid w:val="2658461C"/>
    <w:rsid w:val="26590788"/>
    <w:rsid w:val="265D1B10"/>
    <w:rsid w:val="26604E2D"/>
    <w:rsid w:val="266056B1"/>
    <w:rsid w:val="26640280"/>
    <w:rsid w:val="266A751B"/>
    <w:rsid w:val="266C5762"/>
    <w:rsid w:val="266D04E0"/>
    <w:rsid w:val="267150A0"/>
    <w:rsid w:val="2676220B"/>
    <w:rsid w:val="26784A91"/>
    <w:rsid w:val="267976EA"/>
    <w:rsid w:val="267D0DD4"/>
    <w:rsid w:val="267E00A6"/>
    <w:rsid w:val="267F6564"/>
    <w:rsid w:val="2681066F"/>
    <w:rsid w:val="268D6369"/>
    <w:rsid w:val="268D7F1A"/>
    <w:rsid w:val="268F5850"/>
    <w:rsid w:val="26900E65"/>
    <w:rsid w:val="269308F5"/>
    <w:rsid w:val="269E134D"/>
    <w:rsid w:val="269E759F"/>
    <w:rsid w:val="26A0140A"/>
    <w:rsid w:val="26A31DBF"/>
    <w:rsid w:val="26A4480F"/>
    <w:rsid w:val="26AB027E"/>
    <w:rsid w:val="26B119F1"/>
    <w:rsid w:val="26B448EF"/>
    <w:rsid w:val="26BA3C53"/>
    <w:rsid w:val="26BD3478"/>
    <w:rsid w:val="26C115C4"/>
    <w:rsid w:val="26CB5BEC"/>
    <w:rsid w:val="26CE34D2"/>
    <w:rsid w:val="26CE7E81"/>
    <w:rsid w:val="26D17EE9"/>
    <w:rsid w:val="26D26B3A"/>
    <w:rsid w:val="26D4573B"/>
    <w:rsid w:val="26D51ADE"/>
    <w:rsid w:val="26D91F98"/>
    <w:rsid w:val="26D94133"/>
    <w:rsid w:val="26DB7EAB"/>
    <w:rsid w:val="26E57236"/>
    <w:rsid w:val="26E70819"/>
    <w:rsid w:val="26E72ED9"/>
    <w:rsid w:val="26E812D7"/>
    <w:rsid w:val="26E86E1F"/>
    <w:rsid w:val="26E969EF"/>
    <w:rsid w:val="26ED0B15"/>
    <w:rsid w:val="26EF3055"/>
    <w:rsid w:val="26F23447"/>
    <w:rsid w:val="26F614FF"/>
    <w:rsid w:val="27004AEF"/>
    <w:rsid w:val="27085698"/>
    <w:rsid w:val="270B5410"/>
    <w:rsid w:val="27130D6B"/>
    <w:rsid w:val="27152075"/>
    <w:rsid w:val="271C1C54"/>
    <w:rsid w:val="271C3FAB"/>
    <w:rsid w:val="271C6DEF"/>
    <w:rsid w:val="27206206"/>
    <w:rsid w:val="2722517B"/>
    <w:rsid w:val="27233601"/>
    <w:rsid w:val="272555CB"/>
    <w:rsid w:val="27257379"/>
    <w:rsid w:val="2726309C"/>
    <w:rsid w:val="27293B1D"/>
    <w:rsid w:val="272D7547"/>
    <w:rsid w:val="27314FD7"/>
    <w:rsid w:val="27325E70"/>
    <w:rsid w:val="27341B93"/>
    <w:rsid w:val="273D46C2"/>
    <w:rsid w:val="27420834"/>
    <w:rsid w:val="27430D53"/>
    <w:rsid w:val="2743179B"/>
    <w:rsid w:val="2745364F"/>
    <w:rsid w:val="274F06E6"/>
    <w:rsid w:val="27537702"/>
    <w:rsid w:val="27553494"/>
    <w:rsid w:val="275B0FEC"/>
    <w:rsid w:val="275D6B12"/>
    <w:rsid w:val="275E5ED0"/>
    <w:rsid w:val="27644968"/>
    <w:rsid w:val="27683BBF"/>
    <w:rsid w:val="276A5BAC"/>
    <w:rsid w:val="27710810"/>
    <w:rsid w:val="27752950"/>
    <w:rsid w:val="277F4E9F"/>
    <w:rsid w:val="278100F8"/>
    <w:rsid w:val="27835B31"/>
    <w:rsid w:val="27840543"/>
    <w:rsid w:val="27896E11"/>
    <w:rsid w:val="278B23EE"/>
    <w:rsid w:val="278C4A28"/>
    <w:rsid w:val="27934C2A"/>
    <w:rsid w:val="279C7ABE"/>
    <w:rsid w:val="279D1605"/>
    <w:rsid w:val="27B506FD"/>
    <w:rsid w:val="27B52D32"/>
    <w:rsid w:val="27B55CAE"/>
    <w:rsid w:val="27B828EC"/>
    <w:rsid w:val="27B9747D"/>
    <w:rsid w:val="27BD24F4"/>
    <w:rsid w:val="27BD3A45"/>
    <w:rsid w:val="27BD43A5"/>
    <w:rsid w:val="27C07B7F"/>
    <w:rsid w:val="27C22234"/>
    <w:rsid w:val="27CE4E03"/>
    <w:rsid w:val="27D30046"/>
    <w:rsid w:val="27D4336A"/>
    <w:rsid w:val="27D44BC7"/>
    <w:rsid w:val="27D56FF1"/>
    <w:rsid w:val="27D72D69"/>
    <w:rsid w:val="27DC53D7"/>
    <w:rsid w:val="27F60128"/>
    <w:rsid w:val="27F60D15"/>
    <w:rsid w:val="27FB3370"/>
    <w:rsid w:val="280C3082"/>
    <w:rsid w:val="280D678A"/>
    <w:rsid w:val="280F761E"/>
    <w:rsid w:val="28100970"/>
    <w:rsid w:val="28130FC3"/>
    <w:rsid w:val="281D3390"/>
    <w:rsid w:val="281D62A2"/>
    <w:rsid w:val="281E451F"/>
    <w:rsid w:val="281F026C"/>
    <w:rsid w:val="28242AFE"/>
    <w:rsid w:val="2824302E"/>
    <w:rsid w:val="28255646"/>
    <w:rsid w:val="282D4DA2"/>
    <w:rsid w:val="28302666"/>
    <w:rsid w:val="28341F69"/>
    <w:rsid w:val="28352993"/>
    <w:rsid w:val="283A7C94"/>
    <w:rsid w:val="283F1E7D"/>
    <w:rsid w:val="283F6FC6"/>
    <w:rsid w:val="28410EB0"/>
    <w:rsid w:val="284576F3"/>
    <w:rsid w:val="284763CA"/>
    <w:rsid w:val="284929D4"/>
    <w:rsid w:val="284B4A54"/>
    <w:rsid w:val="284C1CF1"/>
    <w:rsid w:val="284D7976"/>
    <w:rsid w:val="284F2393"/>
    <w:rsid w:val="285259C3"/>
    <w:rsid w:val="285E1CEA"/>
    <w:rsid w:val="285E4750"/>
    <w:rsid w:val="285E68F8"/>
    <w:rsid w:val="28616AD6"/>
    <w:rsid w:val="286248FC"/>
    <w:rsid w:val="28624B94"/>
    <w:rsid w:val="28643BAC"/>
    <w:rsid w:val="286E3006"/>
    <w:rsid w:val="286F0F65"/>
    <w:rsid w:val="28724840"/>
    <w:rsid w:val="287711AE"/>
    <w:rsid w:val="28795BCE"/>
    <w:rsid w:val="28810C2F"/>
    <w:rsid w:val="28821CD7"/>
    <w:rsid w:val="28832153"/>
    <w:rsid w:val="28862099"/>
    <w:rsid w:val="28866DB6"/>
    <w:rsid w:val="28884063"/>
    <w:rsid w:val="288C402F"/>
    <w:rsid w:val="288D3427"/>
    <w:rsid w:val="2891552F"/>
    <w:rsid w:val="2894371A"/>
    <w:rsid w:val="289B1FE8"/>
    <w:rsid w:val="289C4061"/>
    <w:rsid w:val="289F315B"/>
    <w:rsid w:val="289F3CAC"/>
    <w:rsid w:val="28A80B21"/>
    <w:rsid w:val="28AF01B8"/>
    <w:rsid w:val="28AF56E0"/>
    <w:rsid w:val="28B05B60"/>
    <w:rsid w:val="28BF2E88"/>
    <w:rsid w:val="28C400EC"/>
    <w:rsid w:val="28CF4E13"/>
    <w:rsid w:val="28D15A0A"/>
    <w:rsid w:val="28D30B77"/>
    <w:rsid w:val="28D321E2"/>
    <w:rsid w:val="28D36BF1"/>
    <w:rsid w:val="28D70B46"/>
    <w:rsid w:val="28D948BF"/>
    <w:rsid w:val="28D973AE"/>
    <w:rsid w:val="28E53263"/>
    <w:rsid w:val="28E71BD0"/>
    <w:rsid w:val="28E74484"/>
    <w:rsid w:val="28ED2118"/>
    <w:rsid w:val="28F05CD9"/>
    <w:rsid w:val="28F364BD"/>
    <w:rsid w:val="28F36811"/>
    <w:rsid w:val="28FC235B"/>
    <w:rsid w:val="29023E15"/>
    <w:rsid w:val="29034D8E"/>
    <w:rsid w:val="2907142C"/>
    <w:rsid w:val="290A667A"/>
    <w:rsid w:val="290B0C0D"/>
    <w:rsid w:val="290B5FD7"/>
    <w:rsid w:val="290D640A"/>
    <w:rsid w:val="29162756"/>
    <w:rsid w:val="291A4C7E"/>
    <w:rsid w:val="291B4ED7"/>
    <w:rsid w:val="291E22D1"/>
    <w:rsid w:val="291F0427"/>
    <w:rsid w:val="292555F9"/>
    <w:rsid w:val="292618FC"/>
    <w:rsid w:val="292F1638"/>
    <w:rsid w:val="29315699"/>
    <w:rsid w:val="29336FB4"/>
    <w:rsid w:val="2936246C"/>
    <w:rsid w:val="293C79A7"/>
    <w:rsid w:val="293D2697"/>
    <w:rsid w:val="29422464"/>
    <w:rsid w:val="294501A9"/>
    <w:rsid w:val="29454D6E"/>
    <w:rsid w:val="29464477"/>
    <w:rsid w:val="294F4DA4"/>
    <w:rsid w:val="295449EC"/>
    <w:rsid w:val="29554FB8"/>
    <w:rsid w:val="295D23DB"/>
    <w:rsid w:val="296B6D7E"/>
    <w:rsid w:val="297172A8"/>
    <w:rsid w:val="29786483"/>
    <w:rsid w:val="2983564B"/>
    <w:rsid w:val="29853FA2"/>
    <w:rsid w:val="2986365A"/>
    <w:rsid w:val="298C7C6B"/>
    <w:rsid w:val="298F2D60"/>
    <w:rsid w:val="29907D15"/>
    <w:rsid w:val="299C2B37"/>
    <w:rsid w:val="29A03597"/>
    <w:rsid w:val="29A4703D"/>
    <w:rsid w:val="29A50264"/>
    <w:rsid w:val="29A749BD"/>
    <w:rsid w:val="29AF3FCC"/>
    <w:rsid w:val="29BC502E"/>
    <w:rsid w:val="29BE0D34"/>
    <w:rsid w:val="29BE52CE"/>
    <w:rsid w:val="29C80553"/>
    <w:rsid w:val="29CA7D6B"/>
    <w:rsid w:val="29CE6AED"/>
    <w:rsid w:val="29D35CB3"/>
    <w:rsid w:val="29DB2E13"/>
    <w:rsid w:val="29DB795F"/>
    <w:rsid w:val="29E67538"/>
    <w:rsid w:val="29E677D4"/>
    <w:rsid w:val="29EC2923"/>
    <w:rsid w:val="29EF3C6E"/>
    <w:rsid w:val="29F43C64"/>
    <w:rsid w:val="29FA25C8"/>
    <w:rsid w:val="29FB4557"/>
    <w:rsid w:val="29FD19B7"/>
    <w:rsid w:val="29FD435A"/>
    <w:rsid w:val="2A0815C1"/>
    <w:rsid w:val="2A0D30D8"/>
    <w:rsid w:val="2A0F5E0A"/>
    <w:rsid w:val="2A112438"/>
    <w:rsid w:val="2A15702C"/>
    <w:rsid w:val="2A1808B1"/>
    <w:rsid w:val="2A181440"/>
    <w:rsid w:val="2A1C72FC"/>
    <w:rsid w:val="2A1D0793"/>
    <w:rsid w:val="2A232024"/>
    <w:rsid w:val="2A23375B"/>
    <w:rsid w:val="2A26647F"/>
    <w:rsid w:val="2A29188B"/>
    <w:rsid w:val="2A34446A"/>
    <w:rsid w:val="2A3F4296"/>
    <w:rsid w:val="2A403DF7"/>
    <w:rsid w:val="2A43220E"/>
    <w:rsid w:val="2A581813"/>
    <w:rsid w:val="2A5C1303"/>
    <w:rsid w:val="2A6021EF"/>
    <w:rsid w:val="2A653FE2"/>
    <w:rsid w:val="2A6E47D0"/>
    <w:rsid w:val="2A750617"/>
    <w:rsid w:val="2A7A5040"/>
    <w:rsid w:val="2A7E74F9"/>
    <w:rsid w:val="2A856183"/>
    <w:rsid w:val="2A89559E"/>
    <w:rsid w:val="2A94612D"/>
    <w:rsid w:val="2A97058D"/>
    <w:rsid w:val="2A9C5B40"/>
    <w:rsid w:val="2AA36F32"/>
    <w:rsid w:val="2AA400F4"/>
    <w:rsid w:val="2AA643AC"/>
    <w:rsid w:val="2AAC54BB"/>
    <w:rsid w:val="2AB078A1"/>
    <w:rsid w:val="2AB11A39"/>
    <w:rsid w:val="2AB15325"/>
    <w:rsid w:val="2AB27589"/>
    <w:rsid w:val="2AB30A89"/>
    <w:rsid w:val="2AB57FF9"/>
    <w:rsid w:val="2AB90ADF"/>
    <w:rsid w:val="2ABA19A7"/>
    <w:rsid w:val="2ABA44A8"/>
    <w:rsid w:val="2ABA6371"/>
    <w:rsid w:val="2ABC1DA2"/>
    <w:rsid w:val="2AC12D4D"/>
    <w:rsid w:val="2AC329D5"/>
    <w:rsid w:val="2AC87D23"/>
    <w:rsid w:val="2ACC151A"/>
    <w:rsid w:val="2ACC28DA"/>
    <w:rsid w:val="2ADC3327"/>
    <w:rsid w:val="2ADD0E74"/>
    <w:rsid w:val="2AE11D66"/>
    <w:rsid w:val="2AE374B9"/>
    <w:rsid w:val="2AE83824"/>
    <w:rsid w:val="2AE94B0E"/>
    <w:rsid w:val="2AEB102F"/>
    <w:rsid w:val="2AEB2687"/>
    <w:rsid w:val="2AF14F00"/>
    <w:rsid w:val="2AF4565C"/>
    <w:rsid w:val="2AFA0056"/>
    <w:rsid w:val="2AFA470A"/>
    <w:rsid w:val="2B012590"/>
    <w:rsid w:val="2B06518F"/>
    <w:rsid w:val="2B0A5203"/>
    <w:rsid w:val="2B0C20F7"/>
    <w:rsid w:val="2B0C4EE1"/>
    <w:rsid w:val="2B0F1D0A"/>
    <w:rsid w:val="2B0F5533"/>
    <w:rsid w:val="2B1157DF"/>
    <w:rsid w:val="2B1A215D"/>
    <w:rsid w:val="2B1B65B9"/>
    <w:rsid w:val="2B1F527C"/>
    <w:rsid w:val="2B22094C"/>
    <w:rsid w:val="2B224C5D"/>
    <w:rsid w:val="2B241B31"/>
    <w:rsid w:val="2B2706A2"/>
    <w:rsid w:val="2B28252F"/>
    <w:rsid w:val="2B2C517A"/>
    <w:rsid w:val="2B3344D8"/>
    <w:rsid w:val="2B450B78"/>
    <w:rsid w:val="2B461FAE"/>
    <w:rsid w:val="2B4665D5"/>
    <w:rsid w:val="2B4C75CA"/>
    <w:rsid w:val="2B4D31F0"/>
    <w:rsid w:val="2B4F71D5"/>
    <w:rsid w:val="2B527EE3"/>
    <w:rsid w:val="2B560448"/>
    <w:rsid w:val="2B580D2F"/>
    <w:rsid w:val="2B595F47"/>
    <w:rsid w:val="2B5B08A7"/>
    <w:rsid w:val="2B5C1416"/>
    <w:rsid w:val="2B5E1A74"/>
    <w:rsid w:val="2B5E4A9B"/>
    <w:rsid w:val="2B632B65"/>
    <w:rsid w:val="2B667187"/>
    <w:rsid w:val="2B6C37C8"/>
    <w:rsid w:val="2B7D4228"/>
    <w:rsid w:val="2B82321A"/>
    <w:rsid w:val="2B823927"/>
    <w:rsid w:val="2B874473"/>
    <w:rsid w:val="2B886128"/>
    <w:rsid w:val="2B8A00F2"/>
    <w:rsid w:val="2B8A6EA5"/>
    <w:rsid w:val="2B8B70C4"/>
    <w:rsid w:val="2B8F7512"/>
    <w:rsid w:val="2B9164CF"/>
    <w:rsid w:val="2B9576E2"/>
    <w:rsid w:val="2B964CE9"/>
    <w:rsid w:val="2B9A4D5A"/>
    <w:rsid w:val="2B9D3851"/>
    <w:rsid w:val="2BA41CAA"/>
    <w:rsid w:val="2BAE3DE1"/>
    <w:rsid w:val="2BB700E0"/>
    <w:rsid w:val="2BBD4491"/>
    <w:rsid w:val="2BBE79E4"/>
    <w:rsid w:val="2BC2082C"/>
    <w:rsid w:val="2BC27109"/>
    <w:rsid w:val="2BC52ED8"/>
    <w:rsid w:val="2BC76C50"/>
    <w:rsid w:val="2BCD0A04"/>
    <w:rsid w:val="2BCF1F15"/>
    <w:rsid w:val="2BD0498A"/>
    <w:rsid w:val="2BD25B6F"/>
    <w:rsid w:val="2BD60954"/>
    <w:rsid w:val="2BDB3ED0"/>
    <w:rsid w:val="2BEB0DD4"/>
    <w:rsid w:val="2BEC51D8"/>
    <w:rsid w:val="2BEE6C0E"/>
    <w:rsid w:val="2BEF1A87"/>
    <w:rsid w:val="2BF75607"/>
    <w:rsid w:val="2BF77AE8"/>
    <w:rsid w:val="2BFA7026"/>
    <w:rsid w:val="2BFC6FD4"/>
    <w:rsid w:val="2C0368C6"/>
    <w:rsid w:val="2C05500E"/>
    <w:rsid w:val="2C0B2FE1"/>
    <w:rsid w:val="2C0C0B07"/>
    <w:rsid w:val="2C0E2AD1"/>
    <w:rsid w:val="2C0F7712"/>
    <w:rsid w:val="2C1134D0"/>
    <w:rsid w:val="2C22657D"/>
    <w:rsid w:val="2C246940"/>
    <w:rsid w:val="2C277DD3"/>
    <w:rsid w:val="2C290D81"/>
    <w:rsid w:val="2C2E78B5"/>
    <w:rsid w:val="2C3551A2"/>
    <w:rsid w:val="2C3B319A"/>
    <w:rsid w:val="2C3C1EC1"/>
    <w:rsid w:val="2C42462B"/>
    <w:rsid w:val="2C437300"/>
    <w:rsid w:val="2C4B219E"/>
    <w:rsid w:val="2C4E7372"/>
    <w:rsid w:val="2C4F6D41"/>
    <w:rsid w:val="2C5B41CA"/>
    <w:rsid w:val="2C5D0B16"/>
    <w:rsid w:val="2C626979"/>
    <w:rsid w:val="2C6A377A"/>
    <w:rsid w:val="2C75368A"/>
    <w:rsid w:val="2C7D17AB"/>
    <w:rsid w:val="2C803EDB"/>
    <w:rsid w:val="2C821211"/>
    <w:rsid w:val="2C841B39"/>
    <w:rsid w:val="2C866B0B"/>
    <w:rsid w:val="2C8965FC"/>
    <w:rsid w:val="2C8A1EDE"/>
    <w:rsid w:val="2C8A6306"/>
    <w:rsid w:val="2C9034E6"/>
    <w:rsid w:val="2C9116B8"/>
    <w:rsid w:val="2C995C25"/>
    <w:rsid w:val="2C9C5116"/>
    <w:rsid w:val="2CA01851"/>
    <w:rsid w:val="2CA122DA"/>
    <w:rsid w:val="2CA423D8"/>
    <w:rsid w:val="2CA96082"/>
    <w:rsid w:val="2CAA01BE"/>
    <w:rsid w:val="2CAE345F"/>
    <w:rsid w:val="2CB43679"/>
    <w:rsid w:val="2CB50CBF"/>
    <w:rsid w:val="2CB85977"/>
    <w:rsid w:val="2CBB5644"/>
    <w:rsid w:val="2CBD0690"/>
    <w:rsid w:val="2CBE40F4"/>
    <w:rsid w:val="2CBE62A5"/>
    <w:rsid w:val="2CC26216"/>
    <w:rsid w:val="2CC44205"/>
    <w:rsid w:val="2CC47634"/>
    <w:rsid w:val="2CC55793"/>
    <w:rsid w:val="2CC969F8"/>
    <w:rsid w:val="2CCA19AD"/>
    <w:rsid w:val="2CCB09C2"/>
    <w:rsid w:val="2CCE189E"/>
    <w:rsid w:val="2CCF04B2"/>
    <w:rsid w:val="2CCF5DDE"/>
    <w:rsid w:val="2CDA3B55"/>
    <w:rsid w:val="2CDB0944"/>
    <w:rsid w:val="2CDC54D1"/>
    <w:rsid w:val="2CDD3EC5"/>
    <w:rsid w:val="2CE27267"/>
    <w:rsid w:val="2CE45218"/>
    <w:rsid w:val="2CE51A84"/>
    <w:rsid w:val="2CE74D39"/>
    <w:rsid w:val="2CE8150A"/>
    <w:rsid w:val="2CF04B2B"/>
    <w:rsid w:val="2CF06CC2"/>
    <w:rsid w:val="2CF4573F"/>
    <w:rsid w:val="2CFA03A5"/>
    <w:rsid w:val="2CFB12A7"/>
    <w:rsid w:val="2CFF066C"/>
    <w:rsid w:val="2D016444"/>
    <w:rsid w:val="2D0B00A7"/>
    <w:rsid w:val="2D0B16C5"/>
    <w:rsid w:val="2D0D0FDB"/>
    <w:rsid w:val="2D0D1754"/>
    <w:rsid w:val="2D0D1E1A"/>
    <w:rsid w:val="2D0D6A6B"/>
    <w:rsid w:val="2D12077C"/>
    <w:rsid w:val="2D1715C6"/>
    <w:rsid w:val="2D1943ED"/>
    <w:rsid w:val="2D1D3D27"/>
    <w:rsid w:val="2D1F6742"/>
    <w:rsid w:val="2D270FD0"/>
    <w:rsid w:val="2D277EFB"/>
    <w:rsid w:val="2D31047C"/>
    <w:rsid w:val="2D3136D3"/>
    <w:rsid w:val="2D314CC9"/>
    <w:rsid w:val="2D3178DC"/>
    <w:rsid w:val="2D324DB9"/>
    <w:rsid w:val="2D334CAC"/>
    <w:rsid w:val="2D360531"/>
    <w:rsid w:val="2D396665"/>
    <w:rsid w:val="2D410C84"/>
    <w:rsid w:val="2D426862"/>
    <w:rsid w:val="2D4367AA"/>
    <w:rsid w:val="2D4370D2"/>
    <w:rsid w:val="2D450D5F"/>
    <w:rsid w:val="2D4761C0"/>
    <w:rsid w:val="2D4E3F0C"/>
    <w:rsid w:val="2D5B4B27"/>
    <w:rsid w:val="2D5D08DD"/>
    <w:rsid w:val="2D6055AE"/>
    <w:rsid w:val="2D636224"/>
    <w:rsid w:val="2D646B9E"/>
    <w:rsid w:val="2D6B244F"/>
    <w:rsid w:val="2D6B5D7F"/>
    <w:rsid w:val="2D700E9E"/>
    <w:rsid w:val="2D875411"/>
    <w:rsid w:val="2D8B4452"/>
    <w:rsid w:val="2D8D53A8"/>
    <w:rsid w:val="2D976683"/>
    <w:rsid w:val="2D9E3E78"/>
    <w:rsid w:val="2DA01E4F"/>
    <w:rsid w:val="2DA336ED"/>
    <w:rsid w:val="2DAB621D"/>
    <w:rsid w:val="2DAC24B5"/>
    <w:rsid w:val="2DB17BB8"/>
    <w:rsid w:val="2DB27C81"/>
    <w:rsid w:val="2DBC5013"/>
    <w:rsid w:val="2DCD0958"/>
    <w:rsid w:val="2DCF003E"/>
    <w:rsid w:val="2DD27CA8"/>
    <w:rsid w:val="2DDA0237"/>
    <w:rsid w:val="2DE35338"/>
    <w:rsid w:val="2DE97FFE"/>
    <w:rsid w:val="2DEB4A08"/>
    <w:rsid w:val="2DEC09F4"/>
    <w:rsid w:val="2DF2421D"/>
    <w:rsid w:val="2DF714A1"/>
    <w:rsid w:val="2E0019A3"/>
    <w:rsid w:val="2E093550"/>
    <w:rsid w:val="2E0A7A05"/>
    <w:rsid w:val="2E1343CF"/>
    <w:rsid w:val="2E156399"/>
    <w:rsid w:val="2E194F3D"/>
    <w:rsid w:val="2E267CD1"/>
    <w:rsid w:val="2E287B61"/>
    <w:rsid w:val="2E2C36E3"/>
    <w:rsid w:val="2E317F48"/>
    <w:rsid w:val="2E3D028C"/>
    <w:rsid w:val="2E3E0198"/>
    <w:rsid w:val="2E3F0BEE"/>
    <w:rsid w:val="2E4652C5"/>
    <w:rsid w:val="2E496803"/>
    <w:rsid w:val="2E4A28CA"/>
    <w:rsid w:val="2E4D5A50"/>
    <w:rsid w:val="2E4D77A9"/>
    <w:rsid w:val="2E560939"/>
    <w:rsid w:val="2E5A7CD6"/>
    <w:rsid w:val="2E5E648E"/>
    <w:rsid w:val="2E607376"/>
    <w:rsid w:val="2E642E7C"/>
    <w:rsid w:val="2E70537D"/>
    <w:rsid w:val="2E790DE1"/>
    <w:rsid w:val="2E7973ED"/>
    <w:rsid w:val="2E7B3153"/>
    <w:rsid w:val="2E7C78DB"/>
    <w:rsid w:val="2E877342"/>
    <w:rsid w:val="2E8B665B"/>
    <w:rsid w:val="2E8E35A8"/>
    <w:rsid w:val="2E9123DB"/>
    <w:rsid w:val="2E9136EE"/>
    <w:rsid w:val="2E957101"/>
    <w:rsid w:val="2E9A471C"/>
    <w:rsid w:val="2E9A7791"/>
    <w:rsid w:val="2EA25753"/>
    <w:rsid w:val="2EAA1BD0"/>
    <w:rsid w:val="2EAA3A90"/>
    <w:rsid w:val="2EB37D85"/>
    <w:rsid w:val="2EBB5220"/>
    <w:rsid w:val="2EBC5351"/>
    <w:rsid w:val="2EBE07DF"/>
    <w:rsid w:val="2EC456C9"/>
    <w:rsid w:val="2EC46383"/>
    <w:rsid w:val="2EC56BE5"/>
    <w:rsid w:val="2EC658E5"/>
    <w:rsid w:val="2EC77991"/>
    <w:rsid w:val="2ECE7596"/>
    <w:rsid w:val="2ECF2A91"/>
    <w:rsid w:val="2ED316F4"/>
    <w:rsid w:val="2ED917DE"/>
    <w:rsid w:val="2EDF31F8"/>
    <w:rsid w:val="2EEB7843"/>
    <w:rsid w:val="2EF00893"/>
    <w:rsid w:val="2EF3442E"/>
    <w:rsid w:val="2EF65105"/>
    <w:rsid w:val="2EFB4F05"/>
    <w:rsid w:val="2EFF3E52"/>
    <w:rsid w:val="2F0465CC"/>
    <w:rsid w:val="2F072879"/>
    <w:rsid w:val="2F08433B"/>
    <w:rsid w:val="2F0907FB"/>
    <w:rsid w:val="2F0A3A24"/>
    <w:rsid w:val="2F0B5278"/>
    <w:rsid w:val="2F0D661F"/>
    <w:rsid w:val="2F1321AD"/>
    <w:rsid w:val="2F136646"/>
    <w:rsid w:val="2F154177"/>
    <w:rsid w:val="2F1C1962"/>
    <w:rsid w:val="2F2269A3"/>
    <w:rsid w:val="2F2828F2"/>
    <w:rsid w:val="2F2B399A"/>
    <w:rsid w:val="2F363704"/>
    <w:rsid w:val="2F3960B7"/>
    <w:rsid w:val="2F3D037D"/>
    <w:rsid w:val="2F4C2EE3"/>
    <w:rsid w:val="2F4C6D53"/>
    <w:rsid w:val="2F561C30"/>
    <w:rsid w:val="2F585AF3"/>
    <w:rsid w:val="2F596049"/>
    <w:rsid w:val="2F5C3B54"/>
    <w:rsid w:val="2F61762B"/>
    <w:rsid w:val="2F662C24"/>
    <w:rsid w:val="2F704AF3"/>
    <w:rsid w:val="2F843A53"/>
    <w:rsid w:val="2F9429CB"/>
    <w:rsid w:val="2F952329"/>
    <w:rsid w:val="2F962068"/>
    <w:rsid w:val="2F9652B7"/>
    <w:rsid w:val="2F965A84"/>
    <w:rsid w:val="2F996B56"/>
    <w:rsid w:val="2F9B5A25"/>
    <w:rsid w:val="2F9C03F4"/>
    <w:rsid w:val="2F9E5E02"/>
    <w:rsid w:val="2FA21EAE"/>
    <w:rsid w:val="2FA409F4"/>
    <w:rsid w:val="2FA92ACB"/>
    <w:rsid w:val="2FAF45CB"/>
    <w:rsid w:val="2FB62C7A"/>
    <w:rsid w:val="2FBC4FC2"/>
    <w:rsid w:val="2FBE65BC"/>
    <w:rsid w:val="2FC02334"/>
    <w:rsid w:val="2FC12E0D"/>
    <w:rsid w:val="2FC61E19"/>
    <w:rsid w:val="2FCF2577"/>
    <w:rsid w:val="2FD3657A"/>
    <w:rsid w:val="2FD54996"/>
    <w:rsid w:val="2FD97BCD"/>
    <w:rsid w:val="2FDD2E8E"/>
    <w:rsid w:val="2FDE3125"/>
    <w:rsid w:val="2FE31C96"/>
    <w:rsid w:val="2FE87D4B"/>
    <w:rsid w:val="2FE97517"/>
    <w:rsid w:val="2FED2320"/>
    <w:rsid w:val="2FF3094F"/>
    <w:rsid w:val="2FFD0C0E"/>
    <w:rsid w:val="30002D07"/>
    <w:rsid w:val="3002294D"/>
    <w:rsid w:val="300711A8"/>
    <w:rsid w:val="30087837"/>
    <w:rsid w:val="300C3B90"/>
    <w:rsid w:val="300D20E3"/>
    <w:rsid w:val="300D36B9"/>
    <w:rsid w:val="300F0B89"/>
    <w:rsid w:val="301168CE"/>
    <w:rsid w:val="30154E19"/>
    <w:rsid w:val="30171924"/>
    <w:rsid w:val="30173190"/>
    <w:rsid w:val="301B2328"/>
    <w:rsid w:val="30225849"/>
    <w:rsid w:val="3025488D"/>
    <w:rsid w:val="302C277F"/>
    <w:rsid w:val="302D3FE9"/>
    <w:rsid w:val="302E2353"/>
    <w:rsid w:val="303221E0"/>
    <w:rsid w:val="30322E5C"/>
    <w:rsid w:val="303643A5"/>
    <w:rsid w:val="3039340C"/>
    <w:rsid w:val="30396D27"/>
    <w:rsid w:val="3042124A"/>
    <w:rsid w:val="3044003E"/>
    <w:rsid w:val="30453B9D"/>
    <w:rsid w:val="304C3BC8"/>
    <w:rsid w:val="30505F70"/>
    <w:rsid w:val="30552148"/>
    <w:rsid w:val="305703F6"/>
    <w:rsid w:val="305A4534"/>
    <w:rsid w:val="305D754F"/>
    <w:rsid w:val="306212C1"/>
    <w:rsid w:val="30645CFC"/>
    <w:rsid w:val="30665E9F"/>
    <w:rsid w:val="306A6432"/>
    <w:rsid w:val="306C7EFE"/>
    <w:rsid w:val="30733FFC"/>
    <w:rsid w:val="30794DF1"/>
    <w:rsid w:val="30830CE2"/>
    <w:rsid w:val="308321E0"/>
    <w:rsid w:val="3095731D"/>
    <w:rsid w:val="30A57B99"/>
    <w:rsid w:val="30B20E4E"/>
    <w:rsid w:val="30B97331"/>
    <w:rsid w:val="30BA4AA5"/>
    <w:rsid w:val="30BA548C"/>
    <w:rsid w:val="30BA6D63"/>
    <w:rsid w:val="30C23A3B"/>
    <w:rsid w:val="30C55B0E"/>
    <w:rsid w:val="30CA3F94"/>
    <w:rsid w:val="30CB546A"/>
    <w:rsid w:val="30CD5539"/>
    <w:rsid w:val="30E107B4"/>
    <w:rsid w:val="30EF0ED6"/>
    <w:rsid w:val="30F13FAA"/>
    <w:rsid w:val="30F5319F"/>
    <w:rsid w:val="30F60F82"/>
    <w:rsid w:val="30FE173C"/>
    <w:rsid w:val="3100726D"/>
    <w:rsid w:val="310307ED"/>
    <w:rsid w:val="3104150C"/>
    <w:rsid w:val="31060D94"/>
    <w:rsid w:val="310662F5"/>
    <w:rsid w:val="3106646D"/>
    <w:rsid w:val="310A511C"/>
    <w:rsid w:val="310C35ED"/>
    <w:rsid w:val="310D031B"/>
    <w:rsid w:val="31186793"/>
    <w:rsid w:val="311D1232"/>
    <w:rsid w:val="311D5693"/>
    <w:rsid w:val="31210AA0"/>
    <w:rsid w:val="31271F3F"/>
    <w:rsid w:val="312B4918"/>
    <w:rsid w:val="31311CFE"/>
    <w:rsid w:val="313171F6"/>
    <w:rsid w:val="31327262"/>
    <w:rsid w:val="313308E4"/>
    <w:rsid w:val="31337DEB"/>
    <w:rsid w:val="313B3958"/>
    <w:rsid w:val="3144316E"/>
    <w:rsid w:val="314874EB"/>
    <w:rsid w:val="31496258"/>
    <w:rsid w:val="314B0B14"/>
    <w:rsid w:val="314E691D"/>
    <w:rsid w:val="31501496"/>
    <w:rsid w:val="31505D6B"/>
    <w:rsid w:val="31592B0A"/>
    <w:rsid w:val="31594B69"/>
    <w:rsid w:val="315B0515"/>
    <w:rsid w:val="31607AF5"/>
    <w:rsid w:val="316311C9"/>
    <w:rsid w:val="31643BE3"/>
    <w:rsid w:val="316B6CEE"/>
    <w:rsid w:val="316F48E7"/>
    <w:rsid w:val="31794E91"/>
    <w:rsid w:val="317A5ABA"/>
    <w:rsid w:val="318022DD"/>
    <w:rsid w:val="31833619"/>
    <w:rsid w:val="31843C8B"/>
    <w:rsid w:val="31871366"/>
    <w:rsid w:val="3188024D"/>
    <w:rsid w:val="31881438"/>
    <w:rsid w:val="318850D4"/>
    <w:rsid w:val="318C3787"/>
    <w:rsid w:val="3191218A"/>
    <w:rsid w:val="31913A69"/>
    <w:rsid w:val="31922F44"/>
    <w:rsid w:val="319B3CAA"/>
    <w:rsid w:val="31A628A5"/>
    <w:rsid w:val="31A6397F"/>
    <w:rsid w:val="31AD27E4"/>
    <w:rsid w:val="31B22A5A"/>
    <w:rsid w:val="31B36D87"/>
    <w:rsid w:val="31B45EC9"/>
    <w:rsid w:val="31BF0A20"/>
    <w:rsid w:val="31CF1AE1"/>
    <w:rsid w:val="31D774B8"/>
    <w:rsid w:val="31D85559"/>
    <w:rsid w:val="31DA7CEA"/>
    <w:rsid w:val="31DB1CD9"/>
    <w:rsid w:val="31DC63AC"/>
    <w:rsid w:val="31E3055C"/>
    <w:rsid w:val="31ED3136"/>
    <w:rsid w:val="31EF7302"/>
    <w:rsid w:val="31F438FC"/>
    <w:rsid w:val="31F807B9"/>
    <w:rsid w:val="31FD406A"/>
    <w:rsid w:val="31FE2FC8"/>
    <w:rsid w:val="32053178"/>
    <w:rsid w:val="32066C5B"/>
    <w:rsid w:val="32097DF1"/>
    <w:rsid w:val="320F1351"/>
    <w:rsid w:val="321330EB"/>
    <w:rsid w:val="32166511"/>
    <w:rsid w:val="321D2039"/>
    <w:rsid w:val="32222323"/>
    <w:rsid w:val="32237D8D"/>
    <w:rsid w:val="3224393E"/>
    <w:rsid w:val="32246E4C"/>
    <w:rsid w:val="322D595C"/>
    <w:rsid w:val="323709AC"/>
    <w:rsid w:val="3239017C"/>
    <w:rsid w:val="323B2146"/>
    <w:rsid w:val="323B3EF4"/>
    <w:rsid w:val="323D7C6C"/>
    <w:rsid w:val="323E4C46"/>
    <w:rsid w:val="32416ECE"/>
    <w:rsid w:val="324276A3"/>
    <w:rsid w:val="32440A8B"/>
    <w:rsid w:val="324639D0"/>
    <w:rsid w:val="324928AC"/>
    <w:rsid w:val="32544FB6"/>
    <w:rsid w:val="325558B4"/>
    <w:rsid w:val="325719E8"/>
    <w:rsid w:val="325B2B58"/>
    <w:rsid w:val="325F5E35"/>
    <w:rsid w:val="326170B4"/>
    <w:rsid w:val="32642218"/>
    <w:rsid w:val="326429D0"/>
    <w:rsid w:val="3264531C"/>
    <w:rsid w:val="32665466"/>
    <w:rsid w:val="3267118D"/>
    <w:rsid w:val="326820F3"/>
    <w:rsid w:val="32692A31"/>
    <w:rsid w:val="32697F0A"/>
    <w:rsid w:val="326B38EB"/>
    <w:rsid w:val="327C3B58"/>
    <w:rsid w:val="32885317"/>
    <w:rsid w:val="32892A4B"/>
    <w:rsid w:val="32896420"/>
    <w:rsid w:val="32980D20"/>
    <w:rsid w:val="329918B1"/>
    <w:rsid w:val="329A38A8"/>
    <w:rsid w:val="32A23F73"/>
    <w:rsid w:val="32A2433E"/>
    <w:rsid w:val="32A91748"/>
    <w:rsid w:val="32AC4DF2"/>
    <w:rsid w:val="32AD2087"/>
    <w:rsid w:val="32B01DCF"/>
    <w:rsid w:val="32B53ABB"/>
    <w:rsid w:val="32B736BD"/>
    <w:rsid w:val="32B865A2"/>
    <w:rsid w:val="32BA2E92"/>
    <w:rsid w:val="32BC1C32"/>
    <w:rsid w:val="32BF743F"/>
    <w:rsid w:val="32C40CE5"/>
    <w:rsid w:val="32C62D0D"/>
    <w:rsid w:val="32CC0FF0"/>
    <w:rsid w:val="32CE4D68"/>
    <w:rsid w:val="32CE6A40"/>
    <w:rsid w:val="32D03BB7"/>
    <w:rsid w:val="32D63C1D"/>
    <w:rsid w:val="32E5329D"/>
    <w:rsid w:val="32EF6F5B"/>
    <w:rsid w:val="32F35ED4"/>
    <w:rsid w:val="32F90C87"/>
    <w:rsid w:val="32F976CA"/>
    <w:rsid w:val="32FC1D3D"/>
    <w:rsid w:val="32FE6CC1"/>
    <w:rsid w:val="32FF13C6"/>
    <w:rsid w:val="32FF3C80"/>
    <w:rsid w:val="33012B98"/>
    <w:rsid w:val="33092244"/>
    <w:rsid w:val="330C791D"/>
    <w:rsid w:val="330D2A67"/>
    <w:rsid w:val="330E2AC2"/>
    <w:rsid w:val="330E2F53"/>
    <w:rsid w:val="330E4A42"/>
    <w:rsid w:val="331518CB"/>
    <w:rsid w:val="331838AD"/>
    <w:rsid w:val="33186345"/>
    <w:rsid w:val="331B428B"/>
    <w:rsid w:val="331C5AD4"/>
    <w:rsid w:val="331F2416"/>
    <w:rsid w:val="33224DA6"/>
    <w:rsid w:val="332705B3"/>
    <w:rsid w:val="33291ECF"/>
    <w:rsid w:val="332C0C59"/>
    <w:rsid w:val="332F2325"/>
    <w:rsid w:val="332F78E4"/>
    <w:rsid w:val="33302505"/>
    <w:rsid w:val="33435FD9"/>
    <w:rsid w:val="3345063A"/>
    <w:rsid w:val="334D2CFC"/>
    <w:rsid w:val="334E7C57"/>
    <w:rsid w:val="33501C21"/>
    <w:rsid w:val="335121B9"/>
    <w:rsid w:val="335562D0"/>
    <w:rsid w:val="335D450D"/>
    <w:rsid w:val="336C307D"/>
    <w:rsid w:val="337070BE"/>
    <w:rsid w:val="33750FD2"/>
    <w:rsid w:val="33780162"/>
    <w:rsid w:val="337829B0"/>
    <w:rsid w:val="337A0742"/>
    <w:rsid w:val="337B77A8"/>
    <w:rsid w:val="337C0BAD"/>
    <w:rsid w:val="33802506"/>
    <w:rsid w:val="3382532E"/>
    <w:rsid w:val="33835519"/>
    <w:rsid w:val="338E22AC"/>
    <w:rsid w:val="33907D95"/>
    <w:rsid w:val="33912A7A"/>
    <w:rsid w:val="33923816"/>
    <w:rsid w:val="33960E31"/>
    <w:rsid w:val="33974AEA"/>
    <w:rsid w:val="339766EC"/>
    <w:rsid w:val="33983939"/>
    <w:rsid w:val="339B00AC"/>
    <w:rsid w:val="33A13F7B"/>
    <w:rsid w:val="33A60EDE"/>
    <w:rsid w:val="33A74D3B"/>
    <w:rsid w:val="33A8589B"/>
    <w:rsid w:val="33AD7074"/>
    <w:rsid w:val="33B95F01"/>
    <w:rsid w:val="33BD0F57"/>
    <w:rsid w:val="33C07D0A"/>
    <w:rsid w:val="33C148CD"/>
    <w:rsid w:val="33C5471C"/>
    <w:rsid w:val="33CB0B80"/>
    <w:rsid w:val="33D71AE1"/>
    <w:rsid w:val="33E170B6"/>
    <w:rsid w:val="33E70001"/>
    <w:rsid w:val="33E93BB1"/>
    <w:rsid w:val="33EB36F8"/>
    <w:rsid w:val="33F57FBD"/>
    <w:rsid w:val="33F75282"/>
    <w:rsid w:val="33FB6405"/>
    <w:rsid w:val="3402383D"/>
    <w:rsid w:val="340549D0"/>
    <w:rsid w:val="34065FE2"/>
    <w:rsid w:val="340A53E6"/>
    <w:rsid w:val="340F05AC"/>
    <w:rsid w:val="34110143"/>
    <w:rsid w:val="341449FD"/>
    <w:rsid w:val="341931A8"/>
    <w:rsid w:val="341942F8"/>
    <w:rsid w:val="341D5FA7"/>
    <w:rsid w:val="342235BE"/>
    <w:rsid w:val="342509B8"/>
    <w:rsid w:val="34265666"/>
    <w:rsid w:val="342906A4"/>
    <w:rsid w:val="342D57DA"/>
    <w:rsid w:val="342F4A90"/>
    <w:rsid w:val="344026A9"/>
    <w:rsid w:val="3448506B"/>
    <w:rsid w:val="34505149"/>
    <w:rsid w:val="34517714"/>
    <w:rsid w:val="345319C9"/>
    <w:rsid w:val="345A50D5"/>
    <w:rsid w:val="345B795C"/>
    <w:rsid w:val="345C0152"/>
    <w:rsid w:val="34655FDE"/>
    <w:rsid w:val="3468005A"/>
    <w:rsid w:val="346A0AC1"/>
    <w:rsid w:val="346E1392"/>
    <w:rsid w:val="346F2A79"/>
    <w:rsid w:val="3471648D"/>
    <w:rsid w:val="34733808"/>
    <w:rsid w:val="347362F2"/>
    <w:rsid w:val="34772FC6"/>
    <w:rsid w:val="3479321B"/>
    <w:rsid w:val="347E456C"/>
    <w:rsid w:val="347F5B57"/>
    <w:rsid w:val="34891274"/>
    <w:rsid w:val="348A1DB8"/>
    <w:rsid w:val="348C0A37"/>
    <w:rsid w:val="348D78C7"/>
    <w:rsid w:val="348E7E8F"/>
    <w:rsid w:val="348F0128"/>
    <w:rsid w:val="349124F1"/>
    <w:rsid w:val="34934B68"/>
    <w:rsid w:val="34980D1E"/>
    <w:rsid w:val="349C67C9"/>
    <w:rsid w:val="349D0883"/>
    <w:rsid w:val="349E4B2E"/>
    <w:rsid w:val="34A03C19"/>
    <w:rsid w:val="34A13EE1"/>
    <w:rsid w:val="34A22A5F"/>
    <w:rsid w:val="34A628F1"/>
    <w:rsid w:val="34A838C3"/>
    <w:rsid w:val="34AB35B3"/>
    <w:rsid w:val="34AE4A8D"/>
    <w:rsid w:val="34B033E7"/>
    <w:rsid w:val="34B334C0"/>
    <w:rsid w:val="34BB4A51"/>
    <w:rsid w:val="34BD350C"/>
    <w:rsid w:val="34BF0E0C"/>
    <w:rsid w:val="34BF19E9"/>
    <w:rsid w:val="34BF74EA"/>
    <w:rsid w:val="34C160F5"/>
    <w:rsid w:val="34C33AD8"/>
    <w:rsid w:val="34C77323"/>
    <w:rsid w:val="34CA71B6"/>
    <w:rsid w:val="34CE4260"/>
    <w:rsid w:val="34CF122C"/>
    <w:rsid w:val="34D56A72"/>
    <w:rsid w:val="34D766B0"/>
    <w:rsid w:val="34DB2B4D"/>
    <w:rsid w:val="34DD5737"/>
    <w:rsid w:val="34E16316"/>
    <w:rsid w:val="34E467C1"/>
    <w:rsid w:val="34E7342C"/>
    <w:rsid w:val="34E75F12"/>
    <w:rsid w:val="34F32500"/>
    <w:rsid w:val="34F432BA"/>
    <w:rsid w:val="34F76440"/>
    <w:rsid w:val="34FA718E"/>
    <w:rsid w:val="350245E8"/>
    <w:rsid w:val="350A5CF4"/>
    <w:rsid w:val="35195020"/>
    <w:rsid w:val="351F2F82"/>
    <w:rsid w:val="35246742"/>
    <w:rsid w:val="352670DE"/>
    <w:rsid w:val="35270120"/>
    <w:rsid w:val="35275089"/>
    <w:rsid w:val="352B0250"/>
    <w:rsid w:val="352D62A3"/>
    <w:rsid w:val="352E7C67"/>
    <w:rsid w:val="35350F5A"/>
    <w:rsid w:val="353510CF"/>
    <w:rsid w:val="3535293E"/>
    <w:rsid w:val="3536502B"/>
    <w:rsid w:val="353665BD"/>
    <w:rsid w:val="35372467"/>
    <w:rsid w:val="353A0493"/>
    <w:rsid w:val="353E58AC"/>
    <w:rsid w:val="3540294F"/>
    <w:rsid w:val="354112CF"/>
    <w:rsid w:val="35487054"/>
    <w:rsid w:val="354912F6"/>
    <w:rsid w:val="354B2DE4"/>
    <w:rsid w:val="354F4ECD"/>
    <w:rsid w:val="35543E8E"/>
    <w:rsid w:val="35555A63"/>
    <w:rsid w:val="355A6497"/>
    <w:rsid w:val="355B65B2"/>
    <w:rsid w:val="355D4F81"/>
    <w:rsid w:val="355E50CF"/>
    <w:rsid w:val="355E5E3D"/>
    <w:rsid w:val="35643762"/>
    <w:rsid w:val="35654E87"/>
    <w:rsid w:val="356814A4"/>
    <w:rsid w:val="356F2C96"/>
    <w:rsid w:val="35700877"/>
    <w:rsid w:val="35705AE4"/>
    <w:rsid w:val="357B2101"/>
    <w:rsid w:val="357E004F"/>
    <w:rsid w:val="35824905"/>
    <w:rsid w:val="35843F72"/>
    <w:rsid w:val="35844FB9"/>
    <w:rsid w:val="35864933"/>
    <w:rsid w:val="35881566"/>
    <w:rsid w:val="35895A1F"/>
    <w:rsid w:val="358D2D1D"/>
    <w:rsid w:val="35922D88"/>
    <w:rsid w:val="35944047"/>
    <w:rsid w:val="35970273"/>
    <w:rsid w:val="359F29EC"/>
    <w:rsid w:val="35A930DB"/>
    <w:rsid w:val="35AE2C2F"/>
    <w:rsid w:val="35B23542"/>
    <w:rsid w:val="35B77D36"/>
    <w:rsid w:val="35BA15D4"/>
    <w:rsid w:val="35BD2A9C"/>
    <w:rsid w:val="35C213AC"/>
    <w:rsid w:val="35C66D41"/>
    <w:rsid w:val="35C74E47"/>
    <w:rsid w:val="35C95861"/>
    <w:rsid w:val="35D44833"/>
    <w:rsid w:val="35D8240C"/>
    <w:rsid w:val="35D84366"/>
    <w:rsid w:val="35D86E88"/>
    <w:rsid w:val="35D945B0"/>
    <w:rsid w:val="35DB7B88"/>
    <w:rsid w:val="35DC59EE"/>
    <w:rsid w:val="35E24DF5"/>
    <w:rsid w:val="35F920FC"/>
    <w:rsid w:val="35FB6F9A"/>
    <w:rsid w:val="35FC0320"/>
    <w:rsid w:val="35FC78A0"/>
    <w:rsid w:val="35FD2590"/>
    <w:rsid w:val="35FF463C"/>
    <w:rsid w:val="36061C54"/>
    <w:rsid w:val="360C7554"/>
    <w:rsid w:val="360D4DD7"/>
    <w:rsid w:val="360F2DBF"/>
    <w:rsid w:val="361124A4"/>
    <w:rsid w:val="36132896"/>
    <w:rsid w:val="36132E0B"/>
    <w:rsid w:val="361B02C4"/>
    <w:rsid w:val="36251E52"/>
    <w:rsid w:val="36303FB9"/>
    <w:rsid w:val="363407F7"/>
    <w:rsid w:val="363842BA"/>
    <w:rsid w:val="3638445C"/>
    <w:rsid w:val="363B5B34"/>
    <w:rsid w:val="363C023B"/>
    <w:rsid w:val="363E0457"/>
    <w:rsid w:val="364D39D1"/>
    <w:rsid w:val="364F6F22"/>
    <w:rsid w:val="365437D6"/>
    <w:rsid w:val="365612E8"/>
    <w:rsid w:val="3658395C"/>
    <w:rsid w:val="36593DEE"/>
    <w:rsid w:val="366513C8"/>
    <w:rsid w:val="36692C29"/>
    <w:rsid w:val="3672205D"/>
    <w:rsid w:val="367805D9"/>
    <w:rsid w:val="36785717"/>
    <w:rsid w:val="3678741B"/>
    <w:rsid w:val="367B598F"/>
    <w:rsid w:val="36813FAE"/>
    <w:rsid w:val="36835443"/>
    <w:rsid w:val="3686608C"/>
    <w:rsid w:val="368D3FB1"/>
    <w:rsid w:val="368F4ABB"/>
    <w:rsid w:val="36914723"/>
    <w:rsid w:val="36931AD1"/>
    <w:rsid w:val="369760BA"/>
    <w:rsid w:val="369769C2"/>
    <w:rsid w:val="369E0EF6"/>
    <w:rsid w:val="369E5E59"/>
    <w:rsid w:val="36A00055"/>
    <w:rsid w:val="36A24542"/>
    <w:rsid w:val="36A71B58"/>
    <w:rsid w:val="36AD62EF"/>
    <w:rsid w:val="36AE738B"/>
    <w:rsid w:val="36B77ECB"/>
    <w:rsid w:val="36B814E3"/>
    <w:rsid w:val="36B81FB7"/>
    <w:rsid w:val="36BB2D6A"/>
    <w:rsid w:val="36C40518"/>
    <w:rsid w:val="36CA1F25"/>
    <w:rsid w:val="36CC5A63"/>
    <w:rsid w:val="36D00424"/>
    <w:rsid w:val="36D20CF6"/>
    <w:rsid w:val="36D72B72"/>
    <w:rsid w:val="36DD2BAC"/>
    <w:rsid w:val="36DE0951"/>
    <w:rsid w:val="36E21D02"/>
    <w:rsid w:val="36E56B24"/>
    <w:rsid w:val="36E67553"/>
    <w:rsid w:val="36F12692"/>
    <w:rsid w:val="36F20F6E"/>
    <w:rsid w:val="36F210B1"/>
    <w:rsid w:val="36F7353D"/>
    <w:rsid w:val="36F9612C"/>
    <w:rsid w:val="36FB00F6"/>
    <w:rsid w:val="37007AC7"/>
    <w:rsid w:val="3702370D"/>
    <w:rsid w:val="37024FE0"/>
    <w:rsid w:val="37057E3C"/>
    <w:rsid w:val="37074341"/>
    <w:rsid w:val="37081B1F"/>
    <w:rsid w:val="370A089F"/>
    <w:rsid w:val="37113EEF"/>
    <w:rsid w:val="37114C9C"/>
    <w:rsid w:val="37133692"/>
    <w:rsid w:val="37147CD9"/>
    <w:rsid w:val="37166CDE"/>
    <w:rsid w:val="371922ED"/>
    <w:rsid w:val="371A7708"/>
    <w:rsid w:val="371D469E"/>
    <w:rsid w:val="371F6EDC"/>
    <w:rsid w:val="372A09FA"/>
    <w:rsid w:val="372D1D6A"/>
    <w:rsid w:val="37330115"/>
    <w:rsid w:val="373529C0"/>
    <w:rsid w:val="37397682"/>
    <w:rsid w:val="373C7B02"/>
    <w:rsid w:val="37487E21"/>
    <w:rsid w:val="37525ACD"/>
    <w:rsid w:val="37527418"/>
    <w:rsid w:val="375A55D3"/>
    <w:rsid w:val="375A58F4"/>
    <w:rsid w:val="375D490D"/>
    <w:rsid w:val="375E5B2F"/>
    <w:rsid w:val="375F2D0C"/>
    <w:rsid w:val="37667C65"/>
    <w:rsid w:val="376B4FBE"/>
    <w:rsid w:val="37721A4D"/>
    <w:rsid w:val="37734B4D"/>
    <w:rsid w:val="37757EA8"/>
    <w:rsid w:val="377D7730"/>
    <w:rsid w:val="377E4FAF"/>
    <w:rsid w:val="37803F47"/>
    <w:rsid w:val="37807A1C"/>
    <w:rsid w:val="37820CB3"/>
    <w:rsid w:val="3783476E"/>
    <w:rsid w:val="37885E60"/>
    <w:rsid w:val="378A0827"/>
    <w:rsid w:val="378B3806"/>
    <w:rsid w:val="378B78F4"/>
    <w:rsid w:val="378E3BE4"/>
    <w:rsid w:val="3792490D"/>
    <w:rsid w:val="37931B4D"/>
    <w:rsid w:val="37976071"/>
    <w:rsid w:val="379837CA"/>
    <w:rsid w:val="37984826"/>
    <w:rsid w:val="37994C24"/>
    <w:rsid w:val="379D140C"/>
    <w:rsid w:val="379E1D37"/>
    <w:rsid w:val="37A4695E"/>
    <w:rsid w:val="37A56331"/>
    <w:rsid w:val="37A91E09"/>
    <w:rsid w:val="37AA79A3"/>
    <w:rsid w:val="37AE30E0"/>
    <w:rsid w:val="37B253AC"/>
    <w:rsid w:val="37B31795"/>
    <w:rsid w:val="37B73B33"/>
    <w:rsid w:val="37B874AF"/>
    <w:rsid w:val="37C360D7"/>
    <w:rsid w:val="37C443DA"/>
    <w:rsid w:val="37C50776"/>
    <w:rsid w:val="37C87091"/>
    <w:rsid w:val="37D42B5B"/>
    <w:rsid w:val="37DD65A4"/>
    <w:rsid w:val="37DE28E6"/>
    <w:rsid w:val="37E73565"/>
    <w:rsid w:val="37E8004A"/>
    <w:rsid w:val="37F048A0"/>
    <w:rsid w:val="37F27E10"/>
    <w:rsid w:val="37F45271"/>
    <w:rsid w:val="37F637BC"/>
    <w:rsid w:val="3800555A"/>
    <w:rsid w:val="3801798E"/>
    <w:rsid w:val="3809306D"/>
    <w:rsid w:val="380C5015"/>
    <w:rsid w:val="3814321D"/>
    <w:rsid w:val="381566B5"/>
    <w:rsid w:val="381D1FCA"/>
    <w:rsid w:val="3826753F"/>
    <w:rsid w:val="38267DA4"/>
    <w:rsid w:val="3827518E"/>
    <w:rsid w:val="382800C6"/>
    <w:rsid w:val="382837A8"/>
    <w:rsid w:val="382932C1"/>
    <w:rsid w:val="382A51FA"/>
    <w:rsid w:val="382D2A96"/>
    <w:rsid w:val="382F4B08"/>
    <w:rsid w:val="38312A30"/>
    <w:rsid w:val="383210E4"/>
    <w:rsid w:val="383A36AD"/>
    <w:rsid w:val="383C09C6"/>
    <w:rsid w:val="384C6E5B"/>
    <w:rsid w:val="3855010B"/>
    <w:rsid w:val="385A50D1"/>
    <w:rsid w:val="38613F89"/>
    <w:rsid w:val="38685430"/>
    <w:rsid w:val="386B113A"/>
    <w:rsid w:val="386F52F6"/>
    <w:rsid w:val="387A0F64"/>
    <w:rsid w:val="387C7014"/>
    <w:rsid w:val="387F4B65"/>
    <w:rsid w:val="38894205"/>
    <w:rsid w:val="388A1731"/>
    <w:rsid w:val="388C418E"/>
    <w:rsid w:val="389159D8"/>
    <w:rsid w:val="3894610C"/>
    <w:rsid w:val="38951FE9"/>
    <w:rsid w:val="389B418C"/>
    <w:rsid w:val="389C7387"/>
    <w:rsid w:val="389F5A0E"/>
    <w:rsid w:val="38A00A0E"/>
    <w:rsid w:val="38A23923"/>
    <w:rsid w:val="38B10FD3"/>
    <w:rsid w:val="38B83890"/>
    <w:rsid w:val="38BB261E"/>
    <w:rsid w:val="38BC5EB1"/>
    <w:rsid w:val="38BD5663"/>
    <w:rsid w:val="38BE762D"/>
    <w:rsid w:val="38D342E9"/>
    <w:rsid w:val="38D81226"/>
    <w:rsid w:val="38DC6990"/>
    <w:rsid w:val="38DC7DB9"/>
    <w:rsid w:val="38DD5656"/>
    <w:rsid w:val="38DD68CB"/>
    <w:rsid w:val="38E05C36"/>
    <w:rsid w:val="38E12A24"/>
    <w:rsid w:val="38E12E65"/>
    <w:rsid w:val="38E17D08"/>
    <w:rsid w:val="38E7522B"/>
    <w:rsid w:val="38EA7DB7"/>
    <w:rsid w:val="38ED1063"/>
    <w:rsid w:val="38EE1EB9"/>
    <w:rsid w:val="38F172EC"/>
    <w:rsid w:val="38F26B3A"/>
    <w:rsid w:val="38F407F9"/>
    <w:rsid w:val="38F95DF6"/>
    <w:rsid w:val="38FD00D6"/>
    <w:rsid w:val="38FF6148"/>
    <w:rsid w:val="3900331E"/>
    <w:rsid w:val="3903466D"/>
    <w:rsid w:val="390D588D"/>
    <w:rsid w:val="390E17BC"/>
    <w:rsid w:val="391060DB"/>
    <w:rsid w:val="39132FFD"/>
    <w:rsid w:val="391877C9"/>
    <w:rsid w:val="391F5244"/>
    <w:rsid w:val="3922196A"/>
    <w:rsid w:val="39225CE4"/>
    <w:rsid w:val="392635CF"/>
    <w:rsid w:val="392876F4"/>
    <w:rsid w:val="39293088"/>
    <w:rsid w:val="392A377B"/>
    <w:rsid w:val="393120C7"/>
    <w:rsid w:val="3933284B"/>
    <w:rsid w:val="39333B77"/>
    <w:rsid w:val="39352D1A"/>
    <w:rsid w:val="393B2A2C"/>
    <w:rsid w:val="393D3428"/>
    <w:rsid w:val="393E362D"/>
    <w:rsid w:val="394738B9"/>
    <w:rsid w:val="39475874"/>
    <w:rsid w:val="394F5526"/>
    <w:rsid w:val="395068D0"/>
    <w:rsid w:val="39510E15"/>
    <w:rsid w:val="39581DB9"/>
    <w:rsid w:val="395961F5"/>
    <w:rsid w:val="39597865"/>
    <w:rsid w:val="395E6FAD"/>
    <w:rsid w:val="395F496C"/>
    <w:rsid w:val="395F671A"/>
    <w:rsid w:val="396252C6"/>
    <w:rsid w:val="3962620A"/>
    <w:rsid w:val="396D0C84"/>
    <w:rsid w:val="39721370"/>
    <w:rsid w:val="397228F1"/>
    <w:rsid w:val="397E0107"/>
    <w:rsid w:val="397F27D6"/>
    <w:rsid w:val="39846181"/>
    <w:rsid w:val="39865ABE"/>
    <w:rsid w:val="398D1029"/>
    <w:rsid w:val="39900FC9"/>
    <w:rsid w:val="39902EFF"/>
    <w:rsid w:val="39903EB2"/>
    <w:rsid w:val="39980102"/>
    <w:rsid w:val="399E01FF"/>
    <w:rsid w:val="399E2214"/>
    <w:rsid w:val="39AD287B"/>
    <w:rsid w:val="39AE1A04"/>
    <w:rsid w:val="39AE31FE"/>
    <w:rsid w:val="39B60304"/>
    <w:rsid w:val="39B7679D"/>
    <w:rsid w:val="39B8138C"/>
    <w:rsid w:val="39C550B5"/>
    <w:rsid w:val="39CE6CE4"/>
    <w:rsid w:val="39D471ED"/>
    <w:rsid w:val="39D96824"/>
    <w:rsid w:val="39DB48F9"/>
    <w:rsid w:val="39DC14C7"/>
    <w:rsid w:val="39DC32CF"/>
    <w:rsid w:val="39DC420F"/>
    <w:rsid w:val="39DC5B33"/>
    <w:rsid w:val="39E042AE"/>
    <w:rsid w:val="39E80634"/>
    <w:rsid w:val="39EC4138"/>
    <w:rsid w:val="39EE2FFA"/>
    <w:rsid w:val="39EF3377"/>
    <w:rsid w:val="39F07CBA"/>
    <w:rsid w:val="39F47720"/>
    <w:rsid w:val="39F63CA8"/>
    <w:rsid w:val="39FE20B1"/>
    <w:rsid w:val="3A033549"/>
    <w:rsid w:val="3A05253F"/>
    <w:rsid w:val="3A072065"/>
    <w:rsid w:val="3A0C76D7"/>
    <w:rsid w:val="3A125A31"/>
    <w:rsid w:val="3A1474BB"/>
    <w:rsid w:val="3A15557B"/>
    <w:rsid w:val="3A1B67C7"/>
    <w:rsid w:val="3A1E479F"/>
    <w:rsid w:val="3A204AEC"/>
    <w:rsid w:val="3A2200E6"/>
    <w:rsid w:val="3A230DBA"/>
    <w:rsid w:val="3A293590"/>
    <w:rsid w:val="3A2B0CF2"/>
    <w:rsid w:val="3A2C4438"/>
    <w:rsid w:val="3A2D4580"/>
    <w:rsid w:val="3A2E064C"/>
    <w:rsid w:val="3A2F2D33"/>
    <w:rsid w:val="3A3B5D23"/>
    <w:rsid w:val="3A3E0D77"/>
    <w:rsid w:val="3A443B62"/>
    <w:rsid w:val="3A445910"/>
    <w:rsid w:val="3A4E34CE"/>
    <w:rsid w:val="3A50253D"/>
    <w:rsid w:val="3A504D64"/>
    <w:rsid w:val="3A545C15"/>
    <w:rsid w:val="3A5610C1"/>
    <w:rsid w:val="3A592F70"/>
    <w:rsid w:val="3A5E1139"/>
    <w:rsid w:val="3A60099C"/>
    <w:rsid w:val="3A613E7B"/>
    <w:rsid w:val="3A616E99"/>
    <w:rsid w:val="3A6234A0"/>
    <w:rsid w:val="3A627DF4"/>
    <w:rsid w:val="3A6366DE"/>
    <w:rsid w:val="3A6415F3"/>
    <w:rsid w:val="3A65699F"/>
    <w:rsid w:val="3A661519"/>
    <w:rsid w:val="3A790574"/>
    <w:rsid w:val="3A791CD8"/>
    <w:rsid w:val="3A8760CD"/>
    <w:rsid w:val="3A90460D"/>
    <w:rsid w:val="3A955A4F"/>
    <w:rsid w:val="3A9611FB"/>
    <w:rsid w:val="3A9E3272"/>
    <w:rsid w:val="3AA2508C"/>
    <w:rsid w:val="3AA5191A"/>
    <w:rsid w:val="3AA81763"/>
    <w:rsid w:val="3AB06356"/>
    <w:rsid w:val="3AB42592"/>
    <w:rsid w:val="3AB56820"/>
    <w:rsid w:val="3AB93AAC"/>
    <w:rsid w:val="3AC03556"/>
    <w:rsid w:val="3AC10794"/>
    <w:rsid w:val="3AC20A9E"/>
    <w:rsid w:val="3ACA5143"/>
    <w:rsid w:val="3ACC7E1E"/>
    <w:rsid w:val="3ACD4BD8"/>
    <w:rsid w:val="3ACF7138"/>
    <w:rsid w:val="3ADC43DB"/>
    <w:rsid w:val="3ADD50BB"/>
    <w:rsid w:val="3ADD6095"/>
    <w:rsid w:val="3ADF7E76"/>
    <w:rsid w:val="3AE07043"/>
    <w:rsid w:val="3AE74C19"/>
    <w:rsid w:val="3AEA64B7"/>
    <w:rsid w:val="3AEA6895"/>
    <w:rsid w:val="3AEB018A"/>
    <w:rsid w:val="3AEB7631"/>
    <w:rsid w:val="3AF44D39"/>
    <w:rsid w:val="3AF62FB6"/>
    <w:rsid w:val="3AF64E5C"/>
    <w:rsid w:val="3B047A2C"/>
    <w:rsid w:val="3B053544"/>
    <w:rsid w:val="3B072AE7"/>
    <w:rsid w:val="3B0A5265"/>
    <w:rsid w:val="3B0C568B"/>
    <w:rsid w:val="3B101F22"/>
    <w:rsid w:val="3B124C1B"/>
    <w:rsid w:val="3B144FE3"/>
    <w:rsid w:val="3B171700"/>
    <w:rsid w:val="3B187F0C"/>
    <w:rsid w:val="3B19498D"/>
    <w:rsid w:val="3B2220F5"/>
    <w:rsid w:val="3B225C51"/>
    <w:rsid w:val="3B2A3136"/>
    <w:rsid w:val="3B2B31E1"/>
    <w:rsid w:val="3B331C0C"/>
    <w:rsid w:val="3B3911ED"/>
    <w:rsid w:val="3B4053C6"/>
    <w:rsid w:val="3B424AF9"/>
    <w:rsid w:val="3B43293D"/>
    <w:rsid w:val="3B4331D2"/>
    <w:rsid w:val="3B505ECD"/>
    <w:rsid w:val="3B5871BB"/>
    <w:rsid w:val="3B5F0C53"/>
    <w:rsid w:val="3B5F7EA1"/>
    <w:rsid w:val="3B622EBC"/>
    <w:rsid w:val="3B64407F"/>
    <w:rsid w:val="3B683572"/>
    <w:rsid w:val="3B693880"/>
    <w:rsid w:val="3B697A40"/>
    <w:rsid w:val="3B72035F"/>
    <w:rsid w:val="3B727185"/>
    <w:rsid w:val="3B733F3E"/>
    <w:rsid w:val="3B742767"/>
    <w:rsid w:val="3B751CB9"/>
    <w:rsid w:val="3B7A5A8D"/>
    <w:rsid w:val="3B7B6258"/>
    <w:rsid w:val="3B7C16F1"/>
    <w:rsid w:val="3B7C3AFA"/>
    <w:rsid w:val="3B7D36E1"/>
    <w:rsid w:val="3B7D732B"/>
    <w:rsid w:val="3B800BCA"/>
    <w:rsid w:val="3B8107CA"/>
    <w:rsid w:val="3B8274C7"/>
    <w:rsid w:val="3B832DA4"/>
    <w:rsid w:val="3B862684"/>
    <w:rsid w:val="3B872A81"/>
    <w:rsid w:val="3B8A52AF"/>
    <w:rsid w:val="3B8A6A1F"/>
    <w:rsid w:val="3B8E32E7"/>
    <w:rsid w:val="3B8F30BD"/>
    <w:rsid w:val="3B9A505A"/>
    <w:rsid w:val="3B9B6C01"/>
    <w:rsid w:val="3B9B6F13"/>
    <w:rsid w:val="3B9E014B"/>
    <w:rsid w:val="3B9E7E55"/>
    <w:rsid w:val="3BA35D0A"/>
    <w:rsid w:val="3BAD78CD"/>
    <w:rsid w:val="3BB17880"/>
    <w:rsid w:val="3BBA232E"/>
    <w:rsid w:val="3BC05AA5"/>
    <w:rsid w:val="3BC50500"/>
    <w:rsid w:val="3BC52A79"/>
    <w:rsid w:val="3BCD3E2E"/>
    <w:rsid w:val="3BCE402B"/>
    <w:rsid w:val="3BD818AF"/>
    <w:rsid w:val="3BDA5C2F"/>
    <w:rsid w:val="3BDB4052"/>
    <w:rsid w:val="3BDF62F2"/>
    <w:rsid w:val="3BE5760A"/>
    <w:rsid w:val="3BE64ED1"/>
    <w:rsid w:val="3BE73A1E"/>
    <w:rsid w:val="3BEB0843"/>
    <w:rsid w:val="3BF00524"/>
    <w:rsid w:val="3BF472F5"/>
    <w:rsid w:val="3BF736C7"/>
    <w:rsid w:val="3BF75B30"/>
    <w:rsid w:val="3BFE6A45"/>
    <w:rsid w:val="3C00354B"/>
    <w:rsid w:val="3C0470CC"/>
    <w:rsid w:val="3C090BBF"/>
    <w:rsid w:val="3C0D4D6C"/>
    <w:rsid w:val="3C0D7EBC"/>
    <w:rsid w:val="3C162390"/>
    <w:rsid w:val="3C1A6612"/>
    <w:rsid w:val="3C215F09"/>
    <w:rsid w:val="3C230AF8"/>
    <w:rsid w:val="3C240786"/>
    <w:rsid w:val="3C241E9D"/>
    <w:rsid w:val="3C291261"/>
    <w:rsid w:val="3C2B084A"/>
    <w:rsid w:val="3C325184"/>
    <w:rsid w:val="3C35789E"/>
    <w:rsid w:val="3C37397E"/>
    <w:rsid w:val="3C3A17EA"/>
    <w:rsid w:val="3C3A6FCB"/>
    <w:rsid w:val="3C3B3A13"/>
    <w:rsid w:val="3C3E6D60"/>
    <w:rsid w:val="3C420750"/>
    <w:rsid w:val="3C4707DB"/>
    <w:rsid w:val="3C4D4524"/>
    <w:rsid w:val="3C4D6CFE"/>
    <w:rsid w:val="3C4E7A0B"/>
    <w:rsid w:val="3C5462DE"/>
    <w:rsid w:val="3C5639DE"/>
    <w:rsid w:val="3C567958"/>
    <w:rsid w:val="3C571C05"/>
    <w:rsid w:val="3C59383D"/>
    <w:rsid w:val="3C643067"/>
    <w:rsid w:val="3C64352B"/>
    <w:rsid w:val="3C645567"/>
    <w:rsid w:val="3C670F6D"/>
    <w:rsid w:val="3C672E2C"/>
    <w:rsid w:val="3C685249"/>
    <w:rsid w:val="3C6C29B4"/>
    <w:rsid w:val="3C70569E"/>
    <w:rsid w:val="3C717A0A"/>
    <w:rsid w:val="3C746980"/>
    <w:rsid w:val="3C761DD8"/>
    <w:rsid w:val="3C764FC0"/>
    <w:rsid w:val="3C7A5C98"/>
    <w:rsid w:val="3C7C3EE4"/>
    <w:rsid w:val="3C7D4D75"/>
    <w:rsid w:val="3C8D58BE"/>
    <w:rsid w:val="3C8E5FED"/>
    <w:rsid w:val="3C9E20B1"/>
    <w:rsid w:val="3CB054DF"/>
    <w:rsid w:val="3CB11375"/>
    <w:rsid w:val="3CB53A65"/>
    <w:rsid w:val="3CC102AC"/>
    <w:rsid w:val="3CC2128F"/>
    <w:rsid w:val="3CC54280"/>
    <w:rsid w:val="3CCB3262"/>
    <w:rsid w:val="3CCC00E2"/>
    <w:rsid w:val="3CD45BE5"/>
    <w:rsid w:val="3CE360F2"/>
    <w:rsid w:val="3CE8598A"/>
    <w:rsid w:val="3CEA6C43"/>
    <w:rsid w:val="3CEB69FC"/>
    <w:rsid w:val="3CEE5C15"/>
    <w:rsid w:val="3CEF661B"/>
    <w:rsid w:val="3CF019F0"/>
    <w:rsid w:val="3CF5496B"/>
    <w:rsid w:val="3D030BD1"/>
    <w:rsid w:val="3D05055C"/>
    <w:rsid w:val="3D051809"/>
    <w:rsid w:val="3D0777F5"/>
    <w:rsid w:val="3D0B5330"/>
    <w:rsid w:val="3D115586"/>
    <w:rsid w:val="3D197739"/>
    <w:rsid w:val="3D200913"/>
    <w:rsid w:val="3D232155"/>
    <w:rsid w:val="3D234DD6"/>
    <w:rsid w:val="3D260F83"/>
    <w:rsid w:val="3D2739F3"/>
    <w:rsid w:val="3D2B2775"/>
    <w:rsid w:val="3D2C21BB"/>
    <w:rsid w:val="3D2D7CF4"/>
    <w:rsid w:val="3D2E2FD3"/>
    <w:rsid w:val="3D3D68D8"/>
    <w:rsid w:val="3D3F4383"/>
    <w:rsid w:val="3D43250F"/>
    <w:rsid w:val="3D4501F5"/>
    <w:rsid w:val="3D4A132B"/>
    <w:rsid w:val="3D4F61EC"/>
    <w:rsid w:val="3D500385"/>
    <w:rsid w:val="3D547F11"/>
    <w:rsid w:val="3D597924"/>
    <w:rsid w:val="3D5A44CB"/>
    <w:rsid w:val="3D6025AF"/>
    <w:rsid w:val="3D6130D8"/>
    <w:rsid w:val="3D61581C"/>
    <w:rsid w:val="3D647CD4"/>
    <w:rsid w:val="3D770399"/>
    <w:rsid w:val="3D7B49B3"/>
    <w:rsid w:val="3D7F382F"/>
    <w:rsid w:val="3D84454D"/>
    <w:rsid w:val="3D881147"/>
    <w:rsid w:val="3D8A1C1E"/>
    <w:rsid w:val="3D8C37AE"/>
    <w:rsid w:val="3D8D259B"/>
    <w:rsid w:val="3D8D2E74"/>
    <w:rsid w:val="3D940183"/>
    <w:rsid w:val="3D94569F"/>
    <w:rsid w:val="3D9E32C0"/>
    <w:rsid w:val="3DA0290D"/>
    <w:rsid w:val="3DA07301"/>
    <w:rsid w:val="3DB328C2"/>
    <w:rsid w:val="3DBC47EF"/>
    <w:rsid w:val="3DC25603"/>
    <w:rsid w:val="3DC625AE"/>
    <w:rsid w:val="3DC96C0F"/>
    <w:rsid w:val="3DCC12F0"/>
    <w:rsid w:val="3DCF3BE2"/>
    <w:rsid w:val="3DD84CED"/>
    <w:rsid w:val="3DD855FC"/>
    <w:rsid w:val="3DE34A91"/>
    <w:rsid w:val="3DE41CDC"/>
    <w:rsid w:val="3DE85142"/>
    <w:rsid w:val="3DEB52FD"/>
    <w:rsid w:val="3DED75AB"/>
    <w:rsid w:val="3DF0475A"/>
    <w:rsid w:val="3DFC06E4"/>
    <w:rsid w:val="3E016AE6"/>
    <w:rsid w:val="3E070C1F"/>
    <w:rsid w:val="3E070ED4"/>
    <w:rsid w:val="3E073B00"/>
    <w:rsid w:val="3E091CCD"/>
    <w:rsid w:val="3E09759C"/>
    <w:rsid w:val="3E0A177A"/>
    <w:rsid w:val="3E1026D9"/>
    <w:rsid w:val="3E163241"/>
    <w:rsid w:val="3E187D1F"/>
    <w:rsid w:val="3E1A3A28"/>
    <w:rsid w:val="3E1C3525"/>
    <w:rsid w:val="3E1D46C2"/>
    <w:rsid w:val="3E200B4B"/>
    <w:rsid w:val="3E225DB0"/>
    <w:rsid w:val="3E287A22"/>
    <w:rsid w:val="3E296488"/>
    <w:rsid w:val="3E2C4B6C"/>
    <w:rsid w:val="3E2E7210"/>
    <w:rsid w:val="3E343644"/>
    <w:rsid w:val="3E391C30"/>
    <w:rsid w:val="3E3D069E"/>
    <w:rsid w:val="3E3F4D6C"/>
    <w:rsid w:val="3E442382"/>
    <w:rsid w:val="3E483582"/>
    <w:rsid w:val="3E5337D0"/>
    <w:rsid w:val="3E537DE4"/>
    <w:rsid w:val="3E554154"/>
    <w:rsid w:val="3E5702CC"/>
    <w:rsid w:val="3E592038"/>
    <w:rsid w:val="3E5C7B8C"/>
    <w:rsid w:val="3E5F165E"/>
    <w:rsid w:val="3E6622F9"/>
    <w:rsid w:val="3E6A28BE"/>
    <w:rsid w:val="3E742C68"/>
    <w:rsid w:val="3E80785E"/>
    <w:rsid w:val="3E8310FD"/>
    <w:rsid w:val="3E904009"/>
    <w:rsid w:val="3E9365FA"/>
    <w:rsid w:val="3E976E68"/>
    <w:rsid w:val="3E996659"/>
    <w:rsid w:val="3E9A26F6"/>
    <w:rsid w:val="3E9B64DE"/>
    <w:rsid w:val="3E9E1FC0"/>
    <w:rsid w:val="3EA177D5"/>
    <w:rsid w:val="3EA300A7"/>
    <w:rsid w:val="3EA83741"/>
    <w:rsid w:val="3EA90A54"/>
    <w:rsid w:val="3EAB5E05"/>
    <w:rsid w:val="3EAC111D"/>
    <w:rsid w:val="3EB0358F"/>
    <w:rsid w:val="3EB32F2C"/>
    <w:rsid w:val="3EB43064"/>
    <w:rsid w:val="3EB5605B"/>
    <w:rsid w:val="3EBA5D59"/>
    <w:rsid w:val="3EC3043C"/>
    <w:rsid w:val="3EC51154"/>
    <w:rsid w:val="3EC57B21"/>
    <w:rsid w:val="3EC62D97"/>
    <w:rsid w:val="3EC8679C"/>
    <w:rsid w:val="3ECD790D"/>
    <w:rsid w:val="3ECD7A72"/>
    <w:rsid w:val="3ED84198"/>
    <w:rsid w:val="3EDB15AB"/>
    <w:rsid w:val="3EE5288B"/>
    <w:rsid w:val="3EE6303A"/>
    <w:rsid w:val="3EE80F60"/>
    <w:rsid w:val="3EEB42D6"/>
    <w:rsid w:val="3EEB494F"/>
    <w:rsid w:val="3EEB540F"/>
    <w:rsid w:val="3EEC29DE"/>
    <w:rsid w:val="3EF5427F"/>
    <w:rsid w:val="3EFB3143"/>
    <w:rsid w:val="3EFE4C27"/>
    <w:rsid w:val="3F027DD0"/>
    <w:rsid w:val="3F030C21"/>
    <w:rsid w:val="3F12580F"/>
    <w:rsid w:val="3F15140E"/>
    <w:rsid w:val="3F165ACD"/>
    <w:rsid w:val="3F19736B"/>
    <w:rsid w:val="3F1C76C1"/>
    <w:rsid w:val="3F1F6B0C"/>
    <w:rsid w:val="3F232D0D"/>
    <w:rsid w:val="3F23633D"/>
    <w:rsid w:val="3F2640AD"/>
    <w:rsid w:val="3F296ED1"/>
    <w:rsid w:val="3F2E1337"/>
    <w:rsid w:val="3F2E2497"/>
    <w:rsid w:val="3F31711E"/>
    <w:rsid w:val="3F3303B1"/>
    <w:rsid w:val="3F42384C"/>
    <w:rsid w:val="3F4A339D"/>
    <w:rsid w:val="3F4B7B29"/>
    <w:rsid w:val="3F523766"/>
    <w:rsid w:val="3F5366FC"/>
    <w:rsid w:val="3F5860E5"/>
    <w:rsid w:val="3F594519"/>
    <w:rsid w:val="3F6249A7"/>
    <w:rsid w:val="3F66563F"/>
    <w:rsid w:val="3F6E7773"/>
    <w:rsid w:val="3F72541E"/>
    <w:rsid w:val="3F8050A6"/>
    <w:rsid w:val="3F84112B"/>
    <w:rsid w:val="3F877722"/>
    <w:rsid w:val="3F8D00F3"/>
    <w:rsid w:val="3F9005F5"/>
    <w:rsid w:val="3F920484"/>
    <w:rsid w:val="3F9407E7"/>
    <w:rsid w:val="3F9C5DAF"/>
    <w:rsid w:val="3F9D2F58"/>
    <w:rsid w:val="3F9F1936"/>
    <w:rsid w:val="3FA341B1"/>
    <w:rsid w:val="3FAA6BE5"/>
    <w:rsid w:val="3FB56B0A"/>
    <w:rsid w:val="3FB672B0"/>
    <w:rsid w:val="3FBA0B4E"/>
    <w:rsid w:val="3FBF2FE8"/>
    <w:rsid w:val="3FC0568B"/>
    <w:rsid w:val="3FC1760F"/>
    <w:rsid w:val="3FD5287D"/>
    <w:rsid w:val="3FD651D9"/>
    <w:rsid w:val="3FDC778A"/>
    <w:rsid w:val="3FDE02D2"/>
    <w:rsid w:val="3FE47979"/>
    <w:rsid w:val="3FE53B71"/>
    <w:rsid w:val="3FEE66FB"/>
    <w:rsid w:val="3FF15BDF"/>
    <w:rsid w:val="3FF52910"/>
    <w:rsid w:val="3FF56105"/>
    <w:rsid w:val="3FF57DD8"/>
    <w:rsid w:val="3FF83425"/>
    <w:rsid w:val="3FFA159D"/>
    <w:rsid w:val="4002562A"/>
    <w:rsid w:val="400302B2"/>
    <w:rsid w:val="40047F76"/>
    <w:rsid w:val="40070A53"/>
    <w:rsid w:val="400A428E"/>
    <w:rsid w:val="400D69C0"/>
    <w:rsid w:val="40115E17"/>
    <w:rsid w:val="401B6D82"/>
    <w:rsid w:val="401D74D9"/>
    <w:rsid w:val="401E1F88"/>
    <w:rsid w:val="40266EE6"/>
    <w:rsid w:val="402A20BC"/>
    <w:rsid w:val="402D166A"/>
    <w:rsid w:val="40337620"/>
    <w:rsid w:val="40366FB2"/>
    <w:rsid w:val="403A57EB"/>
    <w:rsid w:val="40417C97"/>
    <w:rsid w:val="40457E6C"/>
    <w:rsid w:val="40512B35"/>
    <w:rsid w:val="40532C8A"/>
    <w:rsid w:val="40580367"/>
    <w:rsid w:val="405B0955"/>
    <w:rsid w:val="405C7E57"/>
    <w:rsid w:val="4061546E"/>
    <w:rsid w:val="40624D42"/>
    <w:rsid w:val="40653402"/>
    <w:rsid w:val="40654256"/>
    <w:rsid w:val="406D3801"/>
    <w:rsid w:val="406E2D1C"/>
    <w:rsid w:val="40721429"/>
    <w:rsid w:val="4072647C"/>
    <w:rsid w:val="407451A1"/>
    <w:rsid w:val="407740C4"/>
    <w:rsid w:val="4077788C"/>
    <w:rsid w:val="407A1956"/>
    <w:rsid w:val="407C3AE5"/>
    <w:rsid w:val="407D1453"/>
    <w:rsid w:val="407E0125"/>
    <w:rsid w:val="407F1C79"/>
    <w:rsid w:val="40964ECD"/>
    <w:rsid w:val="409749EB"/>
    <w:rsid w:val="409A4924"/>
    <w:rsid w:val="409B660A"/>
    <w:rsid w:val="409F1AF2"/>
    <w:rsid w:val="40A96AA7"/>
    <w:rsid w:val="40AA5DB5"/>
    <w:rsid w:val="40AB35A7"/>
    <w:rsid w:val="40AF61D9"/>
    <w:rsid w:val="40B04F11"/>
    <w:rsid w:val="40BC2D96"/>
    <w:rsid w:val="40C27447"/>
    <w:rsid w:val="40C357E1"/>
    <w:rsid w:val="40CD48B1"/>
    <w:rsid w:val="40CD665F"/>
    <w:rsid w:val="40D17960"/>
    <w:rsid w:val="40D25362"/>
    <w:rsid w:val="40D641E4"/>
    <w:rsid w:val="40DA6FCE"/>
    <w:rsid w:val="40DB2F7B"/>
    <w:rsid w:val="40DD7A15"/>
    <w:rsid w:val="40E045E4"/>
    <w:rsid w:val="40EC5BC0"/>
    <w:rsid w:val="40F14F60"/>
    <w:rsid w:val="40F32FE2"/>
    <w:rsid w:val="40FD27A7"/>
    <w:rsid w:val="40FE2CBD"/>
    <w:rsid w:val="410628E5"/>
    <w:rsid w:val="41080CDA"/>
    <w:rsid w:val="410A340F"/>
    <w:rsid w:val="410A78B3"/>
    <w:rsid w:val="410F3EF6"/>
    <w:rsid w:val="411266A1"/>
    <w:rsid w:val="41166448"/>
    <w:rsid w:val="4117383C"/>
    <w:rsid w:val="41187806"/>
    <w:rsid w:val="411C1598"/>
    <w:rsid w:val="41332550"/>
    <w:rsid w:val="413362A7"/>
    <w:rsid w:val="413A18F1"/>
    <w:rsid w:val="413D6BEA"/>
    <w:rsid w:val="414032D5"/>
    <w:rsid w:val="41423470"/>
    <w:rsid w:val="414311A9"/>
    <w:rsid w:val="41431890"/>
    <w:rsid w:val="41497192"/>
    <w:rsid w:val="41522971"/>
    <w:rsid w:val="4157061F"/>
    <w:rsid w:val="415E7F1E"/>
    <w:rsid w:val="4163168B"/>
    <w:rsid w:val="4163554B"/>
    <w:rsid w:val="41645CF3"/>
    <w:rsid w:val="41684FED"/>
    <w:rsid w:val="416A0352"/>
    <w:rsid w:val="41705CAC"/>
    <w:rsid w:val="417428C6"/>
    <w:rsid w:val="417852FE"/>
    <w:rsid w:val="41792489"/>
    <w:rsid w:val="417C5F10"/>
    <w:rsid w:val="418718DD"/>
    <w:rsid w:val="418A4550"/>
    <w:rsid w:val="418E176C"/>
    <w:rsid w:val="41906206"/>
    <w:rsid w:val="419272EB"/>
    <w:rsid w:val="41975AE6"/>
    <w:rsid w:val="419A0534"/>
    <w:rsid w:val="419B25C4"/>
    <w:rsid w:val="419E170C"/>
    <w:rsid w:val="41A575DC"/>
    <w:rsid w:val="41A7672E"/>
    <w:rsid w:val="41AB23B6"/>
    <w:rsid w:val="41AB30BD"/>
    <w:rsid w:val="41AE46E3"/>
    <w:rsid w:val="41B1186A"/>
    <w:rsid w:val="41B1460C"/>
    <w:rsid w:val="41B229B0"/>
    <w:rsid w:val="41B97EBF"/>
    <w:rsid w:val="41C10CE5"/>
    <w:rsid w:val="41C16449"/>
    <w:rsid w:val="41C17B42"/>
    <w:rsid w:val="41C9447D"/>
    <w:rsid w:val="41CC25BC"/>
    <w:rsid w:val="41CE5E0A"/>
    <w:rsid w:val="41D63C39"/>
    <w:rsid w:val="41D66680"/>
    <w:rsid w:val="41DA5C61"/>
    <w:rsid w:val="41DB2FFE"/>
    <w:rsid w:val="41DF2AEE"/>
    <w:rsid w:val="41DF3315"/>
    <w:rsid w:val="41E71F48"/>
    <w:rsid w:val="41E928C7"/>
    <w:rsid w:val="41ED261A"/>
    <w:rsid w:val="41EE2D31"/>
    <w:rsid w:val="42022EC8"/>
    <w:rsid w:val="4205489F"/>
    <w:rsid w:val="420C1B06"/>
    <w:rsid w:val="420D63A5"/>
    <w:rsid w:val="420E6F70"/>
    <w:rsid w:val="42101E16"/>
    <w:rsid w:val="42127349"/>
    <w:rsid w:val="421337A1"/>
    <w:rsid w:val="42167D3F"/>
    <w:rsid w:val="421D7172"/>
    <w:rsid w:val="42216661"/>
    <w:rsid w:val="42286EE1"/>
    <w:rsid w:val="42295B17"/>
    <w:rsid w:val="422C1E62"/>
    <w:rsid w:val="42312C1E"/>
    <w:rsid w:val="42314F10"/>
    <w:rsid w:val="42321CC7"/>
    <w:rsid w:val="42363BC7"/>
    <w:rsid w:val="4238215D"/>
    <w:rsid w:val="42387696"/>
    <w:rsid w:val="42396559"/>
    <w:rsid w:val="42445990"/>
    <w:rsid w:val="424C57D2"/>
    <w:rsid w:val="42506F5E"/>
    <w:rsid w:val="42537038"/>
    <w:rsid w:val="425A1E19"/>
    <w:rsid w:val="425F263B"/>
    <w:rsid w:val="42683F51"/>
    <w:rsid w:val="426874E9"/>
    <w:rsid w:val="426C5343"/>
    <w:rsid w:val="426E0E54"/>
    <w:rsid w:val="426E3325"/>
    <w:rsid w:val="42723962"/>
    <w:rsid w:val="42746CC9"/>
    <w:rsid w:val="42782D0E"/>
    <w:rsid w:val="42793B69"/>
    <w:rsid w:val="427F7E2D"/>
    <w:rsid w:val="42812BEB"/>
    <w:rsid w:val="428611BC"/>
    <w:rsid w:val="428B2A05"/>
    <w:rsid w:val="42917131"/>
    <w:rsid w:val="42925DB2"/>
    <w:rsid w:val="42932F4B"/>
    <w:rsid w:val="429372FA"/>
    <w:rsid w:val="429831F5"/>
    <w:rsid w:val="429D6A07"/>
    <w:rsid w:val="429E4757"/>
    <w:rsid w:val="42A0605B"/>
    <w:rsid w:val="42A3261E"/>
    <w:rsid w:val="42AE0712"/>
    <w:rsid w:val="42AF287A"/>
    <w:rsid w:val="42B62EC6"/>
    <w:rsid w:val="42BA667D"/>
    <w:rsid w:val="42BE31F4"/>
    <w:rsid w:val="42C35F6C"/>
    <w:rsid w:val="42C50595"/>
    <w:rsid w:val="42C66FA3"/>
    <w:rsid w:val="42C94130"/>
    <w:rsid w:val="42C95B95"/>
    <w:rsid w:val="42D43679"/>
    <w:rsid w:val="42D812EB"/>
    <w:rsid w:val="42E13330"/>
    <w:rsid w:val="42E23496"/>
    <w:rsid w:val="42E87A95"/>
    <w:rsid w:val="42EA568A"/>
    <w:rsid w:val="42EF7DAF"/>
    <w:rsid w:val="42F905B7"/>
    <w:rsid w:val="42F97BDF"/>
    <w:rsid w:val="42FA3568"/>
    <w:rsid w:val="42FB3958"/>
    <w:rsid w:val="42FC322C"/>
    <w:rsid w:val="43011432"/>
    <w:rsid w:val="430557C4"/>
    <w:rsid w:val="430934B1"/>
    <w:rsid w:val="430E5437"/>
    <w:rsid w:val="43122A4F"/>
    <w:rsid w:val="431467C7"/>
    <w:rsid w:val="431567DE"/>
    <w:rsid w:val="431B24E0"/>
    <w:rsid w:val="431F46B8"/>
    <w:rsid w:val="432018AD"/>
    <w:rsid w:val="43205D1A"/>
    <w:rsid w:val="432129E2"/>
    <w:rsid w:val="43227225"/>
    <w:rsid w:val="432620F2"/>
    <w:rsid w:val="432B2309"/>
    <w:rsid w:val="433038FF"/>
    <w:rsid w:val="43326C4D"/>
    <w:rsid w:val="43346E69"/>
    <w:rsid w:val="43370EAC"/>
    <w:rsid w:val="43374AE2"/>
    <w:rsid w:val="43440924"/>
    <w:rsid w:val="43441DEB"/>
    <w:rsid w:val="43447D0C"/>
    <w:rsid w:val="4345287C"/>
    <w:rsid w:val="4345375F"/>
    <w:rsid w:val="43453872"/>
    <w:rsid w:val="434719A3"/>
    <w:rsid w:val="434B6E74"/>
    <w:rsid w:val="434C41B3"/>
    <w:rsid w:val="434D1638"/>
    <w:rsid w:val="4357300A"/>
    <w:rsid w:val="4358150D"/>
    <w:rsid w:val="435D361A"/>
    <w:rsid w:val="43601C4F"/>
    <w:rsid w:val="43611305"/>
    <w:rsid w:val="43654953"/>
    <w:rsid w:val="43675239"/>
    <w:rsid w:val="436B28B9"/>
    <w:rsid w:val="436E7405"/>
    <w:rsid w:val="437300B3"/>
    <w:rsid w:val="4373507D"/>
    <w:rsid w:val="43740DC6"/>
    <w:rsid w:val="438028DB"/>
    <w:rsid w:val="43807538"/>
    <w:rsid w:val="43933756"/>
    <w:rsid w:val="439B5E66"/>
    <w:rsid w:val="439C453E"/>
    <w:rsid w:val="439F6C52"/>
    <w:rsid w:val="43A40C40"/>
    <w:rsid w:val="43AD1F2B"/>
    <w:rsid w:val="43AD6B2B"/>
    <w:rsid w:val="43B0246E"/>
    <w:rsid w:val="43B458B4"/>
    <w:rsid w:val="43B615DF"/>
    <w:rsid w:val="43BD0C79"/>
    <w:rsid w:val="43BD6E5F"/>
    <w:rsid w:val="43BE37EE"/>
    <w:rsid w:val="43BE4455"/>
    <w:rsid w:val="43BE6232"/>
    <w:rsid w:val="43C401ED"/>
    <w:rsid w:val="43C57E2B"/>
    <w:rsid w:val="43C97B48"/>
    <w:rsid w:val="43D349E2"/>
    <w:rsid w:val="43D713D0"/>
    <w:rsid w:val="43D951C6"/>
    <w:rsid w:val="43D95633"/>
    <w:rsid w:val="43D962B5"/>
    <w:rsid w:val="43DA1716"/>
    <w:rsid w:val="43DF5027"/>
    <w:rsid w:val="43EF0FE2"/>
    <w:rsid w:val="43F5242E"/>
    <w:rsid w:val="43F83014"/>
    <w:rsid w:val="43F959BD"/>
    <w:rsid w:val="43F971B6"/>
    <w:rsid w:val="43FD514C"/>
    <w:rsid w:val="43FE2FD4"/>
    <w:rsid w:val="44011F00"/>
    <w:rsid w:val="440C3942"/>
    <w:rsid w:val="4418441E"/>
    <w:rsid w:val="441C152A"/>
    <w:rsid w:val="441C3D45"/>
    <w:rsid w:val="44222F08"/>
    <w:rsid w:val="442347E8"/>
    <w:rsid w:val="442E7956"/>
    <w:rsid w:val="44385C50"/>
    <w:rsid w:val="443E10F8"/>
    <w:rsid w:val="444059B8"/>
    <w:rsid w:val="44405AD1"/>
    <w:rsid w:val="44415838"/>
    <w:rsid w:val="444454E3"/>
    <w:rsid w:val="4449591C"/>
    <w:rsid w:val="444E7AB7"/>
    <w:rsid w:val="444F6C5E"/>
    <w:rsid w:val="44531571"/>
    <w:rsid w:val="44600092"/>
    <w:rsid w:val="44661ADD"/>
    <w:rsid w:val="446A038F"/>
    <w:rsid w:val="446F1124"/>
    <w:rsid w:val="447339C1"/>
    <w:rsid w:val="447A3165"/>
    <w:rsid w:val="447C700B"/>
    <w:rsid w:val="447F27A2"/>
    <w:rsid w:val="44872FC9"/>
    <w:rsid w:val="449141DD"/>
    <w:rsid w:val="44974D76"/>
    <w:rsid w:val="44980201"/>
    <w:rsid w:val="44982F38"/>
    <w:rsid w:val="44A122DD"/>
    <w:rsid w:val="44A7469E"/>
    <w:rsid w:val="44A76CF6"/>
    <w:rsid w:val="44AB30CC"/>
    <w:rsid w:val="44AD1FCC"/>
    <w:rsid w:val="44B30262"/>
    <w:rsid w:val="44B50652"/>
    <w:rsid w:val="44B63A6E"/>
    <w:rsid w:val="44B738AE"/>
    <w:rsid w:val="44BB49EB"/>
    <w:rsid w:val="44BD0353"/>
    <w:rsid w:val="44BD380C"/>
    <w:rsid w:val="44C2450D"/>
    <w:rsid w:val="44C5081E"/>
    <w:rsid w:val="44CD31E2"/>
    <w:rsid w:val="44D576CF"/>
    <w:rsid w:val="44D64B1E"/>
    <w:rsid w:val="44DA58D3"/>
    <w:rsid w:val="44DB3624"/>
    <w:rsid w:val="44DD62F3"/>
    <w:rsid w:val="44DF60D4"/>
    <w:rsid w:val="44E04549"/>
    <w:rsid w:val="44E05C53"/>
    <w:rsid w:val="44E119CD"/>
    <w:rsid w:val="44E873FC"/>
    <w:rsid w:val="44E87F74"/>
    <w:rsid w:val="44EE0F9A"/>
    <w:rsid w:val="44F15080"/>
    <w:rsid w:val="44F20D8A"/>
    <w:rsid w:val="44F3240C"/>
    <w:rsid w:val="44F32FB8"/>
    <w:rsid w:val="44F67BAD"/>
    <w:rsid w:val="44FC7513"/>
    <w:rsid w:val="45020204"/>
    <w:rsid w:val="4504455C"/>
    <w:rsid w:val="45050401"/>
    <w:rsid w:val="450B623D"/>
    <w:rsid w:val="450C1A3E"/>
    <w:rsid w:val="4515296F"/>
    <w:rsid w:val="45156827"/>
    <w:rsid w:val="451E56DB"/>
    <w:rsid w:val="4525645E"/>
    <w:rsid w:val="452847AC"/>
    <w:rsid w:val="45291083"/>
    <w:rsid w:val="453453B2"/>
    <w:rsid w:val="45350C77"/>
    <w:rsid w:val="453A3D5A"/>
    <w:rsid w:val="453B3AD4"/>
    <w:rsid w:val="454315E6"/>
    <w:rsid w:val="45442C68"/>
    <w:rsid w:val="45463765"/>
    <w:rsid w:val="454964D0"/>
    <w:rsid w:val="454B22CD"/>
    <w:rsid w:val="455628C6"/>
    <w:rsid w:val="45590D23"/>
    <w:rsid w:val="455E543A"/>
    <w:rsid w:val="456526DC"/>
    <w:rsid w:val="456A1321"/>
    <w:rsid w:val="456B6252"/>
    <w:rsid w:val="456E2E11"/>
    <w:rsid w:val="457173CC"/>
    <w:rsid w:val="4577303D"/>
    <w:rsid w:val="45774DEB"/>
    <w:rsid w:val="457A6CE2"/>
    <w:rsid w:val="457D260A"/>
    <w:rsid w:val="458147CB"/>
    <w:rsid w:val="45827D03"/>
    <w:rsid w:val="458A3812"/>
    <w:rsid w:val="458F4FCD"/>
    <w:rsid w:val="45911842"/>
    <w:rsid w:val="45912560"/>
    <w:rsid w:val="459469C8"/>
    <w:rsid w:val="45A14200"/>
    <w:rsid w:val="45AA6F6F"/>
    <w:rsid w:val="45BA3A4B"/>
    <w:rsid w:val="45BC7A04"/>
    <w:rsid w:val="45C12494"/>
    <w:rsid w:val="45C168FC"/>
    <w:rsid w:val="45C16CCF"/>
    <w:rsid w:val="45C21B7D"/>
    <w:rsid w:val="45D10EC5"/>
    <w:rsid w:val="45D65FB6"/>
    <w:rsid w:val="45D73ADC"/>
    <w:rsid w:val="45D83116"/>
    <w:rsid w:val="45E16DA8"/>
    <w:rsid w:val="45E31CCC"/>
    <w:rsid w:val="45E42AD7"/>
    <w:rsid w:val="45E87552"/>
    <w:rsid w:val="45E967FA"/>
    <w:rsid w:val="45E96D9E"/>
    <w:rsid w:val="45EC457D"/>
    <w:rsid w:val="45F349F5"/>
    <w:rsid w:val="45F439F4"/>
    <w:rsid w:val="45F9445B"/>
    <w:rsid w:val="45FE5C33"/>
    <w:rsid w:val="45FE6567"/>
    <w:rsid w:val="46016203"/>
    <w:rsid w:val="46130315"/>
    <w:rsid w:val="46177320"/>
    <w:rsid w:val="461A12B0"/>
    <w:rsid w:val="461F3BC1"/>
    <w:rsid w:val="46210CC6"/>
    <w:rsid w:val="46226875"/>
    <w:rsid w:val="46317741"/>
    <w:rsid w:val="463458E1"/>
    <w:rsid w:val="46401681"/>
    <w:rsid w:val="46471244"/>
    <w:rsid w:val="46476EB4"/>
    <w:rsid w:val="46494EB5"/>
    <w:rsid w:val="464B7691"/>
    <w:rsid w:val="464C452A"/>
    <w:rsid w:val="464E05EB"/>
    <w:rsid w:val="464E7AA9"/>
    <w:rsid w:val="46506864"/>
    <w:rsid w:val="46510993"/>
    <w:rsid w:val="46556A04"/>
    <w:rsid w:val="4660270E"/>
    <w:rsid w:val="46680D96"/>
    <w:rsid w:val="466A0F7A"/>
    <w:rsid w:val="466B2BA2"/>
    <w:rsid w:val="466C45FD"/>
    <w:rsid w:val="46704B08"/>
    <w:rsid w:val="4673057A"/>
    <w:rsid w:val="46746524"/>
    <w:rsid w:val="46755639"/>
    <w:rsid w:val="46787996"/>
    <w:rsid w:val="467A3682"/>
    <w:rsid w:val="4684633F"/>
    <w:rsid w:val="46875502"/>
    <w:rsid w:val="468938CC"/>
    <w:rsid w:val="468A7785"/>
    <w:rsid w:val="46902609"/>
    <w:rsid w:val="4697550E"/>
    <w:rsid w:val="469B4DC3"/>
    <w:rsid w:val="469B5D6D"/>
    <w:rsid w:val="46A35984"/>
    <w:rsid w:val="46A76774"/>
    <w:rsid w:val="46A80D82"/>
    <w:rsid w:val="46AC3599"/>
    <w:rsid w:val="46AC4B9C"/>
    <w:rsid w:val="46AD46D2"/>
    <w:rsid w:val="46AD49D6"/>
    <w:rsid w:val="46B15869"/>
    <w:rsid w:val="46B20228"/>
    <w:rsid w:val="46B26810"/>
    <w:rsid w:val="46BB7BAE"/>
    <w:rsid w:val="46BD4AFD"/>
    <w:rsid w:val="46BF304B"/>
    <w:rsid w:val="46BF5A68"/>
    <w:rsid w:val="46C27E2B"/>
    <w:rsid w:val="46C42537"/>
    <w:rsid w:val="46CB3B16"/>
    <w:rsid w:val="46CB5780"/>
    <w:rsid w:val="46CC072E"/>
    <w:rsid w:val="46D22F1F"/>
    <w:rsid w:val="46DC08D4"/>
    <w:rsid w:val="46DF4B35"/>
    <w:rsid w:val="46E45929"/>
    <w:rsid w:val="46E94533"/>
    <w:rsid w:val="46E950E6"/>
    <w:rsid w:val="46E97115"/>
    <w:rsid w:val="46EA62AD"/>
    <w:rsid w:val="46EB5A91"/>
    <w:rsid w:val="46ED1809"/>
    <w:rsid w:val="46EE3AB7"/>
    <w:rsid w:val="46EF5CFC"/>
    <w:rsid w:val="46F012F9"/>
    <w:rsid w:val="46F575B9"/>
    <w:rsid w:val="46F831D6"/>
    <w:rsid w:val="46F913A1"/>
    <w:rsid w:val="46FE3A16"/>
    <w:rsid w:val="46FF6008"/>
    <w:rsid w:val="470457E6"/>
    <w:rsid w:val="47074B0A"/>
    <w:rsid w:val="470B1C8F"/>
    <w:rsid w:val="470D1D81"/>
    <w:rsid w:val="470D6E20"/>
    <w:rsid w:val="471320F9"/>
    <w:rsid w:val="47166A87"/>
    <w:rsid w:val="47172362"/>
    <w:rsid w:val="4717367A"/>
    <w:rsid w:val="47185071"/>
    <w:rsid w:val="47191AEF"/>
    <w:rsid w:val="47217705"/>
    <w:rsid w:val="4723715F"/>
    <w:rsid w:val="472530E4"/>
    <w:rsid w:val="472E5EFB"/>
    <w:rsid w:val="47307DD7"/>
    <w:rsid w:val="47321110"/>
    <w:rsid w:val="473817A2"/>
    <w:rsid w:val="473C1065"/>
    <w:rsid w:val="473C1E11"/>
    <w:rsid w:val="473C3BC1"/>
    <w:rsid w:val="473F409F"/>
    <w:rsid w:val="47411EB9"/>
    <w:rsid w:val="4741268A"/>
    <w:rsid w:val="47484C91"/>
    <w:rsid w:val="4749263F"/>
    <w:rsid w:val="47496A9E"/>
    <w:rsid w:val="474C23A8"/>
    <w:rsid w:val="474F412F"/>
    <w:rsid w:val="475029D2"/>
    <w:rsid w:val="47525B10"/>
    <w:rsid w:val="475603F6"/>
    <w:rsid w:val="475B5EFF"/>
    <w:rsid w:val="47624D01"/>
    <w:rsid w:val="47643220"/>
    <w:rsid w:val="47646FB7"/>
    <w:rsid w:val="4766336A"/>
    <w:rsid w:val="476866CC"/>
    <w:rsid w:val="476D58D9"/>
    <w:rsid w:val="47722A18"/>
    <w:rsid w:val="47723ABC"/>
    <w:rsid w:val="4773248D"/>
    <w:rsid w:val="47736929"/>
    <w:rsid w:val="47741D0C"/>
    <w:rsid w:val="47763265"/>
    <w:rsid w:val="477C2B8D"/>
    <w:rsid w:val="477E4B57"/>
    <w:rsid w:val="47876B9F"/>
    <w:rsid w:val="47892466"/>
    <w:rsid w:val="479236A7"/>
    <w:rsid w:val="4792415F"/>
    <w:rsid w:val="47925F0D"/>
    <w:rsid w:val="47946129"/>
    <w:rsid w:val="47953EA1"/>
    <w:rsid w:val="47970F9B"/>
    <w:rsid w:val="479E6FA7"/>
    <w:rsid w:val="47A21288"/>
    <w:rsid w:val="47A213C0"/>
    <w:rsid w:val="47AD7200"/>
    <w:rsid w:val="47B75F45"/>
    <w:rsid w:val="47B76453"/>
    <w:rsid w:val="47B916EB"/>
    <w:rsid w:val="47BE040B"/>
    <w:rsid w:val="47BE7324"/>
    <w:rsid w:val="47C2640D"/>
    <w:rsid w:val="47C4437E"/>
    <w:rsid w:val="47C6205A"/>
    <w:rsid w:val="47CA3EBD"/>
    <w:rsid w:val="47D227AD"/>
    <w:rsid w:val="47D90007"/>
    <w:rsid w:val="47DC187E"/>
    <w:rsid w:val="47DC4284"/>
    <w:rsid w:val="47DF7B1C"/>
    <w:rsid w:val="47E016E9"/>
    <w:rsid w:val="47E744AA"/>
    <w:rsid w:val="47E8372E"/>
    <w:rsid w:val="47EA57CB"/>
    <w:rsid w:val="47EE2BEA"/>
    <w:rsid w:val="47F00E85"/>
    <w:rsid w:val="47F14B91"/>
    <w:rsid w:val="47F21EF0"/>
    <w:rsid w:val="47F5197C"/>
    <w:rsid w:val="47F95DB7"/>
    <w:rsid w:val="48005B89"/>
    <w:rsid w:val="480C54F8"/>
    <w:rsid w:val="480F2E5A"/>
    <w:rsid w:val="48114D52"/>
    <w:rsid w:val="481608EC"/>
    <w:rsid w:val="48194880"/>
    <w:rsid w:val="4819703C"/>
    <w:rsid w:val="481B63AE"/>
    <w:rsid w:val="481D120F"/>
    <w:rsid w:val="482105C0"/>
    <w:rsid w:val="48211E7E"/>
    <w:rsid w:val="482F2FD6"/>
    <w:rsid w:val="48312B7C"/>
    <w:rsid w:val="4832333B"/>
    <w:rsid w:val="48342F88"/>
    <w:rsid w:val="483510C7"/>
    <w:rsid w:val="48372F25"/>
    <w:rsid w:val="483B1A37"/>
    <w:rsid w:val="483E3E03"/>
    <w:rsid w:val="483E5A6A"/>
    <w:rsid w:val="4845019B"/>
    <w:rsid w:val="4849312C"/>
    <w:rsid w:val="484C2E46"/>
    <w:rsid w:val="4858290B"/>
    <w:rsid w:val="48591FC4"/>
    <w:rsid w:val="485B4A3F"/>
    <w:rsid w:val="485C39F4"/>
    <w:rsid w:val="485D4F9C"/>
    <w:rsid w:val="4862142D"/>
    <w:rsid w:val="48626E30"/>
    <w:rsid w:val="48636ED0"/>
    <w:rsid w:val="48677399"/>
    <w:rsid w:val="48680479"/>
    <w:rsid w:val="486F668F"/>
    <w:rsid w:val="48735D3E"/>
    <w:rsid w:val="487835F2"/>
    <w:rsid w:val="487D096B"/>
    <w:rsid w:val="4884688A"/>
    <w:rsid w:val="489268EE"/>
    <w:rsid w:val="48931F3C"/>
    <w:rsid w:val="48952A5D"/>
    <w:rsid w:val="48964443"/>
    <w:rsid w:val="489701E4"/>
    <w:rsid w:val="489C5552"/>
    <w:rsid w:val="48A309E1"/>
    <w:rsid w:val="48A759E8"/>
    <w:rsid w:val="48AA0CFE"/>
    <w:rsid w:val="48AB0568"/>
    <w:rsid w:val="48AB58D0"/>
    <w:rsid w:val="48B23A8E"/>
    <w:rsid w:val="48B3438D"/>
    <w:rsid w:val="48B84099"/>
    <w:rsid w:val="48BC5FDF"/>
    <w:rsid w:val="48BE0D41"/>
    <w:rsid w:val="48C170BE"/>
    <w:rsid w:val="48C22822"/>
    <w:rsid w:val="48C26CC5"/>
    <w:rsid w:val="48C34E0C"/>
    <w:rsid w:val="48C7293C"/>
    <w:rsid w:val="48CA042B"/>
    <w:rsid w:val="48CC11B1"/>
    <w:rsid w:val="48CD0CC0"/>
    <w:rsid w:val="48D04359"/>
    <w:rsid w:val="48D34BAB"/>
    <w:rsid w:val="48D367DD"/>
    <w:rsid w:val="48D662CD"/>
    <w:rsid w:val="48D949EA"/>
    <w:rsid w:val="48DA0793"/>
    <w:rsid w:val="48E44A4C"/>
    <w:rsid w:val="48E56510"/>
    <w:rsid w:val="48E94252"/>
    <w:rsid w:val="48EE2112"/>
    <w:rsid w:val="48F02EFF"/>
    <w:rsid w:val="48F6071D"/>
    <w:rsid w:val="48F73D54"/>
    <w:rsid w:val="48F96CCE"/>
    <w:rsid w:val="48FC187E"/>
    <w:rsid w:val="49021898"/>
    <w:rsid w:val="490265B3"/>
    <w:rsid w:val="49050A4B"/>
    <w:rsid w:val="4905290C"/>
    <w:rsid w:val="4906054D"/>
    <w:rsid w:val="49063785"/>
    <w:rsid w:val="49073A9A"/>
    <w:rsid w:val="49094559"/>
    <w:rsid w:val="491312CF"/>
    <w:rsid w:val="491C548A"/>
    <w:rsid w:val="491D1B81"/>
    <w:rsid w:val="492A49F9"/>
    <w:rsid w:val="492F531F"/>
    <w:rsid w:val="492F6636"/>
    <w:rsid w:val="492F7E36"/>
    <w:rsid w:val="493F2ADC"/>
    <w:rsid w:val="49405D5E"/>
    <w:rsid w:val="494A3653"/>
    <w:rsid w:val="494A4B2B"/>
    <w:rsid w:val="494B0205"/>
    <w:rsid w:val="49555364"/>
    <w:rsid w:val="49561E92"/>
    <w:rsid w:val="496123F8"/>
    <w:rsid w:val="496724C8"/>
    <w:rsid w:val="496A1DB8"/>
    <w:rsid w:val="496A3584"/>
    <w:rsid w:val="496B1EB3"/>
    <w:rsid w:val="4971045B"/>
    <w:rsid w:val="4979031F"/>
    <w:rsid w:val="497976FA"/>
    <w:rsid w:val="497C0446"/>
    <w:rsid w:val="497C5DB9"/>
    <w:rsid w:val="498174A7"/>
    <w:rsid w:val="49833A3E"/>
    <w:rsid w:val="49896678"/>
    <w:rsid w:val="498B1F45"/>
    <w:rsid w:val="4991146B"/>
    <w:rsid w:val="499C59AF"/>
    <w:rsid w:val="499E6A9E"/>
    <w:rsid w:val="499F6E49"/>
    <w:rsid w:val="49A07E8E"/>
    <w:rsid w:val="49A34A17"/>
    <w:rsid w:val="49A91C92"/>
    <w:rsid w:val="49AE68B8"/>
    <w:rsid w:val="49B035DC"/>
    <w:rsid w:val="49B76EFA"/>
    <w:rsid w:val="49C60139"/>
    <w:rsid w:val="49C63B01"/>
    <w:rsid w:val="49C97BB8"/>
    <w:rsid w:val="49CC051E"/>
    <w:rsid w:val="49D56585"/>
    <w:rsid w:val="49D82FE4"/>
    <w:rsid w:val="49D85DE8"/>
    <w:rsid w:val="49D97E23"/>
    <w:rsid w:val="49DC3DB7"/>
    <w:rsid w:val="49E031BF"/>
    <w:rsid w:val="49E11689"/>
    <w:rsid w:val="49E16CA2"/>
    <w:rsid w:val="49E6704C"/>
    <w:rsid w:val="49EE6A1F"/>
    <w:rsid w:val="49EF23AD"/>
    <w:rsid w:val="49F14CC3"/>
    <w:rsid w:val="49F35390"/>
    <w:rsid w:val="49F42B19"/>
    <w:rsid w:val="49F5309D"/>
    <w:rsid w:val="49F54083"/>
    <w:rsid w:val="49FC1D63"/>
    <w:rsid w:val="49FD6413"/>
    <w:rsid w:val="4A104C1F"/>
    <w:rsid w:val="4A161077"/>
    <w:rsid w:val="4A1665D2"/>
    <w:rsid w:val="4A182A73"/>
    <w:rsid w:val="4A194C10"/>
    <w:rsid w:val="4A1B48DF"/>
    <w:rsid w:val="4A1F3395"/>
    <w:rsid w:val="4A217B4F"/>
    <w:rsid w:val="4A2308DE"/>
    <w:rsid w:val="4A2776EB"/>
    <w:rsid w:val="4A280C46"/>
    <w:rsid w:val="4A2D4EAF"/>
    <w:rsid w:val="4A3D4FF8"/>
    <w:rsid w:val="4A3D6D5C"/>
    <w:rsid w:val="4A3E1126"/>
    <w:rsid w:val="4A3F629B"/>
    <w:rsid w:val="4A410956"/>
    <w:rsid w:val="4A416D23"/>
    <w:rsid w:val="4A4200BE"/>
    <w:rsid w:val="4A4316BE"/>
    <w:rsid w:val="4A434208"/>
    <w:rsid w:val="4A4E5706"/>
    <w:rsid w:val="4A546A31"/>
    <w:rsid w:val="4A595A4F"/>
    <w:rsid w:val="4A5E6408"/>
    <w:rsid w:val="4A673681"/>
    <w:rsid w:val="4A691BA3"/>
    <w:rsid w:val="4A7403F7"/>
    <w:rsid w:val="4A746F7F"/>
    <w:rsid w:val="4A75264F"/>
    <w:rsid w:val="4A764225"/>
    <w:rsid w:val="4A8622B6"/>
    <w:rsid w:val="4A882A25"/>
    <w:rsid w:val="4A8B4465"/>
    <w:rsid w:val="4A8B6CBC"/>
    <w:rsid w:val="4AA13962"/>
    <w:rsid w:val="4AAC618D"/>
    <w:rsid w:val="4AAF15C4"/>
    <w:rsid w:val="4AB8212E"/>
    <w:rsid w:val="4ABA55C9"/>
    <w:rsid w:val="4ABB1998"/>
    <w:rsid w:val="4ABF25A4"/>
    <w:rsid w:val="4ABF34BD"/>
    <w:rsid w:val="4AC162B6"/>
    <w:rsid w:val="4AC23D56"/>
    <w:rsid w:val="4AC3356E"/>
    <w:rsid w:val="4AC524FD"/>
    <w:rsid w:val="4AD11ADF"/>
    <w:rsid w:val="4AD17AB5"/>
    <w:rsid w:val="4AD17B27"/>
    <w:rsid w:val="4AD21A83"/>
    <w:rsid w:val="4AD5740B"/>
    <w:rsid w:val="4AD76629"/>
    <w:rsid w:val="4AD92BE1"/>
    <w:rsid w:val="4ADB40EF"/>
    <w:rsid w:val="4ADD4949"/>
    <w:rsid w:val="4AE703CB"/>
    <w:rsid w:val="4AE7656F"/>
    <w:rsid w:val="4AE86A3E"/>
    <w:rsid w:val="4AF1673C"/>
    <w:rsid w:val="4AF43B8F"/>
    <w:rsid w:val="4AF63D85"/>
    <w:rsid w:val="4AF7270C"/>
    <w:rsid w:val="4AFF0FC4"/>
    <w:rsid w:val="4B007631"/>
    <w:rsid w:val="4B0405D2"/>
    <w:rsid w:val="4B0B275D"/>
    <w:rsid w:val="4B0C10BD"/>
    <w:rsid w:val="4B0C2380"/>
    <w:rsid w:val="4B0F610D"/>
    <w:rsid w:val="4B137F70"/>
    <w:rsid w:val="4B157243"/>
    <w:rsid w:val="4B1B6412"/>
    <w:rsid w:val="4B1C777E"/>
    <w:rsid w:val="4B272E10"/>
    <w:rsid w:val="4B2E23F0"/>
    <w:rsid w:val="4B2E6916"/>
    <w:rsid w:val="4B33627A"/>
    <w:rsid w:val="4B35552D"/>
    <w:rsid w:val="4B356505"/>
    <w:rsid w:val="4B36766D"/>
    <w:rsid w:val="4B370157"/>
    <w:rsid w:val="4B3A331C"/>
    <w:rsid w:val="4B3C1D9B"/>
    <w:rsid w:val="4B3D32A5"/>
    <w:rsid w:val="4B460124"/>
    <w:rsid w:val="4B481704"/>
    <w:rsid w:val="4B493ADB"/>
    <w:rsid w:val="4B4B5D19"/>
    <w:rsid w:val="4B4B7070"/>
    <w:rsid w:val="4B4D4169"/>
    <w:rsid w:val="4B503E7D"/>
    <w:rsid w:val="4B5526A6"/>
    <w:rsid w:val="4B63004E"/>
    <w:rsid w:val="4B682676"/>
    <w:rsid w:val="4B6A5B42"/>
    <w:rsid w:val="4B6A739A"/>
    <w:rsid w:val="4B6B2FC4"/>
    <w:rsid w:val="4B6C0C65"/>
    <w:rsid w:val="4B791D52"/>
    <w:rsid w:val="4B7C7600"/>
    <w:rsid w:val="4B7D6867"/>
    <w:rsid w:val="4B7F7ECA"/>
    <w:rsid w:val="4B816AF3"/>
    <w:rsid w:val="4B84080B"/>
    <w:rsid w:val="4B865D88"/>
    <w:rsid w:val="4B872B2C"/>
    <w:rsid w:val="4B884B1B"/>
    <w:rsid w:val="4B8B7843"/>
    <w:rsid w:val="4B8C7D59"/>
    <w:rsid w:val="4B8D7E12"/>
    <w:rsid w:val="4B907252"/>
    <w:rsid w:val="4B942086"/>
    <w:rsid w:val="4B944DA5"/>
    <w:rsid w:val="4B9610E4"/>
    <w:rsid w:val="4BA12F2D"/>
    <w:rsid w:val="4BAB3CE8"/>
    <w:rsid w:val="4BAE567A"/>
    <w:rsid w:val="4BB0030E"/>
    <w:rsid w:val="4BB23021"/>
    <w:rsid w:val="4BB52B12"/>
    <w:rsid w:val="4BB56B3F"/>
    <w:rsid w:val="4BB651E9"/>
    <w:rsid w:val="4BBA5C6F"/>
    <w:rsid w:val="4BC3761F"/>
    <w:rsid w:val="4BCA0934"/>
    <w:rsid w:val="4BD05255"/>
    <w:rsid w:val="4BD65DD5"/>
    <w:rsid w:val="4BE7790A"/>
    <w:rsid w:val="4BEA27BB"/>
    <w:rsid w:val="4BEE2702"/>
    <w:rsid w:val="4BF1539E"/>
    <w:rsid w:val="4BF4138C"/>
    <w:rsid w:val="4BF46757"/>
    <w:rsid w:val="4BF57863"/>
    <w:rsid w:val="4BF912A5"/>
    <w:rsid w:val="4C041B60"/>
    <w:rsid w:val="4C0D69A5"/>
    <w:rsid w:val="4C114E73"/>
    <w:rsid w:val="4C194E4E"/>
    <w:rsid w:val="4C1B0BC7"/>
    <w:rsid w:val="4C2630C7"/>
    <w:rsid w:val="4C276414"/>
    <w:rsid w:val="4C2D4456"/>
    <w:rsid w:val="4C30348B"/>
    <w:rsid w:val="4C3434D6"/>
    <w:rsid w:val="4C365A00"/>
    <w:rsid w:val="4C434245"/>
    <w:rsid w:val="4C457E06"/>
    <w:rsid w:val="4C486022"/>
    <w:rsid w:val="4C4C6FD2"/>
    <w:rsid w:val="4C526272"/>
    <w:rsid w:val="4C554718"/>
    <w:rsid w:val="4C5653EF"/>
    <w:rsid w:val="4C574A64"/>
    <w:rsid w:val="4C6111C2"/>
    <w:rsid w:val="4C6E0B31"/>
    <w:rsid w:val="4C6E490F"/>
    <w:rsid w:val="4C757CAE"/>
    <w:rsid w:val="4C771B75"/>
    <w:rsid w:val="4C793B3F"/>
    <w:rsid w:val="4C7A3E0A"/>
    <w:rsid w:val="4C7B54FA"/>
    <w:rsid w:val="4C8059DE"/>
    <w:rsid w:val="4C805A12"/>
    <w:rsid w:val="4C8B3BFF"/>
    <w:rsid w:val="4C8F0964"/>
    <w:rsid w:val="4C8F7204"/>
    <w:rsid w:val="4C975D73"/>
    <w:rsid w:val="4C992C68"/>
    <w:rsid w:val="4C9A24A5"/>
    <w:rsid w:val="4CA42F63"/>
    <w:rsid w:val="4CA825F2"/>
    <w:rsid w:val="4CB4751A"/>
    <w:rsid w:val="4CB93F3C"/>
    <w:rsid w:val="4CBA7E8A"/>
    <w:rsid w:val="4CCA6149"/>
    <w:rsid w:val="4CCB2F3F"/>
    <w:rsid w:val="4CCC3C6F"/>
    <w:rsid w:val="4CD715B6"/>
    <w:rsid w:val="4CDE6719"/>
    <w:rsid w:val="4CE34671"/>
    <w:rsid w:val="4CE67FDA"/>
    <w:rsid w:val="4CEE1E37"/>
    <w:rsid w:val="4CF17BE5"/>
    <w:rsid w:val="4CF71359"/>
    <w:rsid w:val="4CF950CA"/>
    <w:rsid w:val="4CFE58B7"/>
    <w:rsid w:val="4CFF0951"/>
    <w:rsid w:val="4D037E68"/>
    <w:rsid w:val="4D037E8A"/>
    <w:rsid w:val="4D0C44EB"/>
    <w:rsid w:val="4D0D2B05"/>
    <w:rsid w:val="4D0D5045"/>
    <w:rsid w:val="4D0F375C"/>
    <w:rsid w:val="4D1A248B"/>
    <w:rsid w:val="4D1F4530"/>
    <w:rsid w:val="4D216009"/>
    <w:rsid w:val="4D241DA1"/>
    <w:rsid w:val="4D251398"/>
    <w:rsid w:val="4D2C0BB1"/>
    <w:rsid w:val="4D390C14"/>
    <w:rsid w:val="4D3E62F9"/>
    <w:rsid w:val="4D44030C"/>
    <w:rsid w:val="4D446E65"/>
    <w:rsid w:val="4D451F4B"/>
    <w:rsid w:val="4D497020"/>
    <w:rsid w:val="4D5048A0"/>
    <w:rsid w:val="4D525702"/>
    <w:rsid w:val="4D557329"/>
    <w:rsid w:val="4D5D520F"/>
    <w:rsid w:val="4D5D58E4"/>
    <w:rsid w:val="4D5E544F"/>
    <w:rsid w:val="4D694853"/>
    <w:rsid w:val="4D696E81"/>
    <w:rsid w:val="4D6C0FAE"/>
    <w:rsid w:val="4D6E3730"/>
    <w:rsid w:val="4D701E95"/>
    <w:rsid w:val="4D7D0B22"/>
    <w:rsid w:val="4D814FF5"/>
    <w:rsid w:val="4D84279B"/>
    <w:rsid w:val="4D8A49E8"/>
    <w:rsid w:val="4D906E3A"/>
    <w:rsid w:val="4D964BDE"/>
    <w:rsid w:val="4DA22F6F"/>
    <w:rsid w:val="4DA366F2"/>
    <w:rsid w:val="4DAF3BE5"/>
    <w:rsid w:val="4DAF65D9"/>
    <w:rsid w:val="4DB30D09"/>
    <w:rsid w:val="4DBA440F"/>
    <w:rsid w:val="4DBD2AAA"/>
    <w:rsid w:val="4DC02F1C"/>
    <w:rsid w:val="4DC43E1F"/>
    <w:rsid w:val="4DC55756"/>
    <w:rsid w:val="4DC70A17"/>
    <w:rsid w:val="4DCA651D"/>
    <w:rsid w:val="4DD15495"/>
    <w:rsid w:val="4DD17443"/>
    <w:rsid w:val="4DD455C4"/>
    <w:rsid w:val="4DD70B1D"/>
    <w:rsid w:val="4DE05675"/>
    <w:rsid w:val="4DE22715"/>
    <w:rsid w:val="4DE23B68"/>
    <w:rsid w:val="4DED1400"/>
    <w:rsid w:val="4DEE1BA4"/>
    <w:rsid w:val="4DF85277"/>
    <w:rsid w:val="4DFC5B74"/>
    <w:rsid w:val="4E00643A"/>
    <w:rsid w:val="4E0D2AB8"/>
    <w:rsid w:val="4E0D5C56"/>
    <w:rsid w:val="4E0E0C8C"/>
    <w:rsid w:val="4E143B1F"/>
    <w:rsid w:val="4E167E6F"/>
    <w:rsid w:val="4E1A5E9B"/>
    <w:rsid w:val="4E1C3970"/>
    <w:rsid w:val="4E1D2564"/>
    <w:rsid w:val="4E206385"/>
    <w:rsid w:val="4E220315"/>
    <w:rsid w:val="4E240EE9"/>
    <w:rsid w:val="4E2521A3"/>
    <w:rsid w:val="4E265601"/>
    <w:rsid w:val="4E270E56"/>
    <w:rsid w:val="4E296E9F"/>
    <w:rsid w:val="4E2A5C68"/>
    <w:rsid w:val="4E2B750E"/>
    <w:rsid w:val="4E312F61"/>
    <w:rsid w:val="4E323096"/>
    <w:rsid w:val="4E3D23B0"/>
    <w:rsid w:val="4E4078C3"/>
    <w:rsid w:val="4E4168DE"/>
    <w:rsid w:val="4E465611"/>
    <w:rsid w:val="4E47368F"/>
    <w:rsid w:val="4E4774FC"/>
    <w:rsid w:val="4E480FFA"/>
    <w:rsid w:val="4E4912BB"/>
    <w:rsid w:val="4E4C5EF8"/>
    <w:rsid w:val="4E4D7031"/>
    <w:rsid w:val="4E4E35AB"/>
    <w:rsid w:val="4E516B22"/>
    <w:rsid w:val="4E525C89"/>
    <w:rsid w:val="4E54356D"/>
    <w:rsid w:val="4E5C0144"/>
    <w:rsid w:val="4E5E123E"/>
    <w:rsid w:val="4E66559D"/>
    <w:rsid w:val="4E683E6B"/>
    <w:rsid w:val="4E6C7842"/>
    <w:rsid w:val="4E716DD6"/>
    <w:rsid w:val="4E7226F1"/>
    <w:rsid w:val="4E7961B8"/>
    <w:rsid w:val="4E7D41EF"/>
    <w:rsid w:val="4E7D5E83"/>
    <w:rsid w:val="4E7D7917"/>
    <w:rsid w:val="4E7E71EB"/>
    <w:rsid w:val="4E7F034E"/>
    <w:rsid w:val="4E8743CF"/>
    <w:rsid w:val="4E8A19A2"/>
    <w:rsid w:val="4E8C7B5A"/>
    <w:rsid w:val="4E8E2355"/>
    <w:rsid w:val="4E95357C"/>
    <w:rsid w:val="4E9555FC"/>
    <w:rsid w:val="4EA05D59"/>
    <w:rsid w:val="4EA73499"/>
    <w:rsid w:val="4EA8070C"/>
    <w:rsid w:val="4EAB0E75"/>
    <w:rsid w:val="4EAF2A1E"/>
    <w:rsid w:val="4EAF6660"/>
    <w:rsid w:val="4EB0263D"/>
    <w:rsid w:val="4EB32F1C"/>
    <w:rsid w:val="4EC112A5"/>
    <w:rsid w:val="4EC27DC2"/>
    <w:rsid w:val="4EC56BC8"/>
    <w:rsid w:val="4EC8490A"/>
    <w:rsid w:val="4ECC264C"/>
    <w:rsid w:val="4ECC43FA"/>
    <w:rsid w:val="4ECD0FC1"/>
    <w:rsid w:val="4ECD7A91"/>
    <w:rsid w:val="4ED06087"/>
    <w:rsid w:val="4ED44440"/>
    <w:rsid w:val="4EDE06BA"/>
    <w:rsid w:val="4EE51018"/>
    <w:rsid w:val="4EE520BF"/>
    <w:rsid w:val="4EE53AF5"/>
    <w:rsid w:val="4EEE23AB"/>
    <w:rsid w:val="4EFB6A8D"/>
    <w:rsid w:val="4EFD6367"/>
    <w:rsid w:val="4F0271A1"/>
    <w:rsid w:val="4F035942"/>
    <w:rsid w:val="4F05494C"/>
    <w:rsid w:val="4F0D50A9"/>
    <w:rsid w:val="4F1074C1"/>
    <w:rsid w:val="4F152226"/>
    <w:rsid w:val="4F155DA1"/>
    <w:rsid w:val="4F167678"/>
    <w:rsid w:val="4F1A62E3"/>
    <w:rsid w:val="4F1C3A48"/>
    <w:rsid w:val="4F204746"/>
    <w:rsid w:val="4F20737B"/>
    <w:rsid w:val="4F2204BE"/>
    <w:rsid w:val="4F2770E7"/>
    <w:rsid w:val="4F28335A"/>
    <w:rsid w:val="4F2C21D7"/>
    <w:rsid w:val="4F311C64"/>
    <w:rsid w:val="4F367D7E"/>
    <w:rsid w:val="4F3C7009"/>
    <w:rsid w:val="4F3E697A"/>
    <w:rsid w:val="4F3F7EDF"/>
    <w:rsid w:val="4F443F90"/>
    <w:rsid w:val="4F447D00"/>
    <w:rsid w:val="4F4573EC"/>
    <w:rsid w:val="4F460289"/>
    <w:rsid w:val="4F4645D3"/>
    <w:rsid w:val="4F473A81"/>
    <w:rsid w:val="4F4E06AB"/>
    <w:rsid w:val="4F52283D"/>
    <w:rsid w:val="4F526862"/>
    <w:rsid w:val="4F587A3C"/>
    <w:rsid w:val="4F5A268A"/>
    <w:rsid w:val="4F614504"/>
    <w:rsid w:val="4F624D5E"/>
    <w:rsid w:val="4F6A776F"/>
    <w:rsid w:val="4F6E7297"/>
    <w:rsid w:val="4F737BC5"/>
    <w:rsid w:val="4F7B0E4F"/>
    <w:rsid w:val="4F7C224C"/>
    <w:rsid w:val="4F7C3D54"/>
    <w:rsid w:val="4F8306AF"/>
    <w:rsid w:val="4F876573"/>
    <w:rsid w:val="4F897829"/>
    <w:rsid w:val="4F970DE9"/>
    <w:rsid w:val="4F971FC4"/>
    <w:rsid w:val="4F9729EE"/>
    <w:rsid w:val="4F9E5F3F"/>
    <w:rsid w:val="4FA136A6"/>
    <w:rsid w:val="4FA233AD"/>
    <w:rsid w:val="4FA5268C"/>
    <w:rsid w:val="4FA920B8"/>
    <w:rsid w:val="4FA931B8"/>
    <w:rsid w:val="4FAA22E5"/>
    <w:rsid w:val="4FAD5FDA"/>
    <w:rsid w:val="4FB132D4"/>
    <w:rsid w:val="4FB62622"/>
    <w:rsid w:val="4FB76E58"/>
    <w:rsid w:val="4FBF606A"/>
    <w:rsid w:val="4FC15206"/>
    <w:rsid w:val="4FC804D5"/>
    <w:rsid w:val="4FC926E8"/>
    <w:rsid w:val="4FCC1A25"/>
    <w:rsid w:val="4FD720B3"/>
    <w:rsid w:val="4FD72753"/>
    <w:rsid w:val="4FF22676"/>
    <w:rsid w:val="4FF5150E"/>
    <w:rsid w:val="4FF94F51"/>
    <w:rsid w:val="4FFE1B06"/>
    <w:rsid w:val="4FFF05EA"/>
    <w:rsid w:val="50047F66"/>
    <w:rsid w:val="500A40D7"/>
    <w:rsid w:val="5019366F"/>
    <w:rsid w:val="501D3C60"/>
    <w:rsid w:val="501D7250"/>
    <w:rsid w:val="502138A5"/>
    <w:rsid w:val="502247A2"/>
    <w:rsid w:val="502410BE"/>
    <w:rsid w:val="50265D8C"/>
    <w:rsid w:val="50283721"/>
    <w:rsid w:val="502F6F04"/>
    <w:rsid w:val="50306E16"/>
    <w:rsid w:val="50361EDB"/>
    <w:rsid w:val="5037186C"/>
    <w:rsid w:val="503A1DC6"/>
    <w:rsid w:val="503D2103"/>
    <w:rsid w:val="50447FC0"/>
    <w:rsid w:val="504601DC"/>
    <w:rsid w:val="504658AA"/>
    <w:rsid w:val="50487BF7"/>
    <w:rsid w:val="504B3640"/>
    <w:rsid w:val="5054517C"/>
    <w:rsid w:val="505944DD"/>
    <w:rsid w:val="505A67EB"/>
    <w:rsid w:val="505C17AE"/>
    <w:rsid w:val="50697A27"/>
    <w:rsid w:val="50750658"/>
    <w:rsid w:val="50765757"/>
    <w:rsid w:val="50767F23"/>
    <w:rsid w:val="507B7A67"/>
    <w:rsid w:val="50823AA3"/>
    <w:rsid w:val="508302E0"/>
    <w:rsid w:val="50837ABF"/>
    <w:rsid w:val="508C15FC"/>
    <w:rsid w:val="508C2093"/>
    <w:rsid w:val="50940F47"/>
    <w:rsid w:val="50971980"/>
    <w:rsid w:val="509B22D6"/>
    <w:rsid w:val="509B5208"/>
    <w:rsid w:val="50A867A1"/>
    <w:rsid w:val="50B35D00"/>
    <w:rsid w:val="50B4752B"/>
    <w:rsid w:val="50B63FD8"/>
    <w:rsid w:val="50B769E4"/>
    <w:rsid w:val="50B94C1E"/>
    <w:rsid w:val="50BB47E0"/>
    <w:rsid w:val="50BD18A9"/>
    <w:rsid w:val="50C46BEE"/>
    <w:rsid w:val="50CD7D90"/>
    <w:rsid w:val="50DC7ADC"/>
    <w:rsid w:val="50E33CEC"/>
    <w:rsid w:val="50E61077"/>
    <w:rsid w:val="50EC0A58"/>
    <w:rsid w:val="50EF43D0"/>
    <w:rsid w:val="50F1639A"/>
    <w:rsid w:val="50F25C6E"/>
    <w:rsid w:val="50F96FFC"/>
    <w:rsid w:val="50FC73BD"/>
    <w:rsid w:val="50FD72C4"/>
    <w:rsid w:val="5104794E"/>
    <w:rsid w:val="51061295"/>
    <w:rsid w:val="510734AA"/>
    <w:rsid w:val="510F1A3E"/>
    <w:rsid w:val="511C56B7"/>
    <w:rsid w:val="511D1491"/>
    <w:rsid w:val="511D153D"/>
    <w:rsid w:val="511E4CB5"/>
    <w:rsid w:val="511F2F07"/>
    <w:rsid w:val="51205FD8"/>
    <w:rsid w:val="512E4EF8"/>
    <w:rsid w:val="513C4376"/>
    <w:rsid w:val="51421593"/>
    <w:rsid w:val="51435D0C"/>
    <w:rsid w:val="51446169"/>
    <w:rsid w:val="51446C20"/>
    <w:rsid w:val="51505DC3"/>
    <w:rsid w:val="515811B0"/>
    <w:rsid w:val="51595CED"/>
    <w:rsid w:val="51597A9B"/>
    <w:rsid w:val="51672E07"/>
    <w:rsid w:val="516B6A17"/>
    <w:rsid w:val="516E22FB"/>
    <w:rsid w:val="516E77B4"/>
    <w:rsid w:val="51705511"/>
    <w:rsid w:val="51723A65"/>
    <w:rsid w:val="51732269"/>
    <w:rsid w:val="51763C44"/>
    <w:rsid w:val="517666BE"/>
    <w:rsid w:val="517765FC"/>
    <w:rsid w:val="51790C79"/>
    <w:rsid w:val="518715F4"/>
    <w:rsid w:val="5187285A"/>
    <w:rsid w:val="51874608"/>
    <w:rsid w:val="51890C7B"/>
    <w:rsid w:val="518A40F8"/>
    <w:rsid w:val="518E3BE9"/>
    <w:rsid w:val="518E6497"/>
    <w:rsid w:val="51914511"/>
    <w:rsid w:val="51940DB0"/>
    <w:rsid w:val="5196484B"/>
    <w:rsid w:val="51985D68"/>
    <w:rsid w:val="519A032B"/>
    <w:rsid w:val="519E21FD"/>
    <w:rsid w:val="51A451BA"/>
    <w:rsid w:val="51AA50F9"/>
    <w:rsid w:val="51AD2D38"/>
    <w:rsid w:val="51B06B92"/>
    <w:rsid w:val="51B07591"/>
    <w:rsid w:val="51B43002"/>
    <w:rsid w:val="51BB1A11"/>
    <w:rsid w:val="51BC5AC3"/>
    <w:rsid w:val="51BD6C11"/>
    <w:rsid w:val="51C10E74"/>
    <w:rsid w:val="51C13F7B"/>
    <w:rsid w:val="51C14AFB"/>
    <w:rsid w:val="51D11A31"/>
    <w:rsid w:val="51D5415B"/>
    <w:rsid w:val="51D733DA"/>
    <w:rsid w:val="51DA58AE"/>
    <w:rsid w:val="51DB1EE3"/>
    <w:rsid w:val="51DC2BA6"/>
    <w:rsid w:val="51E5449B"/>
    <w:rsid w:val="51E66508"/>
    <w:rsid w:val="51E847AF"/>
    <w:rsid w:val="51EA7907"/>
    <w:rsid w:val="51ED6B61"/>
    <w:rsid w:val="51F24178"/>
    <w:rsid w:val="52017EFE"/>
    <w:rsid w:val="52043EAB"/>
    <w:rsid w:val="52065DD5"/>
    <w:rsid w:val="5207755E"/>
    <w:rsid w:val="5208399B"/>
    <w:rsid w:val="52091AC0"/>
    <w:rsid w:val="520D52C2"/>
    <w:rsid w:val="521016CF"/>
    <w:rsid w:val="52132B15"/>
    <w:rsid w:val="521C3630"/>
    <w:rsid w:val="521E5FFD"/>
    <w:rsid w:val="522956BF"/>
    <w:rsid w:val="522B486F"/>
    <w:rsid w:val="523F6A8F"/>
    <w:rsid w:val="524450A3"/>
    <w:rsid w:val="52464B12"/>
    <w:rsid w:val="524D4DB2"/>
    <w:rsid w:val="52510CC8"/>
    <w:rsid w:val="52583CBA"/>
    <w:rsid w:val="525941F7"/>
    <w:rsid w:val="525B7583"/>
    <w:rsid w:val="525E23FE"/>
    <w:rsid w:val="52601803"/>
    <w:rsid w:val="52630730"/>
    <w:rsid w:val="526309C7"/>
    <w:rsid w:val="52643FB3"/>
    <w:rsid w:val="52677F96"/>
    <w:rsid w:val="526A01B2"/>
    <w:rsid w:val="526B3916"/>
    <w:rsid w:val="526D4F78"/>
    <w:rsid w:val="5270414C"/>
    <w:rsid w:val="52762C3B"/>
    <w:rsid w:val="52796217"/>
    <w:rsid w:val="527C51B5"/>
    <w:rsid w:val="527D208A"/>
    <w:rsid w:val="52872558"/>
    <w:rsid w:val="52897413"/>
    <w:rsid w:val="528E281C"/>
    <w:rsid w:val="529120DA"/>
    <w:rsid w:val="529659FD"/>
    <w:rsid w:val="529F430D"/>
    <w:rsid w:val="52AB24FF"/>
    <w:rsid w:val="52AD2BFD"/>
    <w:rsid w:val="52B224F0"/>
    <w:rsid w:val="52B41228"/>
    <w:rsid w:val="52B41F04"/>
    <w:rsid w:val="52B9272F"/>
    <w:rsid w:val="52C13B4A"/>
    <w:rsid w:val="52C660C9"/>
    <w:rsid w:val="52CF29D7"/>
    <w:rsid w:val="52CF3E41"/>
    <w:rsid w:val="52D42E5E"/>
    <w:rsid w:val="52D76C30"/>
    <w:rsid w:val="52D84DB1"/>
    <w:rsid w:val="52D94139"/>
    <w:rsid w:val="52DB1F8A"/>
    <w:rsid w:val="52E15392"/>
    <w:rsid w:val="52E3567F"/>
    <w:rsid w:val="52E8557B"/>
    <w:rsid w:val="52E934AC"/>
    <w:rsid w:val="52EA5678"/>
    <w:rsid w:val="52EB7ECE"/>
    <w:rsid w:val="52ED06D4"/>
    <w:rsid w:val="52F033ED"/>
    <w:rsid w:val="52F22E01"/>
    <w:rsid w:val="52F60567"/>
    <w:rsid w:val="52FE38B8"/>
    <w:rsid w:val="53001BB3"/>
    <w:rsid w:val="53011A3F"/>
    <w:rsid w:val="530265E4"/>
    <w:rsid w:val="53055DE1"/>
    <w:rsid w:val="530607B8"/>
    <w:rsid w:val="530B0E4B"/>
    <w:rsid w:val="531208BB"/>
    <w:rsid w:val="53143779"/>
    <w:rsid w:val="53155374"/>
    <w:rsid w:val="531B3817"/>
    <w:rsid w:val="53264D65"/>
    <w:rsid w:val="53277E51"/>
    <w:rsid w:val="532920FB"/>
    <w:rsid w:val="532931AC"/>
    <w:rsid w:val="532E0652"/>
    <w:rsid w:val="53303F2B"/>
    <w:rsid w:val="5334431C"/>
    <w:rsid w:val="53346A12"/>
    <w:rsid w:val="533B626E"/>
    <w:rsid w:val="533D0209"/>
    <w:rsid w:val="534555A6"/>
    <w:rsid w:val="534704F3"/>
    <w:rsid w:val="53470FA0"/>
    <w:rsid w:val="534C43A6"/>
    <w:rsid w:val="534C7AEF"/>
    <w:rsid w:val="534E6702"/>
    <w:rsid w:val="53501B3A"/>
    <w:rsid w:val="535B5D4C"/>
    <w:rsid w:val="5367646B"/>
    <w:rsid w:val="536A00F5"/>
    <w:rsid w:val="536E11E4"/>
    <w:rsid w:val="5370162A"/>
    <w:rsid w:val="537514ED"/>
    <w:rsid w:val="53784B50"/>
    <w:rsid w:val="537B019D"/>
    <w:rsid w:val="53815461"/>
    <w:rsid w:val="538452A3"/>
    <w:rsid w:val="538C01FF"/>
    <w:rsid w:val="538E1C7E"/>
    <w:rsid w:val="53915C12"/>
    <w:rsid w:val="539808BD"/>
    <w:rsid w:val="53987838"/>
    <w:rsid w:val="53991FB4"/>
    <w:rsid w:val="53996376"/>
    <w:rsid w:val="539C2622"/>
    <w:rsid w:val="539E0FAF"/>
    <w:rsid w:val="539F11C7"/>
    <w:rsid w:val="53A10E0D"/>
    <w:rsid w:val="53A5521A"/>
    <w:rsid w:val="53AA516E"/>
    <w:rsid w:val="53AB168D"/>
    <w:rsid w:val="53AD1FC2"/>
    <w:rsid w:val="53AE3124"/>
    <w:rsid w:val="53B07B30"/>
    <w:rsid w:val="53B112E7"/>
    <w:rsid w:val="53BA03F0"/>
    <w:rsid w:val="53BE6103"/>
    <w:rsid w:val="53C27B7A"/>
    <w:rsid w:val="53C818BC"/>
    <w:rsid w:val="53CA1255"/>
    <w:rsid w:val="53CA4C80"/>
    <w:rsid w:val="53CD3590"/>
    <w:rsid w:val="53CE5FB2"/>
    <w:rsid w:val="53D32C63"/>
    <w:rsid w:val="53D848DE"/>
    <w:rsid w:val="53D8539B"/>
    <w:rsid w:val="53DA15F6"/>
    <w:rsid w:val="53DE6F83"/>
    <w:rsid w:val="53E17EA9"/>
    <w:rsid w:val="53E7531C"/>
    <w:rsid w:val="53EB1643"/>
    <w:rsid w:val="53EC2E48"/>
    <w:rsid w:val="53EF3446"/>
    <w:rsid w:val="53F01264"/>
    <w:rsid w:val="53F543A3"/>
    <w:rsid w:val="53F60260"/>
    <w:rsid w:val="53FB308C"/>
    <w:rsid w:val="53FC0EC4"/>
    <w:rsid w:val="53FD1729"/>
    <w:rsid w:val="53FD5056"/>
    <w:rsid w:val="53FD6E04"/>
    <w:rsid w:val="5400395F"/>
    <w:rsid w:val="54040C6F"/>
    <w:rsid w:val="54060FA4"/>
    <w:rsid w:val="54062707"/>
    <w:rsid w:val="540713EF"/>
    <w:rsid w:val="540A755E"/>
    <w:rsid w:val="540D34EB"/>
    <w:rsid w:val="541233D7"/>
    <w:rsid w:val="54132820"/>
    <w:rsid w:val="54136627"/>
    <w:rsid w:val="54180401"/>
    <w:rsid w:val="541C0907"/>
    <w:rsid w:val="541C389D"/>
    <w:rsid w:val="541F29DD"/>
    <w:rsid w:val="541F3A7B"/>
    <w:rsid w:val="542B1C77"/>
    <w:rsid w:val="542B3971"/>
    <w:rsid w:val="54354594"/>
    <w:rsid w:val="5436296A"/>
    <w:rsid w:val="54370568"/>
    <w:rsid w:val="543736D8"/>
    <w:rsid w:val="54387E3C"/>
    <w:rsid w:val="543D5452"/>
    <w:rsid w:val="54417F66"/>
    <w:rsid w:val="5448592B"/>
    <w:rsid w:val="544A3609"/>
    <w:rsid w:val="544C7BFD"/>
    <w:rsid w:val="545029C2"/>
    <w:rsid w:val="5450301F"/>
    <w:rsid w:val="5450471C"/>
    <w:rsid w:val="545509EE"/>
    <w:rsid w:val="54556C40"/>
    <w:rsid w:val="545575B8"/>
    <w:rsid w:val="5459359C"/>
    <w:rsid w:val="545A49CA"/>
    <w:rsid w:val="545B159C"/>
    <w:rsid w:val="546032DF"/>
    <w:rsid w:val="546A0C9D"/>
    <w:rsid w:val="546A3A38"/>
    <w:rsid w:val="54742AC9"/>
    <w:rsid w:val="547651B8"/>
    <w:rsid w:val="547711C1"/>
    <w:rsid w:val="54780EBC"/>
    <w:rsid w:val="547A32AF"/>
    <w:rsid w:val="547F33FC"/>
    <w:rsid w:val="548379B4"/>
    <w:rsid w:val="548B08B3"/>
    <w:rsid w:val="548B2661"/>
    <w:rsid w:val="549001C6"/>
    <w:rsid w:val="54910490"/>
    <w:rsid w:val="54982E63"/>
    <w:rsid w:val="54A036AE"/>
    <w:rsid w:val="54A20BF1"/>
    <w:rsid w:val="54A25B78"/>
    <w:rsid w:val="54B15550"/>
    <w:rsid w:val="54B41F69"/>
    <w:rsid w:val="54B44301"/>
    <w:rsid w:val="54B92A50"/>
    <w:rsid w:val="54C2646B"/>
    <w:rsid w:val="54C45FE0"/>
    <w:rsid w:val="54C53D3A"/>
    <w:rsid w:val="54C55E20"/>
    <w:rsid w:val="54C72B03"/>
    <w:rsid w:val="54CC69D9"/>
    <w:rsid w:val="54CD0339"/>
    <w:rsid w:val="54D007A0"/>
    <w:rsid w:val="54D12A21"/>
    <w:rsid w:val="54D65F23"/>
    <w:rsid w:val="54DF2F31"/>
    <w:rsid w:val="54E16725"/>
    <w:rsid w:val="54E2012F"/>
    <w:rsid w:val="54E35FFA"/>
    <w:rsid w:val="54E57FC4"/>
    <w:rsid w:val="54E94703"/>
    <w:rsid w:val="54EA17CF"/>
    <w:rsid w:val="54EC71F1"/>
    <w:rsid w:val="54EC78E4"/>
    <w:rsid w:val="54EF0AAE"/>
    <w:rsid w:val="54F05AD2"/>
    <w:rsid w:val="54F77F3B"/>
    <w:rsid w:val="54F8324E"/>
    <w:rsid w:val="54F9507D"/>
    <w:rsid w:val="54FD438D"/>
    <w:rsid w:val="54FD7D3B"/>
    <w:rsid w:val="54FF10C9"/>
    <w:rsid w:val="5503389B"/>
    <w:rsid w:val="5505589D"/>
    <w:rsid w:val="55090AE5"/>
    <w:rsid w:val="550921EF"/>
    <w:rsid w:val="550B4B63"/>
    <w:rsid w:val="550C2554"/>
    <w:rsid w:val="551038BC"/>
    <w:rsid w:val="5518442B"/>
    <w:rsid w:val="552611B1"/>
    <w:rsid w:val="5527091F"/>
    <w:rsid w:val="55280537"/>
    <w:rsid w:val="552D7F72"/>
    <w:rsid w:val="552F123F"/>
    <w:rsid w:val="553271D3"/>
    <w:rsid w:val="55391D2A"/>
    <w:rsid w:val="5543566F"/>
    <w:rsid w:val="55496DEC"/>
    <w:rsid w:val="554A6079"/>
    <w:rsid w:val="554B700A"/>
    <w:rsid w:val="554E2EFB"/>
    <w:rsid w:val="554F2666"/>
    <w:rsid w:val="555111B5"/>
    <w:rsid w:val="55564A1D"/>
    <w:rsid w:val="5556678D"/>
    <w:rsid w:val="55591795"/>
    <w:rsid w:val="55591DC6"/>
    <w:rsid w:val="555962BC"/>
    <w:rsid w:val="555C29F5"/>
    <w:rsid w:val="555E60BF"/>
    <w:rsid w:val="55600ECB"/>
    <w:rsid w:val="556829A3"/>
    <w:rsid w:val="556C60B3"/>
    <w:rsid w:val="556E0F24"/>
    <w:rsid w:val="55754E2B"/>
    <w:rsid w:val="55765492"/>
    <w:rsid w:val="557813BB"/>
    <w:rsid w:val="55790B96"/>
    <w:rsid w:val="558B13F4"/>
    <w:rsid w:val="558F1BF0"/>
    <w:rsid w:val="55945D37"/>
    <w:rsid w:val="559C06D5"/>
    <w:rsid w:val="55A03EEB"/>
    <w:rsid w:val="55A175A6"/>
    <w:rsid w:val="55A33F58"/>
    <w:rsid w:val="55A51501"/>
    <w:rsid w:val="55AA0F8C"/>
    <w:rsid w:val="55AA5633"/>
    <w:rsid w:val="55B038A7"/>
    <w:rsid w:val="55B115A2"/>
    <w:rsid w:val="55B300C2"/>
    <w:rsid w:val="55B41744"/>
    <w:rsid w:val="55BE5B7F"/>
    <w:rsid w:val="55C87E5B"/>
    <w:rsid w:val="55C93441"/>
    <w:rsid w:val="55CD5E8D"/>
    <w:rsid w:val="55D26CCF"/>
    <w:rsid w:val="55DB4561"/>
    <w:rsid w:val="55DE0692"/>
    <w:rsid w:val="55DE5AA4"/>
    <w:rsid w:val="55E055C2"/>
    <w:rsid w:val="55E1160F"/>
    <w:rsid w:val="55E16B3B"/>
    <w:rsid w:val="55E40087"/>
    <w:rsid w:val="55E54B88"/>
    <w:rsid w:val="55E83185"/>
    <w:rsid w:val="55EB1F25"/>
    <w:rsid w:val="55ED231A"/>
    <w:rsid w:val="55F14746"/>
    <w:rsid w:val="55F66200"/>
    <w:rsid w:val="55FD51D3"/>
    <w:rsid w:val="56010E2D"/>
    <w:rsid w:val="560234DB"/>
    <w:rsid w:val="56037DAB"/>
    <w:rsid w:val="56064695"/>
    <w:rsid w:val="56066443"/>
    <w:rsid w:val="560C1580"/>
    <w:rsid w:val="56116563"/>
    <w:rsid w:val="561D3BDC"/>
    <w:rsid w:val="561F58ED"/>
    <w:rsid w:val="56243368"/>
    <w:rsid w:val="562514BF"/>
    <w:rsid w:val="5625322F"/>
    <w:rsid w:val="56292132"/>
    <w:rsid w:val="562B1A63"/>
    <w:rsid w:val="562B5EAA"/>
    <w:rsid w:val="562D525A"/>
    <w:rsid w:val="563C00B7"/>
    <w:rsid w:val="563E52B4"/>
    <w:rsid w:val="563E5AB2"/>
    <w:rsid w:val="5640122A"/>
    <w:rsid w:val="5646208C"/>
    <w:rsid w:val="56467D4A"/>
    <w:rsid w:val="564C522B"/>
    <w:rsid w:val="564E1F89"/>
    <w:rsid w:val="56535401"/>
    <w:rsid w:val="565A2C86"/>
    <w:rsid w:val="565A31DA"/>
    <w:rsid w:val="565E627F"/>
    <w:rsid w:val="56642809"/>
    <w:rsid w:val="56667550"/>
    <w:rsid w:val="566E0EBF"/>
    <w:rsid w:val="56717635"/>
    <w:rsid w:val="567C04B4"/>
    <w:rsid w:val="567C6182"/>
    <w:rsid w:val="567E74DD"/>
    <w:rsid w:val="56820B96"/>
    <w:rsid w:val="568455BA"/>
    <w:rsid w:val="56921A85"/>
    <w:rsid w:val="56950B50"/>
    <w:rsid w:val="56974290"/>
    <w:rsid w:val="56A501F8"/>
    <w:rsid w:val="56A66AE5"/>
    <w:rsid w:val="56A8115B"/>
    <w:rsid w:val="56A812A9"/>
    <w:rsid w:val="56A959BB"/>
    <w:rsid w:val="56AF7CCD"/>
    <w:rsid w:val="56B153C0"/>
    <w:rsid w:val="56B365A8"/>
    <w:rsid w:val="56B85FEE"/>
    <w:rsid w:val="56BB4490"/>
    <w:rsid w:val="56BC2FA6"/>
    <w:rsid w:val="56BE6D1E"/>
    <w:rsid w:val="56C055FC"/>
    <w:rsid w:val="56C35EF2"/>
    <w:rsid w:val="56C4168A"/>
    <w:rsid w:val="56C451F9"/>
    <w:rsid w:val="56CC638C"/>
    <w:rsid w:val="56D3410E"/>
    <w:rsid w:val="56D51BC3"/>
    <w:rsid w:val="56DB67A7"/>
    <w:rsid w:val="56E438E6"/>
    <w:rsid w:val="56E952B6"/>
    <w:rsid w:val="56ED1B6A"/>
    <w:rsid w:val="56F00E30"/>
    <w:rsid w:val="56F53615"/>
    <w:rsid w:val="56F91B04"/>
    <w:rsid w:val="56FB146A"/>
    <w:rsid w:val="56FC33A3"/>
    <w:rsid w:val="56FE6C32"/>
    <w:rsid w:val="570109B9"/>
    <w:rsid w:val="57016C0B"/>
    <w:rsid w:val="57030D27"/>
    <w:rsid w:val="570505BB"/>
    <w:rsid w:val="57050993"/>
    <w:rsid w:val="5705494D"/>
    <w:rsid w:val="570908B6"/>
    <w:rsid w:val="570914EF"/>
    <w:rsid w:val="570A2C48"/>
    <w:rsid w:val="570B5E7F"/>
    <w:rsid w:val="570D273C"/>
    <w:rsid w:val="570F30D6"/>
    <w:rsid w:val="571132F2"/>
    <w:rsid w:val="5714693E"/>
    <w:rsid w:val="571921A6"/>
    <w:rsid w:val="57270A13"/>
    <w:rsid w:val="572B4C89"/>
    <w:rsid w:val="572E7A59"/>
    <w:rsid w:val="573518D3"/>
    <w:rsid w:val="57355064"/>
    <w:rsid w:val="57372625"/>
    <w:rsid w:val="57390153"/>
    <w:rsid w:val="573B036F"/>
    <w:rsid w:val="573C19D3"/>
    <w:rsid w:val="574035EE"/>
    <w:rsid w:val="57411336"/>
    <w:rsid w:val="57490B9C"/>
    <w:rsid w:val="574C50B5"/>
    <w:rsid w:val="57501DED"/>
    <w:rsid w:val="57574A7D"/>
    <w:rsid w:val="57605DC5"/>
    <w:rsid w:val="57622A79"/>
    <w:rsid w:val="57625050"/>
    <w:rsid w:val="57634140"/>
    <w:rsid w:val="576524BB"/>
    <w:rsid w:val="57664CC0"/>
    <w:rsid w:val="577A07B5"/>
    <w:rsid w:val="577F5FA9"/>
    <w:rsid w:val="577F68C1"/>
    <w:rsid w:val="577F6D27"/>
    <w:rsid w:val="57803FD4"/>
    <w:rsid w:val="57812F5F"/>
    <w:rsid w:val="57857E51"/>
    <w:rsid w:val="578A6326"/>
    <w:rsid w:val="57923796"/>
    <w:rsid w:val="57934913"/>
    <w:rsid w:val="57945CD1"/>
    <w:rsid w:val="57983F8D"/>
    <w:rsid w:val="57992637"/>
    <w:rsid w:val="57A001D2"/>
    <w:rsid w:val="57A1552E"/>
    <w:rsid w:val="57A1557A"/>
    <w:rsid w:val="57A41BF3"/>
    <w:rsid w:val="57B0502D"/>
    <w:rsid w:val="57B77283"/>
    <w:rsid w:val="57BE1B02"/>
    <w:rsid w:val="57C24C91"/>
    <w:rsid w:val="57C91D3E"/>
    <w:rsid w:val="57C92968"/>
    <w:rsid w:val="57CB6747"/>
    <w:rsid w:val="57D04AAE"/>
    <w:rsid w:val="57D32AB5"/>
    <w:rsid w:val="57D64B57"/>
    <w:rsid w:val="57D65532"/>
    <w:rsid w:val="57E92226"/>
    <w:rsid w:val="57E93212"/>
    <w:rsid w:val="57E97DCB"/>
    <w:rsid w:val="57EC3417"/>
    <w:rsid w:val="57EE6662"/>
    <w:rsid w:val="57F44BB0"/>
    <w:rsid w:val="57F715EE"/>
    <w:rsid w:val="57FA7011"/>
    <w:rsid w:val="57FB5BFD"/>
    <w:rsid w:val="57FC57BD"/>
    <w:rsid w:val="57FD68F4"/>
    <w:rsid w:val="57FF6155"/>
    <w:rsid w:val="580140A6"/>
    <w:rsid w:val="58040170"/>
    <w:rsid w:val="5809281C"/>
    <w:rsid w:val="580B6E3C"/>
    <w:rsid w:val="580C1C8E"/>
    <w:rsid w:val="580C6FE8"/>
    <w:rsid w:val="580D3C1C"/>
    <w:rsid w:val="580F7106"/>
    <w:rsid w:val="58120B37"/>
    <w:rsid w:val="581E62DD"/>
    <w:rsid w:val="58247055"/>
    <w:rsid w:val="58291B84"/>
    <w:rsid w:val="58305016"/>
    <w:rsid w:val="583152CE"/>
    <w:rsid w:val="583220CE"/>
    <w:rsid w:val="58331046"/>
    <w:rsid w:val="58342026"/>
    <w:rsid w:val="58352DE6"/>
    <w:rsid w:val="583A23D4"/>
    <w:rsid w:val="583D0117"/>
    <w:rsid w:val="583D3163"/>
    <w:rsid w:val="58466FCB"/>
    <w:rsid w:val="584E5E80"/>
    <w:rsid w:val="584E7A4D"/>
    <w:rsid w:val="585573F6"/>
    <w:rsid w:val="585673E9"/>
    <w:rsid w:val="585A65D3"/>
    <w:rsid w:val="585B059D"/>
    <w:rsid w:val="585C7B06"/>
    <w:rsid w:val="5866692B"/>
    <w:rsid w:val="586C3CC6"/>
    <w:rsid w:val="586F7C2F"/>
    <w:rsid w:val="58761BFE"/>
    <w:rsid w:val="58783CFA"/>
    <w:rsid w:val="587845C9"/>
    <w:rsid w:val="58845D45"/>
    <w:rsid w:val="58876CDB"/>
    <w:rsid w:val="58901BC2"/>
    <w:rsid w:val="58951088"/>
    <w:rsid w:val="589870FB"/>
    <w:rsid w:val="58990FC0"/>
    <w:rsid w:val="589C3085"/>
    <w:rsid w:val="58A12453"/>
    <w:rsid w:val="58A14C54"/>
    <w:rsid w:val="58A64233"/>
    <w:rsid w:val="58AA5D52"/>
    <w:rsid w:val="58B13452"/>
    <w:rsid w:val="58B55EFF"/>
    <w:rsid w:val="58BB3DC0"/>
    <w:rsid w:val="58BD4010"/>
    <w:rsid w:val="58BE3005"/>
    <w:rsid w:val="58CB4071"/>
    <w:rsid w:val="58D95B4A"/>
    <w:rsid w:val="58DE7B7E"/>
    <w:rsid w:val="58E236F3"/>
    <w:rsid w:val="58E83E5E"/>
    <w:rsid w:val="58F846B0"/>
    <w:rsid w:val="58FF53CC"/>
    <w:rsid w:val="5906051B"/>
    <w:rsid w:val="5906339C"/>
    <w:rsid w:val="59080725"/>
    <w:rsid w:val="590C2C4C"/>
    <w:rsid w:val="59131292"/>
    <w:rsid w:val="59135B55"/>
    <w:rsid w:val="59153798"/>
    <w:rsid w:val="59232A72"/>
    <w:rsid w:val="592D4A6E"/>
    <w:rsid w:val="592F6715"/>
    <w:rsid w:val="593964A1"/>
    <w:rsid w:val="593B3B47"/>
    <w:rsid w:val="59401C6C"/>
    <w:rsid w:val="59423F6D"/>
    <w:rsid w:val="5942577F"/>
    <w:rsid w:val="59456A20"/>
    <w:rsid w:val="594953B7"/>
    <w:rsid w:val="594F2E37"/>
    <w:rsid w:val="59506971"/>
    <w:rsid w:val="5957491D"/>
    <w:rsid w:val="595A56A0"/>
    <w:rsid w:val="595B3690"/>
    <w:rsid w:val="5963115F"/>
    <w:rsid w:val="59662975"/>
    <w:rsid w:val="59682F71"/>
    <w:rsid w:val="5969369E"/>
    <w:rsid w:val="596A0C5D"/>
    <w:rsid w:val="596C2D00"/>
    <w:rsid w:val="596F44B8"/>
    <w:rsid w:val="596F61FA"/>
    <w:rsid w:val="59701E26"/>
    <w:rsid w:val="597914F8"/>
    <w:rsid w:val="597B0EF6"/>
    <w:rsid w:val="59875576"/>
    <w:rsid w:val="59877F69"/>
    <w:rsid w:val="598F04FE"/>
    <w:rsid w:val="59903B9E"/>
    <w:rsid w:val="5991071A"/>
    <w:rsid w:val="59923643"/>
    <w:rsid w:val="59924FF5"/>
    <w:rsid w:val="5994436D"/>
    <w:rsid w:val="599A2BD6"/>
    <w:rsid w:val="599B6EA3"/>
    <w:rsid w:val="59A74A2E"/>
    <w:rsid w:val="59AD7B08"/>
    <w:rsid w:val="59AF277F"/>
    <w:rsid w:val="59B56492"/>
    <w:rsid w:val="59BB2ACA"/>
    <w:rsid w:val="59BC3568"/>
    <w:rsid w:val="59C35ACF"/>
    <w:rsid w:val="59C44115"/>
    <w:rsid w:val="59CC3500"/>
    <w:rsid w:val="59D00092"/>
    <w:rsid w:val="59D66A19"/>
    <w:rsid w:val="59D7753C"/>
    <w:rsid w:val="59D9147E"/>
    <w:rsid w:val="59E85E60"/>
    <w:rsid w:val="59E8725B"/>
    <w:rsid w:val="59F42A57"/>
    <w:rsid w:val="59F658D0"/>
    <w:rsid w:val="59F82547"/>
    <w:rsid w:val="5A0170B3"/>
    <w:rsid w:val="5A02182B"/>
    <w:rsid w:val="5A054C64"/>
    <w:rsid w:val="5A0633CF"/>
    <w:rsid w:val="5A0903C9"/>
    <w:rsid w:val="5A0D509A"/>
    <w:rsid w:val="5A0E4C2F"/>
    <w:rsid w:val="5A116145"/>
    <w:rsid w:val="5A121A9D"/>
    <w:rsid w:val="5A140578"/>
    <w:rsid w:val="5A1768D4"/>
    <w:rsid w:val="5A180A3A"/>
    <w:rsid w:val="5A184997"/>
    <w:rsid w:val="5A1924BD"/>
    <w:rsid w:val="5A1A4E69"/>
    <w:rsid w:val="5A2400DF"/>
    <w:rsid w:val="5A311EF2"/>
    <w:rsid w:val="5A3A0ECE"/>
    <w:rsid w:val="5A3D38EF"/>
    <w:rsid w:val="5A3D3D89"/>
    <w:rsid w:val="5A3D42DE"/>
    <w:rsid w:val="5A4312E0"/>
    <w:rsid w:val="5A444794"/>
    <w:rsid w:val="5A4802BF"/>
    <w:rsid w:val="5A4C63EF"/>
    <w:rsid w:val="5A4C7D25"/>
    <w:rsid w:val="5A533A0A"/>
    <w:rsid w:val="5A551986"/>
    <w:rsid w:val="5A552EDD"/>
    <w:rsid w:val="5A5534F6"/>
    <w:rsid w:val="5A557127"/>
    <w:rsid w:val="5A5810F3"/>
    <w:rsid w:val="5A587672"/>
    <w:rsid w:val="5A5961EF"/>
    <w:rsid w:val="5A625492"/>
    <w:rsid w:val="5A643AC8"/>
    <w:rsid w:val="5A64740A"/>
    <w:rsid w:val="5A664CCE"/>
    <w:rsid w:val="5A6F000D"/>
    <w:rsid w:val="5A706AAD"/>
    <w:rsid w:val="5A746011"/>
    <w:rsid w:val="5A76641A"/>
    <w:rsid w:val="5A821C67"/>
    <w:rsid w:val="5A873973"/>
    <w:rsid w:val="5A8A5E83"/>
    <w:rsid w:val="5A902780"/>
    <w:rsid w:val="5A912D68"/>
    <w:rsid w:val="5A923AB6"/>
    <w:rsid w:val="5A9330C3"/>
    <w:rsid w:val="5A9860AF"/>
    <w:rsid w:val="5A990E50"/>
    <w:rsid w:val="5A9D30EE"/>
    <w:rsid w:val="5AA20ED6"/>
    <w:rsid w:val="5AA63641"/>
    <w:rsid w:val="5AA708CA"/>
    <w:rsid w:val="5AA955EF"/>
    <w:rsid w:val="5AAC551A"/>
    <w:rsid w:val="5AAE4AE5"/>
    <w:rsid w:val="5AAF40C7"/>
    <w:rsid w:val="5AB37F0E"/>
    <w:rsid w:val="5AB521E6"/>
    <w:rsid w:val="5AB558BB"/>
    <w:rsid w:val="5AB9705D"/>
    <w:rsid w:val="5AC77EF9"/>
    <w:rsid w:val="5ADA34F9"/>
    <w:rsid w:val="5ADF54B5"/>
    <w:rsid w:val="5AE1122D"/>
    <w:rsid w:val="5AE363FD"/>
    <w:rsid w:val="5AEE535F"/>
    <w:rsid w:val="5AF17F45"/>
    <w:rsid w:val="5AF26392"/>
    <w:rsid w:val="5AF32D0E"/>
    <w:rsid w:val="5AF54ABD"/>
    <w:rsid w:val="5AF8223A"/>
    <w:rsid w:val="5AFD5309"/>
    <w:rsid w:val="5AFF16B3"/>
    <w:rsid w:val="5B0977E6"/>
    <w:rsid w:val="5B0C4CA2"/>
    <w:rsid w:val="5B117512"/>
    <w:rsid w:val="5B1F296D"/>
    <w:rsid w:val="5B20057F"/>
    <w:rsid w:val="5B204F54"/>
    <w:rsid w:val="5B2561D1"/>
    <w:rsid w:val="5B286E5C"/>
    <w:rsid w:val="5B2A28AF"/>
    <w:rsid w:val="5B2B1926"/>
    <w:rsid w:val="5B2D4026"/>
    <w:rsid w:val="5B2E155A"/>
    <w:rsid w:val="5B34038F"/>
    <w:rsid w:val="5B353868"/>
    <w:rsid w:val="5B3B4BE1"/>
    <w:rsid w:val="5B3B7CC5"/>
    <w:rsid w:val="5B4A6C9F"/>
    <w:rsid w:val="5B4F6FAF"/>
    <w:rsid w:val="5B5163B3"/>
    <w:rsid w:val="5B55211D"/>
    <w:rsid w:val="5B5C08B4"/>
    <w:rsid w:val="5B5C1B01"/>
    <w:rsid w:val="5B5E6F93"/>
    <w:rsid w:val="5B6160B4"/>
    <w:rsid w:val="5B6503CD"/>
    <w:rsid w:val="5B650996"/>
    <w:rsid w:val="5B691244"/>
    <w:rsid w:val="5B6F2330"/>
    <w:rsid w:val="5B7C1860"/>
    <w:rsid w:val="5B7F50BF"/>
    <w:rsid w:val="5B867F38"/>
    <w:rsid w:val="5B9067AF"/>
    <w:rsid w:val="5B9207A8"/>
    <w:rsid w:val="5B94004E"/>
    <w:rsid w:val="5B9D16B1"/>
    <w:rsid w:val="5B9F7DAC"/>
    <w:rsid w:val="5BAF6C35"/>
    <w:rsid w:val="5BB11A8A"/>
    <w:rsid w:val="5BB77E50"/>
    <w:rsid w:val="5BBB37E1"/>
    <w:rsid w:val="5BBB3896"/>
    <w:rsid w:val="5BBF1064"/>
    <w:rsid w:val="5BC37DB6"/>
    <w:rsid w:val="5BC37E56"/>
    <w:rsid w:val="5BD07DD6"/>
    <w:rsid w:val="5BD24C1E"/>
    <w:rsid w:val="5BD91F04"/>
    <w:rsid w:val="5BE16D18"/>
    <w:rsid w:val="5BF00BF9"/>
    <w:rsid w:val="5BF64828"/>
    <w:rsid w:val="5BFE196B"/>
    <w:rsid w:val="5C037E45"/>
    <w:rsid w:val="5C0553DC"/>
    <w:rsid w:val="5C070238"/>
    <w:rsid w:val="5C111495"/>
    <w:rsid w:val="5C165947"/>
    <w:rsid w:val="5C1661A5"/>
    <w:rsid w:val="5C1739FF"/>
    <w:rsid w:val="5C186ED1"/>
    <w:rsid w:val="5C1A2DD6"/>
    <w:rsid w:val="5C1C14C5"/>
    <w:rsid w:val="5C203518"/>
    <w:rsid w:val="5C323D5A"/>
    <w:rsid w:val="5C3405B2"/>
    <w:rsid w:val="5C361105"/>
    <w:rsid w:val="5C3D048F"/>
    <w:rsid w:val="5C3E4B32"/>
    <w:rsid w:val="5C452B17"/>
    <w:rsid w:val="5C4863C1"/>
    <w:rsid w:val="5C487AAD"/>
    <w:rsid w:val="5C544D04"/>
    <w:rsid w:val="5C5872CD"/>
    <w:rsid w:val="5C61437B"/>
    <w:rsid w:val="5C641313"/>
    <w:rsid w:val="5C642116"/>
    <w:rsid w:val="5C6C3BBC"/>
    <w:rsid w:val="5C6C3BD8"/>
    <w:rsid w:val="5C7165E1"/>
    <w:rsid w:val="5C776406"/>
    <w:rsid w:val="5C7E4751"/>
    <w:rsid w:val="5C82259C"/>
    <w:rsid w:val="5C8429AC"/>
    <w:rsid w:val="5C850AA6"/>
    <w:rsid w:val="5C860916"/>
    <w:rsid w:val="5C885D49"/>
    <w:rsid w:val="5C8C06C1"/>
    <w:rsid w:val="5C8F1170"/>
    <w:rsid w:val="5C992D62"/>
    <w:rsid w:val="5C993776"/>
    <w:rsid w:val="5CA01D3B"/>
    <w:rsid w:val="5CA14648"/>
    <w:rsid w:val="5CA2278F"/>
    <w:rsid w:val="5CB02287"/>
    <w:rsid w:val="5CB423AB"/>
    <w:rsid w:val="5CB55948"/>
    <w:rsid w:val="5CB6146B"/>
    <w:rsid w:val="5CBB2094"/>
    <w:rsid w:val="5CBC3D00"/>
    <w:rsid w:val="5CC101EF"/>
    <w:rsid w:val="5CC24B59"/>
    <w:rsid w:val="5CCB0E45"/>
    <w:rsid w:val="5CCC5196"/>
    <w:rsid w:val="5CCF1899"/>
    <w:rsid w:val="5CD7181B"/>
    <w:rsid w:val="5CDB1524"/>
    <w:rsid w:val="5CDF5473"/>
    <w:rsid w:val="5CE478AD"/>
    <w:rsid w:val="5CE53B50"/>
    <w:rsid w:val="5CE85C91"/>
    <w:rsid w:val="5CE86BC5"/>
    <w:rsid w:val="5CEB4A45"/>
    <w:rsid w:val="5CEC135C"/>
    <w:rsid w:val="5CEC53A5"/>
    <w:rsid w:val="5CF44D5B"/>
    <w:rsid w:val="5CF71428"/>
    <w:rsid w:val="5CF76FF4"/>
    <w:rsid w:val="5CFD1C22"/>
    <w:rsid w:val="5D007836"/>
    <w:rsid w:val="5D0122A8"/>
    <w:rsid w:val="5D15701B"/>
    <w:rsid w:val="5D1773C9"/>
    <w:rsid w:val="5D1F428A"/>
    <w:rsid w:val="5D2E5F5D"/>
    <w:rsid w:val="5D34149D"/>
    <w:rsid w:val="5D3B5726"/>
    <w:rsid w:val="5D4601B1"/>
    <w:rsid w:val="5D494DBC"/>
    <w:rsid w:val="5D4A265D"/>
    <w:rsid w:val="5D4B34BD"/>
    <w:rsid w:val="5D5050F7"/>
    <w:rsid w:val="5D535FE2"/>
    <w:rsid w:val="5D55588E"/>
    <w:rsid w:val="5D5723E7"/>
    <w:rsid w:val="5D5A0839"/>
    <w:rsid w:val="5D5C0057"/>
    <w:rsid w:val="5D630D7B"/>
    <w:rsid w:val="5D703A41"/>
    <w:rsid w:val="5D735CD6"/>
    <w:rsid w:val="5D7873F0"/>
    <w:rsid w:val="5D7A5CAC"/>
    <w:rsid w:val="5D7B0085"/>
    <w:rsid w:val="5D7B50D7"/>
    <w:rsid w:val="5D7E75E3"/>
    <w:rsid w:val="5D811B5C"/>
    <w:rsid w:val="5D845EA0"/>
    <w:rsid w:val="5D893FCF"/>
    <w:rsid w:val="5D8D1664"/>
    <w:rsid w:val="5D8F19B7"/>
    <w:rsid w:val="5D8F6D1E"/>
    <w:rsid w:val="5D92352D"/>
    <w:rsid w:val="5D977EE5"/>
    <w:rsid w:val="5D9C58DF"/>
    <w:rsid w:val="5DA6050C"/>
    <w:rsid w:val="5DAB27C9"/>
    <w:rsid w:val="5DAF2433"/>
    <w:rsid w:val="5DAF5613"/>
    <w:rsid w:val="5DB05ED7"/>
    <w:rsid w:val="5DB206D3"/>
    <w:rsid w:val="5DB46EC8"/>
    <w:rsid w:val="5DB53F80"/>
    <w:rsid w:val="5DC95E33"/>
    <w:rsid w:val="5DCB6A18"/>
    <w:rsid w:val="5DD143B1"/>
    <w:rsid w:val="5DD1503B"/>
    <w:rsid w:val="5DD371C8"/>
    <w:rsid w:val="5DDB01B6"/>
    <w:rsid w:val="5DE06536"/>
    <w:rsid w:val="5DF06923"/>
    <w:rsid w:val="5DF62164"/>
    <w:rsid w:val="5DF84E51"/>
    <w:rsid w:val="5DFD1EE2"/>
    <w:rsid w:val="5E01777C"/>
    <w:rsid w:val="5E03619E"/>
    <w:rsid w:val="5E036C53"/>
    <w:rsid w:val="5E0A0A9B"/>
    <w:rsid w:val="5E0C339D"/>
    <w:rsid w:val="5E0E2A29"/>
    <w:rsid w:val="5E0E3C30"/>
    <w:rsid w:val="5E12502D"/>
    <w:rsid w:val="5E135BA1"/>
    <w:rsid w:val="5E147D13"/>
    <w:rsid w:val="5E16194F"/>
    <w:rsid w:val="5E192A8C"/>
    <w:rsid w:val="5E1F4947"/>
    <w:rsid w:val="5E2452A8"/>
    <w:rsid w:val="5E263E82"/>
    <w:rsid w:val="5E2A4C99"/>
    <w:rsid w:val="5E2B3B29"/>
    <w:rsid w:val="5E3245D8"/>
    <w:rsid w:val="5E332019"/>
    <w:rsid w:val="5E353A43"/>
    <w:rsid w:val="5E3564A3"/>
    <w:rsid w:val="5E39617D"/>
    <w:rsid w:val="5E4A533B"/>
    <w:rsid w:val="5E5A73BB"/>
    <w:rsid w:val="5E5D1AF4"/>
    <w:rsid w:val="5E5D7076"/>
    <w:rsid w:val="5E622685"/>
    <w:rsid w:val="5E6572A9"/>
    <w:rsid w:val="5E6F4588"/>
    <w:rsid w:val="5E7128C8"/>
    <w:rsid w:val="5E743768"/>
    <w:rsid w:val="5E790CA0"/>
    <w:rsid w:val="5E79177D"/>
    <w:rsid w:val="5E7945FC"/>
    <w:rsid w:val="5E7C6322"/>
    <w:rsid w:val="5E832A8B"/>
    <w:rsid w:val="5E866479"/>
    <w:rsid w:val="5E8B3271"/>
    <w:rsid w:val="5E9077B9"/>
    <w:rsid w:val="5E92177F"/>
    <w:rsid w:val="5E930082"/>
    <w:rsid w:val="5EAA116B"/>
    <w:rsid w:val="5EB351E3"/>
    <w:rsid w:val="5EB6009E"/>
    <w:rsid w:val="5EBD0D47"/>
    <w:rsid w:val="5EBF459F"/>
    <w:rsid w:val="5ECB1232"/>
    <w:rsid w:val="5ECB5E0F"/>
    <w:rsid w:val="5ECF22A5"/>
    <w:rsid w:val="5ED32946"/>
    <w:rsid w:val="5ED53B61"/>
    <w:rsid w:val="5ED77FA6"/>
    <w:rsid w:val="5ED94D4C"/>
    <w:rsid w:val="5EDE746E"/>
    <w:rsid w:val="5EE278D0"/>
    <w:rsid w:val="5EE91DD3"/>
    <w:rsid w:val="5EE92F44"/>
    <w:rsid w:val="5EEA3F0C"/>
    <w:rsid w:val="5EFC46DB"/>
    <w:rsid w:val="5F031672"/>
    <w:rsid w:val="5F0627E3"/>
    <w:rsid w:val="5F087F3E"/>
    <w:rsid w:val="5F0E22EC"/>
    <w:rsid w:val="5F0E5841"/>
    <w:rsid w:val="5F0E7AA1"/>
    <w:rsid w:val="5F1A7C3C"/>
    <w:rsid w:val="5F1B0545"/>
    <w:rsid w:val="5F2022F1"/>
    <w:rsid w:val="5F224B1B"/>
    <w:rsid w:val="5F2E5A95"/>
    <w:rsid w:val="5F323EBD"/>
    <w:rsid w:val="5F4A0903"/>
    <w:rsid w:val="5F4A0E24"/>
    <w:rsid w:val="5F4C162A"/>
    <w:rsid w:val="5F4E5EBD"/>
    <w:rsid w:val="5F593740"/>
    <w:rsid w:val="5F593A88"/>
    <w:rsid w:val="5F5D2E4C"/>
    <w:rsid w:val="5F61293D"/>
    <w:rsid w:val="5F631F2A"/>
    <w:rsid w:val="5F641B90"/>
    <w:rsid w:val="5F6A7470"/>
    <w:rsid w:val="5F701D7B"/>
    <w:rsid w:val="5F717479"/>
    <w:rsid w:val="5F727FC6"/>
    <w:rsid w:val="5F7D0CEC"/>
    <w:rsid w:val="5F85487D"/>
    <w:rsid w:val="5F856747"/>
    <w:rsid w:val="5F862BEB"/>
    <w:rsid w:val="5F884A07"/>
    <w:rsid w:val="5F89195D"/>
    <w:rsid w:val="5F8F0B9F"/>
    <w:rsid w:val="5F9A74BF"/>
    <w:rsid w:val="5F9E593F"/>
    <w:rsid w:val="5FA24E2B"/>
    <w:rsid w:val="5FA91308"/>
    <w:rsid w:val="5FA913B5"/>
    <w:rsid w:val="5FA97E40"/>
    <w:rsid w:val="5FAF18FA"/>
    <w:rsid w:val="5FB15A0A"/>
    <w:rsid w:val="5FB200C7"/>
    <w:rsid w:val="5FB24F46"/>
    <w:rsid w:val="5FBE789B"/>
    <w:rsid w:val="5FC32714"/>
    <w:rsid w:val="5FC469D3"/>
    <w:rsid w:val="5FCA4ED2"/>
    <w:rsid w:val="5FD2539A"/>
    <w:rsid w:val="5FD255E8"/>
    <w:rsid w:val="5FD862BD"/>
    <w:rsid w:val="5FD97F4B"/>
    <w:rsid w:val="5FDC63D3"/>
    <w:rsid w:val="5FDC76C8"/>
    <w:rsid w:val="5FDD0F28"/>
    <w:rsid w:val="5FDE04EB"/>
    <w:rsid w:val="5FE125D9"/>
    <w:rsid w:val="5FE12E56"/>
    <w:rsid w:val="5FE4503A"/>
    <w:rsid w:val="5FE64912"/>
    <w:rsid w:val="5FF331E0"/>
    <w:rsid w:val="5FF623A7"/>
    <w:rsid w:val="5FF82A8C"/>
    <w:rsid w:val="5FFB3C90"/>
    <w:rsid w:val="5FFD046B"/>
    <w:rsid w:val="60053101"/>
    <w:rsid w:val="60085D90"/>
    <w:rsid w:val="60094BC3"/>
    <w:rsid w:val="600F4147"/>
    <w:rsid w:val="60144F61"/>
    <w:rsid w:val="60146EA0"/>
    <w:rsid w:val="601577B9"/>
    <w:rsid w:val="601C7F66"/>
    <w:rsid w:val="601D4E23"/>
    <w:rsid w:val="60211770"/>
    <w:rsid w:val="60215F78"/>
    <w:rsid w:val="60265BCA"/>
    <w:rsid w:val="60285FA1"/>
    <w:rsid w:val="602C3CDD"/>
    <w:rsid w:val="60340051"/>
    <w:rsid w:val="60363DC9"/>
    <w:rsid w:val="603A2B07"/>
    <w:rsid w:val="603A50B3"/>
    <w:rsid w:val="6043282E"/>
    <w:rsid w:val="60487659"/>
    <w:rsid w:val="604C539B"/>
    <w:rsid w:val="60540B1B"/>
    <w:rsid w:val="6054527B"/>
    <w:rsid w:val="60591866"/>
    <w:rsid w:val="60595B9F"/>
    <w:rsid w:val="60622A35"/>
    <w:rsid w:val="6069345E"/>
    <w:rsid w:val="607A5C32"/>
    <w:rsid w:val="607B7A2E"/>
    <w:rsid w:val="607F45F5"/>
    <w:rsid w:val="607F6BA2"/>
    <w:rsid w:val="60835BF0"/>
    <w:rsid w:val="60880A4D"/>
    <w:rsid w:val="60885E60"/>
    <w:rsid w:val="608E4E60"/>
    <w:rsid w:val="608F7C3C"/>
    <w:rsid w:val="609546A5"/>
    <w:rsid w:val="609C54D8"/>
    <w:rsid w:val="60A35595"/>
    <w:rsid w:val="60A42897"/>
    <w:rsid w:val="60A46F85"/>
    <w:rsid w:val="60A652C9"/>
    <w:rsid w:val="60A9540D"/>
    <w:rsid w:val="60AF75A0"/>
    <w:rsid w:val="60B34C56"/>
    <w:rsid w:val="60B3575F"/>
    <w:rsid w:val="60B82A30"/>
    <w:rsid w:val="60BA67A8"/>
    <w:rsid w:val="60BB42CE"/>
    <w:rsid w:val="60BE3971"/>
    <w:rsid w:val="60BF3DBF"/>
    <w:rsid w:val="60C36BAA"/>
    <w:rsid w:val="60C41097"/>
    <w:rsid w:val="60CA1382"/>
    <w:rsid w:val="60CF13A2"/>
    <w:rsid w:val="60CF1B28"/>
    <w:rsid w:val="60D05AEA"/>
    <w:rsid w:val="60D351F3"/>
    <w:rsid w:val="60D94239"/>
    <w:rsid w:val="60D95ACB"/>
    <w:rsid w:val="60DA02C2"/>
    <w:rsid w:val="60DA6828"/>
    <w:rsid w:val="60DC5FD9"/>
    <w:rsid w:val="60DF0B6A"/>
    <w:rsid w:val="60E11472"/>
    <w:rsid w:val="60E471F1"/>
    <w:rsid w:val="60EC36E8"/>
    <w:rsid w:val="60F03883"/>
    <w:rsid w:val="60F600EF"/>
    <w:rsid w:val="60F864F0"/>
    <w:rsid w:val="60FC40AB"/>
    <w:rsid w:val="610244AA"/>
    <w:rsid w:val="61091DD5"/>
    <w:rsid w:val="610F698F"/>
    <w:rsid w:val="611304E9"/>
    <w:rsid w:val="61186287"/>
    <w:rsid w:val="611C2C6C"/>
    <w:rsid w:val="612079FB"/>
    <w:rsid w:val="612167D8"/>
    <w:rsid w:val="61224752"/>
    <w:rsid w:val="61271031"/>
    <w:rsid w:val="612B10A9"/>
    <w:rsid w:val="613045F7"/>
    <w:rsid w:val="61323E7D"/>
    <w:rsid w:val="6145645F"/>
    <w:rsid w:val="614A68F9"/>
    <w:rsid w:val="614B50C1"/>
    <w:rsid w:val="614D07F9"/>
    <w:rsid w:val="61517443"/>
    <w:rsid w:val="616139C8"/>
    <w:rsid w:val="61684B1F"/>
    <w:rsid w:val="616B48FA"/>
    <w:rsid w:val="616F5BBC"/>
    <w:rsid w:val="61705093"/>
    <w:rsid w:val="61750468"/>
    <w:rsid w:val="61761D0A"/>
    <w:rsid w:val="617B172E"/>
    <w:rsid w:val="61820F7B"/>
    <w:rsid w:val="6182233B"/>
    <w:rsid w:val="618F5E5F"/>
    <w:rsid w:val="619A2136"/>
    <w:rsid w:val="619B49C8"/>
    <w:rsid w:val="61A23989"/>
    <w:rsid w:val="61A7126A"/>
    <w:rsid w:val="61B00A1E"/>
    <w:rsid w:val="61C06B4A"/>
    <w:rsid w:val="61C204D1"/>
    <w:rsid w:val="61C44FB6"/>
    <w:rsid w:val="61CA606C"/>
    <w:rsid w:val="61CB08BD"/>
    <w:rsid w:val="61CB22EF"/>
    <w:rsid w:val="61D22910"/>
    <w:rsid w:val="61D879B9"/>
    <w:rsid w:val="61D94AC0"/>
    <w:rsid w:val="61DB4C28"/>
    <w:rsid w:val="61DE243F"/>
    <w:rsid w:val="61E272EB"/>
    <w:rsid w:val="61E57F28"/>
    <w:rsid w:val="61EA4E6B"/>
    <w:rsid w:val="61EB205E"/>
    <w:rsid w:val="61F466F6"/>
    <w:rsid w:val="61F776B3"/>
    <w:rsid w:val="61F81C3A"/>
    <w:rsid w:val="61FE1375"/>
    <w:rsid w:val="62001C33"/>
    <w:rsid w:val="62006316"/>
    <w:rsid w:val="620279F8"/>
    <w:rsid w:val="620873DA"/>
    <w:rsid w:val="620E5129"/>
    <w:rsid w:val="621352DF"/>
    <w:rsid w:val="62144DB7"/>
    <w:rsid w:val="621A1E15"/>
    <w:rsid w:val="621A51B1"/>
    <w:rsid w:val="621B7911"/>
    <w:rsid w:val="621D7BEF"/>
    <w:rsid w:val="622149E2"/>
    <w:rsid w:val="62244482"/>
    <w:rsid w:val="622446F8"/>
    <w:rsid w:val="622C2A0D"/>
    <w:rsid w:val="623065F6"/>
    <w:rsid w:val="623503C6"/>
    <w:rsid w:val="623600B0"/>
    <w:rsid w:val="62360CE8"/>
    <w:rsid w:val="6236217E"/>
    <w:rsid w:val="62364403"/>
    <w:rsid w:val="62387CD2"/>
    <w:rsid w:val="623E0D13"/>
    <w:rsid w:val="62436960"/>
    <w:rsid w:val="62481B92"/>
    <w:rsid w:val="624A6E1D"/>
    <w:rsid w:val="624B3430"/>
    <w:rsid w:val="624B7DDA"/>
    <w:rsid w:val="624D4792"/>
    <w:rsid w:val="6254757F"/>
    <w:rsid w:val="625B18C5"/>
    <w:rsid w:val="625B5C3E"/>
    <w:rsid w:val="625C6B16"/>
    <w:rsid w:val="625F53CD"/>
    <w:rsid w:val="62604FDE"/>
    <w:rsid w:val="6261344F"/>
    <w:rsid w:val="626252C2"/>
    <w:rsid w:val="627B5880"/>
    <w:rsid w:val="627D5CDF"/>
    <w:rsid w:val="627F5228"/>
    <w:rsid w:val="62842E61"/>
    <w:rsid w:val="628622AD"/>
    <w:rsid w:val="628773F6"/>
    <w:rsid w:val="628950F7"/>
    <w:rsid w:val="62927FE3"/>
    <w:rsid w:val="629302A3"/>
    <w:rsid w:val="6294124F"/>
    <w:rsid w:val="629F5000"/>
    <w:rsid w:val="62A22CA2"/>
    <w:rsid w:val="62A52B40"/>
    <w:rsid w:val="62AB4B55"/>
    <w:rsid w:val="62B15989"/>
    <w:rsid w:val="62B24BE1"/>
    <w:rsid w:val="62B92A90"/>
    <w:rsid w:val="62B96E86"/>
    <w:rsid w:val="62C051BD"/>
    <w:rsid w:val="62C21705"/>
    <w:rsid w:val="62C531E2"/>
    <w:rsid w:val="62C93001"/>
    <w:rsid w:val="62CC7B9D"/>
    <w:rsid w:val="62CF4061"/>
    <w:rsid w:val="62D17676"/>
    <w:rsid w:val="62D32BA1"/>
    <w:rsid w:val="62D54750"/>
    <w:rsid w:val="62E07BBA"/>
    <w:rsid w:val="62EC317A"/>
    <w:rsid w:val="63014E63"/>
    <w:rsid w:val="63025A66"/>
    <w:rsid w:val="63027145"/>
    <w:rsid w:val="63027E85"/>
    <w:rsid w:val="630602F5"/>
    <w:rsid w:val="63075750"/>
    <w:rsid w:val="630E477B"/>
    <w:rsid w:val="63126691"/>
    <w:rsid w:val="63161581"/>
    <w:rsid w:val="631877B6"/>
    <w:rsid w:val="6320666B"/>
    <w:rsid w:val="633571CC"/>
    <w:rsid w:val="633730F3"/>
    <w:rsid w:val="633B709F"/>
    <w:rsid w:val="633C4C22"/>
    <w:rsid w:val="634140BD"/>
    <w:rsid w:val="63455CC7"/>
    <w:rsid w:val="63464323"/>
    <w:rsid w:val="6348512C"/>
    <w:rsid w:val="634D0FFB"/>
    <w:rsid w:val="634D4E50"/>
    <w:rsid w:val="634D6D58"/>
    <w:rsid w:val="63587FB8"/>
    <w:rsid w:val="63607B63"/>
    <w:rsid w:val="63615330"/>
    <w:rsid w:val="63635E2F"/>
    <w:rsid w:val="636451F8"/>
    <w:rsid w:val="636A3638"/>
    <w:rsid w:val="636E2187"/>
    <w:rsid w:val="6372606D"/>
    <w:rsid w:val="637500A0"/>
    <w:rsid w:val="637864A7"/>
    <w:rsid w:val="637B1E71"/>
    <w:rsid w:val="63831968"/>
    <w:rsid w:val="63864396"/>
    <w:rsid w:val="63884BE0"/>
    <w:rsid w:val="638B06E1"/>
    <w:rsid w:val="63923474"/>
    <w:rsid w:val="63970658"/>
    <w:rsid w:val="639A710C"/>
    <w:rsid w:val="639E7974"/>
    <w:rsid w:val="63A53B36"/>
    <w:rsid w:val="63A86F13"/>
    <w:rsid w:val="63AA6B2C"/>
    <w:rsid w:val="63AC40B1"/>
    <w:rsid w:val="63AC7B01"/>
    <w:rsid w:val="63AD43A2"/>
    <w:rsid w:val="63B069B7"/>
    <w:rsid w:val="63B33920"/>
    <w:rsid w:val="63B52018"/>
    <w:rsid w:val="63B97FD0"/>
    <w:rsid w:val="63BA212F"/>
    <w:rsid w:val="63BB55DA"/>
    <w:rsid w:val="63C536A7"/>
    <w:rsid w:val="63C74D38"/>
    <w:rsid w:val="63C85E2C"/>
    <w:rsid w:val="63D26F65"/>
    <w:rsid w:val="63D47B81"/>
    <w:rsid w:val="63D92960"/>
    <w:rsid w:val="63DE27AE"/>
    <w:rsid w:val="63E13B71"/>
    <w:rsid w:val="63E35F3A"/>
    <w:rsid w:val="63E91B90"/>
    <w:rsid w:val="63EC4F0E"/>
    <w:rsid w:val="63F11413"/>
    <w:rsid w:val="63F12198"/>
    <w:rsid w:val="63F334E7"/>
    <w:rsid w:val="63F43D7F"/>
    <w:rsid w:val="63F84086"/>
    <w:rsid w:val="63FC288F"/>
    <w:rsid w:val="63FE69AC"/>
    <w:rsid w:val="63FF4C2E"/>
    <w:rsid w:val="64012005"/>
    <w:rsid w:val="64026BBB"/>
    <w:rsid w:val="64075D66"/>
    <w:rsid w:val="640F4477"/>
    <w:rsid w:val="6416019A"/>
    <w:rsid w:val="6419743D"/>
    <w:rsid w:val="6420379D"/>
    <w:rsid w:val="642D197F"/>
    <w:rsid w:val="642F4DB7"/>
    <w:rsid w:val="6430676A"/>
    <w:rsid w:val="64351649"/>
    <w:rsid w:val="643811A9"/>
    <w:rsid w:val="643B6DF3"/>
    <w:rsid w:val="643E6049"/>
    <w:rsid w:val="64436AB5"/>
    <w:rsid w:val="64505561"/>
    <w:rsid w:val="6451172E"/>
    <w:rsid w:val="645A17BF"/>
    <w:rsid w:val="645B218B"/>
    <w:rsid w:val="645D0F75"/>
    <w:rsid w:val="64630F05"/>
    <w:rsid w:val="64640FD6"/>
    <w:rsid w:val="64667B28"/>
    <w:rsid w:val="646949A2"/>
    <w:rsid w:val="646A0B7C"/>
    <w:rsid w:val="646E6EC8"/>
    <w:rsid w:val="64752152"/>
    <w:rsid w:val="647710BF"/>
    <w:rsid w:val="64791C0F"/>
    <w:rsid w:val="647926B6"/>
    <w:rsid w:val="647A4FD2"/>
    <w:rsid w:val="647F6B9A"/>
    <w:rsid w:val="64802D6E"/>
    <w:rsid w:val="6481537F"/>
    <w:rsid w:val="648209AC"/>
    <w:rsid w:val="648F56C4"/>
    <w:rsid w:val="64921F12"/>
    <w:rsid w:val="649648C4"/>
    <w:rsid w:val="64973009"/>
    <w:rsid w:val="649C135E"/>
    <w:rsid w:val="64A10CEF"/>
    <w:rsid w:val="64A30E44"/>
    <w:rsid w:val="64A37A75"/>
    <w:rsid w:val="64A45340"/>
    <w:rsid w:val="64A5354D"/>
    <w:rsid w:val="64A627C1"/>
    <w:rsid w:val="64AC63B8"/>
    <w:rsid w:val="64AC6408"/>
    <w:rsid w:val="64B004F2"/>
    <w:rsid w:val="64B56841"/>
    <w:rsid w:val="64B61035"/>
    <w:rsid w:val="64B7696A"/>
    <w:rsid w:val="64BC23C3"/>
    <w:rsid w:val="64BF2823"/>
    <w:rsid w:val="64C537A6"/>
    <w:rsid w:val="64D30230"/>
    <w:rsid w:val="64D63E20"/>
    <w:rsid w:val="64D72FAF"/>
    <w:rsid w:val="64D81ED5"/>
    <w:rsid w:val="64D85ADD"/>
    <w:rsid w:val="64DD39E4"/>
    <w:rsid w:val="64E01C49"/>
    <w:rsid w:val="64E45A26"/>
    <w:rsid w:val="64E8140A"/>
    <w:rsid w:val="64E93BEF"/>
    <w:rsid w:val="64F31493"/>
    <w:rsid w:val="64F47DAF"/>
    <w:rsid w:val="64F76E02"/>
    <w:rsid w:val="64FA0716"/>
    <w:rsid w:val="64FB015D"/>
    <w:rsid w:val="64FC60A7"/>
    <w:rsid w:val="65034DED"/>
    <w:rsid w:val="65044496"/>
    <w:rsid w:val="65085608"/>
    <w:rsid w:val="650B4776"/>
    <w:rsid w:val="65182A1E"/>
    <w:rsid w:val="65194470"/>
    <w:rsid w:val="652579C5"/>
    <w:rsid w:val="652F1ED5"/>
    <w:rsid w:val="65333907"/>
    <w:rsid w:val="65341AB7"/>
    <w:rsid w:val="6535257A"/>
    <w:rsid w:val="653B271E"/>
    <w:rsid w:val="653D34A1"/>
    <w:rsid w:val="653D3F17"/>
    <w:rsid w:val="654C0A01"/>
    <w:rsid w:val="654C400E"/>
    <w:rsid w:val="654D3603"/>
    <w:rsid w:val="654D7969"/>
    <w:rsid w:val="65586BE3"/>
    <w:rsid w:val="655C6B59"/>
    <w:rsid w:val="655D369B"/>
    <w:rsid w:val="65611AE9"/>
    <w:rsid w:val="65622F6B"/>
    <w:rsid w:val="65624DEB"/>
    <w:rsid w:val="65642043"/>
    <w:rsid w:val="65717E39"/>
    <w:rsid w:val="657473F4"/>
    <w:rsid w:val="65760643"/>
    <w:rsid w:val="658123CB"/>
    <w:rsid w:val="658837DB"/>
    <w:rsid w:val="65895ACC"/>
    <w:rsid w:val="65931D3A"/>
    <w:rsid w:val="659822DD"/>
    <w:rsid w:val="65982448"/>
    <w:rsid w:val="65A219CF"/>
    <w:rsid w:val="65A3380C"/>
    <w:rsid w:val="65AD2600"/>
    <w:rsid w:val="65B0017A"/>
    <w:rsid w:val="65B44DD6"/>
    <w:rsid w:val="65C01578"/>
    <w:rsid w:val="65C23A09"/>
    <w:rsid w:val="65C43767"/>
    <w:rsid w:val="65C43B43"/>
    <w:rsid w:val="65D21F83"/>
    <w:rsid w:val="65D60201"/>
    <w:rsid w:val="65D62648"/>
    <w:rsid w:val="65D8322D"/>
    <w:rsid w:val="65D95B4E"/>
    <w:rsid w:val="65DF6369"/>
    <w:rsid w:val="65E174B2"/>
    <w:rsid w:val="65E31C55"/>
    <w:rsid w:val="65E57CC9"/>
    <w:rsid w:val="65E9368C"/>
    <w:rsid w:val="65ED5D93"/>
    <w:rsid w:val="65EF47B9"/>
    <w:rsid w:val="65F01AB4"/>
    <w:rsid w:val="65F8423D"/>
    <w:rsid w:val="65FA6585"/>
    <w:rsid w:val="65FE7F42"/>
    <w:rsid w:val="65FF1E6C"/>
    <w:rsid w:val="66016621"/>
    <w:rsid w:val="6601664A"/>
    <w:rsid w:val="660B3DE6"/>
    <w:rsid w:val="660B5925"/>
    <w:rsid w:val="660D7671"/>
    <w:rsid w:val="66100967"/>
    <w:rsid w:val="661E3335"/>
    <w:rsid w:val="6623094C"/>
    <w:rsid w:val="66264581"/>
    <w:rsid w:val="6627119C"/>
    <w:rsid w:val="662720D2"/>
    <w:rsid w:val="66291CDA"/>
    <w:rsid w:val="662A5B8E"/>
    <w:rsid w:val="662A7A0E"/>
    <w:rsid w:val="662D7A6E"/>
    <w:rsid w:val="662F3E9F"/>
    <w:rsid w:val="66312FB6"/>
    <w:rsid w:val="663219D1"/>
    <w:rsid w:val="663761A5"/>
    <w:rsid w:val="663955FC"/>
    <w:rsid w:val="663A5586"/>
    <w:rsid w:val="663B696B"/>
    <w:rsid w:val="664334EE"/>
    <w:rsid w:val="66477914"/>
    <w:rsid w:val="664E3FE8"/>
    <w:rsid w:val="6653533F"/>
    <w:rsid w:val="66646397"/>
    <w:rsid w:val="66653D48"/>
    <w:rsid w:val="66687B6A"/>
    <w:rsid w:val="666A04BB"/>
    <w:rsid w:val="666B7001"/>
    <w:rsid w:val="666D301C"/>
    <w:rsid w:val="66734CD3"/>
    <w:rsid w:val="66787D8A"/>
    <w:rsid w:val="667A0559"/>
    <w:rsid w:val="667C005C"/>
    <w:rsid w:val="667D75EA"/>
    <w:rsid w:val="66860EDB"/>
    <w:rsid w:val="668C6D2B"/>
    <w:rsid w:val="668E014F"/>
    <w:rsid w:val="668F7D8F"/>
    <w:rsid w:val="669A1F4A"/>
    <w:rsid w:val="669C06FE"/>
    <w:rsid w:val="669D0FFF"/>
    <w:rsid w:val="66A37B86"/>
    <w:rsid w:val="66A77854"/>
    <w:rsid w:val="66AA4416"/>
    <w:rsid w:val="66B87247"/>
    <w:rsid w:val="66BC66AA"/>
    <w:rsid w:val="66C1139D"/>
    <w:rsid w:val="66C11F13"/>
    <w:rsid w:val="66C82EFB"/>
    <w:rsid w:val="66C86704"/>
    <w:rsid w:val="66CC0FE3"/>
    <w:rsid w:val="66D03707"/>
    <w:rsid w:val="66D12486"/>
    <w:rsid w:val="66D4710B"/>
    <w:rsid w:val="66D87459"/>
    <w:rsid w:val="66D94502"/>
    <w:rsid w:val="66D973F3"/>
    <w:rsid w:val="66DC1DC6"/>
    <w:rsid w:val="66DC5B3F"/>
    <w:rsid w:val="66DC5FE9"/>
    <w:rsid w:val="66DF50F6"/>
    <w:rsid w:val="66E03F2D"/>
    <w:rsid w:val="66E6099B"/>
    <w:rsid w:val="66E63727"/>
    <w:rsid w:val="66F1031A"/>
    <w:rsid w:val="66F26A60"/>
    <w:rsid w:val="66F77C12"/>
    <w:rsid w:val="66F812D6"/>
    <w:rsid w:val="670267B3"/>
    <w:rsid w:val="670276DF"/>
    <w:rsid w:val="6703116C"/>
    <w:rsid w:val="67060408"/>
    <w:rsid w:val="670D7BFB"/>
    <w:rsid w:val="67105321"/>
    <w:rsid w:val="67155BC7"/>
    <w:rsid w:val="67296B1B"/>
    <w:rsid w:val="67381AD5"/>
    <w:rsid w:val="673D7A3A"/>
    <w:rsid w:val="674B66AD"/>
    <w:rsid w:val="675112D0"/>
    <w:rsid w:val="675B55F3"/>
    <w:rsid w:val="675E2286"/>
    <w:rsid w:val="675F3441"/>
    <w:rsid w:val="67692393"/>
    <w:rsid w:val="676A5052"/>
    <w:rsid w:val="676E209B"/>
    <w:rsid w:val="676E7F3D"/>
    <w:rsid w:val="67704FAD"/>
    <w:rsid w:val="67740045"/>
    <w:rsid w:val="67780823"/>
    <w:rsid w:val="677A20C1"/>
    <w:rsid w:val="677A520C"/>
    <w:rsid w:val="677A547F"/>
    <w:rsid w:val="677B1748"/>
    <w:rsid w:val="677E4332"/>
    <w:rsid w:val="678070A8"/>
    <w:rsid w:val="67814CA0"/>
    <w:rsid w:val="6781689D"/>
    <w:rsid w:val="67836156"/>
    <w:rsid w:val="67846860"/>
    <w:rsid w:val="678E03A2"/>
    <w:rsid w:val="678E6700"/>
    <w:rsid w:val="679715F1"/>
    <w:rsid w:val="679B40CF"/>
    <w:rsid w:val="67A27CC2"/>
    <w:rsid w:val="67A45ABC"/>
    <w:rsid w:val="67A60B9C"/>
    <w:rsid w:val="67A61834"/>
    <w:rsid w:val="67AB06F9"/>
    <w:rsid w:val="67AC30A1"/>
    <w:rsid w:val="67AD0F3F"/>
    <w:rsid w:val="67AE20A4"/>
    <w:rsid w:val="67B6759E"/>
    <w:rsid w:val="67BC66F9"/>
    <w:rsid w:val="67C12948"/>
    <w:rsid w:val="67C25F42"/>
    <w:rsid w:val="67CE48E7"/>
    <w:rsid w:val="67DA041D"/>
    <w:rsid w:val="67DA6592"/>
    <w:rsid w:val="67DB0DB2"/>
    <w:rsid w:val="67DD2E72"/>
    <w:rsid w:val="67E10434"/>
    <w:rsid w:val="67E1286C"/>
    <w:rsid w:val="67E35CBC"/>
    <w:rsid w:val="67E7176C"/>
    <w:rsid w:val="67E73BFB"/>
    <w:rsid w:val="67EA57D2"/>
    <w:rsid w:val="67EF30B3"/>
    <w:rsid w:val="67F313FA"/>
    <w:rsid w:val="68061993"/>
    <w:rsid w:val="680D0939"/>
    <w:rsid w:val="68130731"/>
    <w:rsid w:val="68237FD2"/>
    <w:rsid w:val="682D0A6C"/>
    <w:rsid w:val="682F0D1A"/>
    <w:rsid w:val="68304693"/>
    <w:rsid w:val="68394CF3"/>
    <w:rsid w:val="683D381B"/>
    <w:rsid w:val="684557CE"/>
    <w:rsid w:val="684626D0"/>
    <w:rsid w:val="68466D27"/>
    <w:rsid w:val="6849609F"/>
    <w:rsid w:val="684A6E18"/>
    <w:rsid w:val="68527C4A"/>
    <w:rsid w:val="68555008"/>
    <w:rsid w:val="68595D01"/>
    <w:rsid w:val="685C36DF"/>
    <w:rsid w:val="685F1B8A"/>
    <w:rsid w:val="686314D3"/>
    <w:rsid w:val="686354B0"/>
    <w:rsid w:val="68646C6B"/>
    <w:rsid w:val="68680898"/>
    <w:rsid w:val="68694E7B"/>
    <w:rsid w:val="686D127F"/>
    <w:rsid w:val="686E60C8"/>
    <w:rsid w:val="686E7A7B"/>
    <w:rsid w:val="687067F6"/>
    <w:rsid w:val="68747A3A"/>
    <w:rsid w:val="68757459"/>
    <w:rsid w:val="687731D1"/>
    <w:rsid w:val="68784853"/>
    <w:rsid w:val="68802A41"/>
    <w:rsid w:val="688C4647"/>
    <w:rsid w:val="689078F6"/>
    <w:rsid w:val="68912C6E"/>
    <w:rsid w:val="689304A0"/>
    <w:rsid w:val="689D07A2"/>
    <w:rsid w:val="68A67612"/>
    <w:rsid w:val="68AA7102"/>
    <w:rsid w:val="68AF2B87"/>
    <w:rsid w:val="68B00491"/>
    <w:rsid w:val="68B20ED3"/>
    <w:rsid w:val="68B90FA1"/>
    <w:rsid w:val="68B93D81"/>
    <w:rsid w:val="68BA16EF"/>
    <w:rsid w:val="68BF219B"/>
    <w:rsid w:val="68C70336"/>
    <w:rsid w:val="68D17DB2"/>
    <w:rsid w:val="68D66149"/>
    <w:rsid w:val="68DD5DD6"/>
    <w:rsid w:val="68E322A8"/>
    <w:rsid w:val="68E3352F"/>
    <w:rsid w:val="68E47B05"/>
    <w:rsid w:val="68E65278"/>
    <w:rsid w:val="68EA39A3"/>
    <w:rsid w:val="68EC04DE"/>
    <w:rsid w:val="68F55EA4"/>
    <w:rsid w:val="68F91E38"/>
    <w:rsid w:val="68FB3625"/>
    <w:rsid w:val="68FC7FC0"/>
    <w:rsid w:val="68FF4226"/>
    <w:rsid w:val="69022832"/>
    <w:rsid w:val="690578F0"/>
    <w:rsid w:val="69093CAF"/>
    <w:rsid w:val="690B66CE"/>
    <w:rsid w:val="690B7063"/>
    <w:rsid w:val="690B7520"/>
    <w:rsid w:val="69110F2F"/>
    <w:rsid w:val="691200AE"/>
    <w:rsid w:val="69137922"/>
    <w:rsid w:val="691439F4"/>
    <w:rsid w:val="69152147"/>
    <w:rsid w:val="692E7E6B"/>
    <w:rsid w:val="69317031"/>
    <w:rsid w:val="69390486"/>
    <w:rsid w:val="693A1EA3"/>
    <w:rsid w:val="693B5FAC"/>
    <w:rsid w:val="693E4A79"/>
    <w:rsid w:val="69447204"/>
    <w:rsid w:val="694A5787"/>
    <w:rsid w:val="6950151A"/>
    <w:rsid w:val="695373E0"/>
    <w:rsid w:val="696131F9"/>
    <w:rsid w:val="69630248"/>
    <w:rsid w:val="69642235"/>
    <w:rsid w:val="69647D29"/>
    <w:rsid w:val="6966192A"/>
    <w:rsid w:val="696F1F2A"/>
    <w:rsid w:val="696F3EA8"/>
    <w:rsid w:val="696F6CE6"/>
    <w:rsid w:val="69774629"/>
    <w:rsid w:val="697A47E0"/>
    <w:rsid w:val="697C5B7B"/>
    <w:rsid w:val="697E74B0"/>
    <w:rsid w:val="69807E63"/>
    <w:rsid w:val="69842B01"/>
    <w:rsid w:val="698D0B45"/>
    <w:rsid w:val="698E07D2"/>
    <w:rsid w:val="6992357A"/>
    <w:rsid w:val="69935DE8"/>
    <w:rsid w:val="69964E32"/>
    <w:rsid w:val="69992909"/>
    <w:rsid w:val="69A04B88"/>
    <w:rsid w:val="69AB1271"/>
    <w:rsid w:val="69B03281"/>
    <w:rsid w:val="69B64F85"/>
    <w:rsid w:val="69BA55BE"/>
    <w:rsid w:val="69BB1CEB"/>
    <w:rsid w:val="69BB70ED"/>
    <w:rsid w:val="69BD2E65"/>
    <w:rsid w:val="69C76718"/>
    <w:rsid w:val="69C94295"/>
    <w:rsid w:val="69CB47D7"/>
    <w:rsid w:val="69CC74BA"/>
    <w:rsid w:val="69CE01B8"/>
    <w:rsid w:val="69CE56DF"/>
    <w:rsid w:val="69CF00C0"/>
    <w:rsid w:val="69D85016"/>
    <w:rsid w:val="69D863D1"/>
    <w:rsid w:val="69DA3DA8"/>
    <w:rsid w:val="69DA61FE"/>
    <w:rsid w:val="69DD38E7"/>
    <w:rsid w:val="69E3371C"/>
    <w:rsid w:val="69E67C99"/>
    <w:rsid w:val="69E76134"/>
    <w:rsid w:val="69E93FCD"/>
    <w:rsid w:val="69E95A08"/>
    <w:rsid w:val="69EA2DBD"/>
    <w:rsid w:val="69ED03AA"/>
    <w:rsid w:val="69EE58FD"/>
    <w:rsid w:val="69F75721"/>
    <w:rsid w:val="6A0456C2"/>
    <w:rsid w:val="6A0A518E"/>
    <w:rsid w:val="6A0B1654"/>
    <w:rsid w:val="6A0C1240"/>
    <w:rsid w:val="6A0E13F3"/>
    <w:rsid w:val="6A0E6EBA"/>
    <w:rsid w:val="6A132F25"/>
    <w:rsid w:val="6A161408"/>
    <w:rsid w:val="6A1A717B"/>
    <w:rsid w:val="6A220495"/>
    <w:rsid w:val="6A284420"/>
    <w:rsid w:val="6A2C4B95"/>
    <w:rsid w:val="6A305C56"/>
    <w:rsid w:val="6A320549"/>
    <w:rsid w:val="6A3C135F"/>
    <w:rsid w:val="6A3D558C"/>
    <w:rsid w:val="6A441179"/>
    <w:rsid w:val="6A470CAC"/>
    <w:rsid w:val="6A477104"/>
    <w:rsid w:val="6A49525E"/>
    <w:rsid w:val="6A4D4C5B"/>
    <w:rsid w:val="6A52123E"/>
    <w:rsid w:val="6A5318E5"/>
    <w:rsid w:val="6A5C442C"/>
    <w:rsid w:val="6A5E1976"/>
    <w:rsid w:val="6A617C95"/>
    <w:rsid w:val="6A641533"/>
    <w:rsid w:val="6A6D40BC"/>
    <w:rsid w:val="6A721EA2"/>
    <w:rsid w:val="6A7718D3"/>
    <w:rsid w:val="6A7774B8"/>
    <w:rsid w:val="6A817C93"/>
    <w:rsid w:val="6A83685F"/>
    <w:rsid w:val="6A871F0C"/>
    <w:rsid w:val="6A871F42"/>
    <w:rsid w:val="6A877F85"/>
    <w:rsid w:val="6A89533F"/>
    <w:rsid w:val="6A90546D"/>
    <w:rsid w:val="6A944EDC"/>
    <w:rsid w:val="6AA320BF"/>
    <w:rsid w:val="6AA46A60"/>
    <w:rsid w:val="6AA941ED"/>
    <w:rsid w:val="6AAD425D"/>
    <w:rsid w:val="6AB03DD7"/>
    <w:rsid w:val="6AB149CC"/>
    <w:rsid w:val="6AB5047B"/>
    <w:rsid w:val="6AB5211E"/>
    <w:rsid w:val="6ABF0E6A"/>
    <w:rsid w:val="6AC36259"/>
    <w:rsid w:val="6AC774B9"/>
    <w:rsid w:val="6AC92B68"/>
    <w:rsid w:val="6ACC5E97"/>
    <w:rsid w:val="6ACD0E86"/>
    <w:rsid w:val="6ACE1E75"/>
    <w:rsid w:val="6AD06207"/>
    <w:rsid w:val="6AD97F5A"/>
    <w:rsid w:val="6AE03108"/>
    <w:rsid w:val="6AEE2FDC"/>
    <w:rsid w:val="6AF42FD3"/>
    <w:rsid w:val="6AF50E98"/>
    <w:rsid w:val="6AF97ECD"/>
    <w:rsid w:val="6B030D4C"/>
    <w:rsid w:val="6B037194"/>
    <w:rsid w:val="6B05038A"/>
    <w:rsid w:val="6B20071F"/>
    <w:rsid w:val="6B242712"/>
    <w:rsid w:val="6B272C8C"/>
    <w:rsid w:val="6B2A3E4F"/>
    <w:rsid w:val="6B2B66DF"/>
    <w:rsid w:val="6B2C321E"/>
    <w:rsid w:val="6B321CB0"/>
    <w:rsid w:val="6B340F05"/>
    <w:rsid w:val="6B3420FD"/>
    <w:rsid w:val="6B361121"/>
    <w:rsid w:val="6B3C4311"/>
    <w:rsid w:val="6B3D24B0"/>
    <w:rsid w:val="6B3F2BDC"/>
    <w:rsid w:val="6B4A1BD3"/>
    <w:rsid w:val="6B5F4D5D"/>
    <w:rsid w:val="6B63047C"/>
    <w:rsid w:val="6B656219"/>
    <w:rsid w:val="6B6B2369"/>
    <w:rsid w:val="6B703894"/>
    <w:rsid w:val="6B721A2E"/>
    <w:rsid w:val="6B776695"/>
    <w:rsid w:val="6B8162AE"/>
    <w:rsid w:val="6B8375B6"/>
    <w:rsid w:val="6B87197D"/>
    <w:rsid w:val="6B8829BB"/>
    <w:rsid w:val="6B895A27"/>
    <w:rsid w:val="6B8A0EE1"/>
    <w:rsid w:val="6B8D27C1"/>
    <w:rsid w:val="6B8E51B4"/>
    <w:rsid w:val="6B9A59AF"/>
    <w:rsid w:val="6B9D54CB"/>
    <w:rsid w:val="6BA076F0"/>
    <w:rsid w:val="6BA373BC"/>
    <w:rsid w:val="6BA8544F"/>
    <w:rsid w:val="6BA86459"/>
    <w:rsid w:val="6BAD7FAD"/>
    <w:rsid w:val="6BAF081D"/>
    <w:rsid w:val="6BB169FA"/>
    <w:rsid w:val="6BB42748"/>
    <w:rsid w:val="6BBA6316"/>
    <w:rsid w:val="6BBB2B0A"/>
    <w:rsid w:val="6BC12E9F"/>
    <w:rsid w:val="6BC244FE"/>
    <w:rsid w:val="6BC3763E"/>
    <w:rsid w:val="6BC568DE"/>
    <w:rsid w:val="6BCA00F3"/>
    <w:rsid w:val="6BD2215A"/>
    <w:rsid w:val="6BD36970"/>
    <w:rsid w:val="6BD563C1"/>
    <w:rsid w:val="6BD825EB"/>
    <w:rsid w:val="6BDA756C"/>
    <w:rsid w:val="6BDB0DC9"/>
    <w:rsid w:val="6BDC6711"/>
    <w:rsid w:val="6BDD2514"/>
    <w:rsid w:val="6BE1670A"/>
    <w:rsid w:val="6BE317ED"/>
    <w:rsid w:val="6BE62E60"/>
    <w:rsid w:val="6BEB340B"/>
    <w:rsid w:val="6BF74D08"/>
    <w:rsid w:val="6BF8288C"/>
    <w:rsid w:val="6BFE0F82"/>
    <w:rsid w:val="6BFE3A18"/>
    <w:rsid w:val="6BFF36AF"/>
    <w:rsid w:val="6C0A7926"/>
    <w:rsid w:val="6C111246"/>
    <w:rsid w:val="6C144674"/>
    <w:rsid w:val="6C163E7A"/>
    <w:rsid w:val="6C173279"/>
    <w:rsid w:val="6C185E54"/>
    <w:rsid w:val="6C265396"/>
    <w:rsid w:val="6C266100"/>
    <w:rsid w:val="6C2A325F"/>
    <w:rsid w:val="6C2C2B1D"/>
    <w:rsid w:val="6C2C7131"/>
    <w:rsid w:val="6C2D1579"/>
    <w:rsid w:val="6C2E38EE"/>
    <w:rsid w:val="6C3252B7"/>
    <w:rsid w:val="6C3811AE"/>
    <w:rsid w:val="6C407BBB"/>
    <w:rsid w:val="6C4240F9"/>
    <w:rsid w:val="6C4B13A2"/>
    <w:rsid w:val="6C4D6722"/>
    <w:rsid w:val="6C4E6FC1"/>
    <w:rsid w:val="6C4F4650"/>
    <w:rsid w:val="6C5164C2"/>
    <w:rsid w:val="6C51775B"/>
    <w:rsid w:val="6C520EAB"/>
    <w:rsid w:val="6C530C10"/>
    <w:rsid w:val="6C561C66"/>
    <w:rsid w:val="6C576A17"/>
    <w:rsid w:val="6C5A7C87"/>
    <w:rsid w:val="6C602F3C"/>
    <w:rsid w:val="6C647BD2"/>
    <w:rsid w:val="6C6E6E7F"/>
    <w:rsid w:val="6C752566"/>
    <w:rsid w:val="6C774EA5"/>
    <w:rsid w:val="6C77611C"/>
    <w:rsid w:val="6C782D13"/>
    <w:rsid w:val="6C7A1CE6"/>
    <w:rsid w:val="6C7A799E"/>
    <w:rsid w:val="6C7D1340"/>
    <w:rsid w:val="6C7E26F9"/>
    <w:rsid w:val="6C7F4402"/>
    <w:rsid w:val="6C8163CC"/>
    <w:rsid w:val="6C81770F"/>
    <w:rsid w:val="6C8A7F22"/>
    <w:rsid w:val="6C8E2466"/>
    <w:rsid w:val="6C8E6D3B"/>
    <w:rsid w:val="6C920A95"/>
    <w:rsid w:val="6C995287"/>
    <w:rsid w:val="6C9B2C0E"/>
    <w:rsid w:val="6C9D26A9"/>
    <w:rsid w:val="6CA21EAA"/>
    <w:rsid w:val="6CA62BCF"/>
    <w:rsid w:val="6CAC2E15"/>
    <w:rsid w:val="6CB13E81"/>
    <w:rsid w:val="6CB30550"/>
    <w:rsid w:val="6CB338B3"/>
    <w:rsid w:val="6CB561E6"/>
    <w:rsid w:val="6CB87914"/>
    <w:rsid w:val="6CBC16C5"/>
    <w:rsid w:val="6CBF0233"/>
    <w:rsid w:val="6CC02E2E"/>
    <w:rsid w:val="6CC13DA5"/>
    <w:rsid w:val="6CC16C42"/>
    <w:rsid w:val="6CC17618"/>
    <w:rsid w:val="6CC34B10"/>
    <w:rsid w:val="6CD04B41"/>
    <w:rsid w:val="6CD96E67"/>
    <w:rsid w:val="6CDC2D7F"/>
    <w:rsid w:val="6CDD0A3D"/>
    <w:rsid w:val="6CE27AF9"/>
    <w:rsid w:val="6CE30221"/>
    <w:rsid w:val="6CE801F9"/>
    <w:rsid w:val="6CEB7CE9"/>
    <w:rsid w:val="6CEC7AAB"/>
    <w:rsid w:val="6CED3A62"/>
    <w:rsid w:val="6CF83B19"/>
    <w:rsid w:val="6D001895"/>
    <w:rsid w:val="6D0019E7"/>
    <w:rsid w:val="6D0269B0"/>
    <w:rsid w:val="6D052272"/>
    <w:rsid w:val="6D061516"/>
    <w:rsid w:val="6D084CF2"/>
    <w:rsid w:val="6D1458CB"/>
    <w:rsid w:val="6D1B4843"/>
    <w:rsid w:val="6D1C06E9"/>
    <w:rsid w:val="6D1C083E"/>
    <w:rsid w:val="6D1C60F5"/>
    <w:rsid w:val="6D1E3C1B"/>
    <w:rsid w:val="6D1F63B8"/>
    <w:rsid w:val="6D242CB5"/>
    <w:rsid w:val="6D262AD0"/>
    <w:rsid w:val="6D324CAD"/>
    <w:rsid w:val="6D347211"/>
    <w:rsid w:val="6D347EA9"/>
    <w:rsid w:val="6D351D7E"/>
    <w:rsid w:val="6D386416"/>
    <w:rsid w:val="6D3A1767"/>
    <w:rsid w:val="6D3B587B"/>
    <w:rsid w:val="6D3E2288"/>
    <w:rsid w:val="6D475F85"/>
    <w:rsid w:val="6D4D62AE"/>
    <w:rsid w:val="6D563923"/>
    <w:rsid w:val="6D594AFC"/>
    <w:rsid w:val="6D5B1838"/>
    <w:rsid w:val="6D5B4695"/>
    <w:rsid w:val="6D5E256C"/>
    <w:rsid w:val="6D62444F"/>
    <w:rsid w:val="6D696D90"/>
    <w:rsid w:val="6D6B0DDE"/>
    <w:rsid w:val="6D7B2E1B"/>
    <w:rsid w:val="6D7F25C1"/>
    <w:rsid w:val="6D82353D"/>
    <w:rsid w:val="6D83251E"/>
    <w:rsid w:val="6D8C5028"/>
    <w:rsid w:val="6D8E6FF3"/>
    <w:rsid w:val="6D8F68C7"/>
    <w:rsid w:val="6D907AD4"/>
    <w:rsid w:val="6D934609"/>
    <w:rsid w:val="6D9A6A75"/>
    <w:rsid w:val="6D9F3DD8"/>
    <w:rsid w:val="6DA02882"/>
    <w:rsid w:val="6DA36A5D"/>
    <w:rsid w:val="6DA5433C"/>
    <w:rsid w:val="6DAD2DB4"/>
    <w:rsid w:val="6DBB120B"/>
    <w:rsid w:val="6DBE1A43"/>
    <w:rsid w:val="6DCC5ABE"/>
    <w:rsid w:val="6DCF476F"/>
    <w:rsid w:val="6DCF6B61"/>
    <w:rsid w:val="6DD2377C"/>
    <w:rsid w:val="6DD4077E"/>
    <w:rsid w:val="6DD84A34"/>
    <w:rsid w:val="6DE445F0"/>
    <w:rsid w:val="6DE80006"/>
    <w:rsid w:val="6DE8775F"/>
    <w:rsid w:val="6DE94229"/>
    <w:rsid w:val="6DEC3919"/>
    <w:rsid w:val="6DF04651"/>
    <w:rsid w:val="6DF378FC"/>
    <w:rsid w:val="6DF37E0D"/>
    <w:rsid w:val="6DF825E5"/>
    <w:rsid w:val="6DFD5090"/>
    <w:rsid w:val="6E010E59"/>
    <w:rsid w:val="6E037B96"/>
    <w:rsid w:val="6E066A6C"/>
    <w:rsid w:val="6E0819B1"/>
    <w:rsid w:val="6E0D3650"/>
    <w:rsid w:val="6E0F4A6C"/>
    <w:rsid w:val="6E193D66"/>
    <w:rsid w:val="6E1D45CF"/>
    <w:rsid w:val="6E1F40EF"/>
    <w:rsid w:val="6E242651"/>
    <w:rsid w:val="6E261003"/>
    <w:rsid w:val="6E267563"/>
    <w:rsid w:val="6E282CF9"/>
    <w:rsid w:val="6E2D2C94"/>
    <w:rsid w:val="6E34121C"/>
    <w:rsid w:val="6E3760BB"/>
    <w:rsid w:val="6E405359"/>
    <w:rsid w:val="6E453A45"/>
    <w:rsid w:val="6E461B04"/>
    <w:rsid w:val="6E4A7A74"/>
    <w:rsid w:val="6E573888"/>
    <w:rsid w:val="6E582A2C"/>
    <w:rsid w:val="6E5C0E9F"/>
    <w:rsid w:val="6E5C40A5"/>
    <w:rsid w:val="6E5E5637"/>
    <w:rsid w:val="6E6011F9"/>
    <w:rsid w:val="6E605CAD"/>
    <w:rsid w:val="6E673F92"/>
    <w:rsid w:val="6E6B10E2"/>
    <w:rsid w:val="6E6B3471"/>
    <w:rsid w:val="6E6E1524"/>
    <w:rsid w:val="6E723906"/>
    <w:rsid w:val="6E742363"/>
    <w:rsid w:val="6E755ABD"/>
    <w:rsid w:val="6E79723B"/>
    <w:rsid w:val="6E7A1CD3"/>
    <w:rsid w:val="6E7E2890"/>
    <w:rsid w:val="6E825693"/>
    <w:rsid w:val="6E83620B"/>
    <w:rsid w:val="6E856B69"/>
    <w:rsid w:val="6E861EF1"/>
    <w:rsid w:val="6E9879FD"/>
    <w:rsid w:val="6E9C573F"/>
    <w:rsid w:val="6EA04EEC"/>
    <w:rsid w:val="6EA13BFA"/>
    <w:rsid w:val="6EA143DF"/>
    <w:rsid w:val="6EA168B2"/>
    <w:rsid w:val="6EA75E92"/>
    <w:rsid w:val="6EA76420"/>
    <w:rsid w:val="6EAC3BBA"/>
    <w:rsid w:val="6EB32A89"/>
    <w:rsid w:val="6EB34837"/>
    <w:rsid w:val="6EC15B86"/>
    <w:rsid w:val="6EC27990"/>
    <w:rsid w:val="6EC30BAF"/>
    <w:rsid w:val="6EC3664E"/>
    <w:rsid w:val="6EC543D7"/>
    <w:rsid w:val="6EC93A81"/>
    <w:rsid w:val="6ECC2114"/>
    <w:rsid w:val="6ED4453B"/>
    <w:rsid w:val="6ED8429D"/>
    <w:rsid w:val="6EDD0ED1"/>
    <w:rsid w:val="6EE54ACA"/>
    <w:rsid w:val="6EE90259"/>
    <w:rsid w:val="6EF7073F"/>
    <w:rsid w:val="6EFF229C"/>
    <w:rsid w:val="6F00588A"/>
    <w:rsid w:val="6F005E6B"/>
    <w:rsid w:val="6F06705D"/>
    <w:rsid w:val="6F084B83"/>
    <w:rsid w:val="6F087740"/>
    <w:rsid w:val="6F0F39F7"/>
    <w:rsid w:val="6F156665"/>
    <w:rsid w:val="6F156D3B"/>
    <w:rsid w:val="6F176B74"/>
    <w:rsid w:val="6F1A2251"/>
    <w:rsid w:val="6F20442D"/>
    <w:rsid w:val="6F2133AB"/>
    <w:rsid w:val="6F237A05"/>
    <w:rsid w:val="6F2A675D"/>
    <w:rsid w:val="6F2B0871"/>
    <w:rsid w:val="6F327939"/>
    <w:rsid w:val="6F345466"/>
    <w:rsid w:val="6F375468"/>
    <w:rsid w:val="6F3C122C"/>
    <w:rsid w:val="6F3F60CB"/>
    <w:rsid w:val="6F40038F"/>
    <w:rsid w:val="6F502086"/>
    <w:rsid w:val="6F5300D9"/>
    <w:rsid w:val="6F5469B6"/>
    <w:rsid w:val="6F58481A"/>
    <w:rsid w:val="6F6C6E54"/>
    <w:rsid w:val="6F751C27"/>
    <w:rsid w:val="6F757788"/>
    <w:rsid w:val="6F7E2090"/>
    <w:rsid w:val="6F823EA7"/>
    <w:rsid w:val="6F844DBC"/>
    <w:rsid w:val="6F854425"/>
    <w:rsid w:val="6F8715EB"/>
    <w:rsid w:val="6F8725F7"/>
    <w:rsid w:val="6F8C1686"/>
    <w:rsid w:val="6F910AD6"/>
    <w:rsid w:val="6F912DCA"/>
    <w:rsid w:val="6F914B78"/>
    <w:rsid w:val="6F945334"/>
    <w:rsid w:val="6F987FFD"/>
    <w:rsid w:val="6F9F666F"/>
    <w:rsid w:val="6FB04CCE"/>
    <w:rsid w:val="6FBD6232"/>
    <w:rsid w:val="6FC01F8F"/>
    <w:rsid w:val="6FC04153"/>
    <w:rsid w:val="6FCE5CBB"/>
    <w:rsid w:val="6FD827A7"/>
    <w:rsid w:val="6FD83206"/>
    <w:rsid w:val="6FDC1942"/>
    <w:rsid w:val="6FDE7692"/>
    <w:rsid w:val="6FE06C43"/>
    <w:rsid w:val="6FE20202"/>
    <w:rsid w:val="6FE365A4"/>
    <w:rsid w:val="6FE43F79"/>
    <w:rsid w:val="6FE9286B"/>
    <w:rsid w:val="6FEC283D"/>
    <w:rsid w:val="6FEC6C2B"/>
    <w:rsid w:val="6FEF778D"/>
    <w:rsid w:val="6FF12F5F"/>
    <w:rsid w:val="6FF93153"/>
    <w:rsid w:val="6FFA2C08"/>
    <w:rsid w:val="70032654"/>
    <w:rsid w:val="70087690"/>
    <w:rsid w:val="70090BB2"/>
    <w:rsid w:val="700C21C5"/>
    <w:rsid w:val="7012558D"/>
    <w:rsid w:val="70125F62"/>
    <w:rsid w:val="70165A1F"/>
    <w:rsid w:val="701E2184"/>
    <w:rsid w:val="702A275D"/>
    <w:rsid w:val="70313C65"/>
    <w:rsid w:val="70322E63"/>
    <w:rsid w:val="7032324F"/>
    <w:rsid w:val="70330DD9"/>
    <w:rsid w:val="703B4FED"/>
    <w:rsid w:val="703D65DA"/>
    <w:rsid w:val="703F5BF3"/>
    <w:rsid w:val="704240C4"/>
    <w:rsid w:val="70431857"/>
    <w:rsid w:val="70453BB5"/>
    <w:rsid w:val="704B68A8"/>
    <w:rsid w:val="704C260E"/>
    <w:rsid w:val="70543CE2"/>
    <w:rsid w:val="70545BA6"/>
    <w:rsid w:val="70561F0A"/>
    <w:rsid w:val="705B61C5"/>
    <w:rsid w:val="705B6F34"/>
    <w:rsid w:val="705E7EB1"/>
    <w:rsid w:val="706458F5"/>
    <w:rsid w:val="70661486"/>
    <w:rsid w:val="706C4E74"/>
    <w:rsid w:val="706E4EB9"/>
    <w:rsid w:val="707675BB"/>
    <w:rsid w:val="708227A9"/>
    <w:rsid w:val="7086436B"/>
    <w:rsid w:val="70891CF3"/>
    <w:rsid w:val="7089749A"/>
    <w:rsid w:val="708E13E1"/>
    <w:rsid w:val="7090341F"/>
    <w:rsid w:val="70934D6B"/>
    <w:rsid w:val="7099571F"/>
    <w:rsid w:val="709D2DEC"/>
    <w:rsid w:val="709D756E"/>
    <w:rsid w:val="709F20B3"/>
    <w:rsid w:val="70A01767"/>
    <w:rsid w:val="70AA46DF"/>
    <w:rsid w:val="70AE7531"/>
    <w:rsid w:val="70B05B00"/>
    <w:rsid w:val="70B07280"/>
    <w:rsid w:val="70B2393C"/>
    <w:rsid w:val="70B310AE"/>
    <w:rsid w:val="70B644B1"/>
    <w:rsid w:val="70B82FD3"/>
    <w:rsid w:val="70B95679"/>
    <w:rsid w:val="70BA1EAD"/>
    <w:rsid w:val="70BA6222"/>
    <w:rsid w:val="70BB79D3"/>
    <w:rsid w:val="70BD3380"/>
    <w:rsid w:val="70C05F84"/>
    <w:rsid w:val="70C161EB"/>
    <w:rsid w:val="70C224AB"/>
    <w:rsid w:val="70C26FB3"/>
    <w:rsid w:val="70C37DDF"/>
    <w:rsid w:val="70C432B4"/>
    <w:rsid w:val="70C94C38"/>
    <w:rsid w:val="70CC28E1"/>
    <w:rsid w:val="70CC7251"/>
    <w:rsid w:val="70CF4244"/>
    <w:rsid w:val="70D05B24"/>
    <w:rsid w:val="70D23391"/>
    <w:rsid w:val="70D268E8"/>
    <w:rsid w:val="70D311C0"/>
    <w:rsid w:val="70D676F5"/>
    <w:rsid w:val="70D72CFE"/>
    <w:rsid w:val="70DF7ED0"/>
    <w:rsid w:val="70E37655"/>
    <w:rsid w:val="70E707C8"/>
    <w:rsid w:val="70EC65A4"/>
    <w:rsid w:val="70F12CA6"/>
    <w:rsid w:val="70F82D59"/>
    <w:rsid w:val="70FA04FB"/>
    <w:rsid w:val="70FE336D"/>
    <w:rsid w:val="71027EBD"/>
    <w:rsid w:val="710515F9"/>
    <w:rsid w:val="711041C2"/>
    <w:rsid w:val="71155AEC"/>
    <w:rsid w:val="711606F7"/>
    <w:rsid w:val="711C62AE"/>
    <w:rsid w:val="712532FF"/>
    <w:rsid w:val="71275730"/>
    <w:rsid w:val="71285068"/>
    <w:rsid w:val="712B3396"/>
    <w:rsid w:val="712D3434"/>
    <w:rsid w:val="712D6B22"/>
    <w:rsid w:val="713043DC"/>
    <w:rsid w:val="71334429"/>
    <w:rsid w:val="7136359B"/>
    <w:rsid w:val="713734FD"/>
    <w:rsid w:val="713929FF"/>
    <w:rsid w:val="713A259D"/>
    <w:rsid w:val="713A2FED"/>
    <w:rsid w:val="713F108F"/>
    <w:rsid w:val="71414CF0"/>
    <w:rsid w:val="714874B8"/>
    <w:rsid w:val="714B6983"/>
    <w:rsid w:val="714E0005"/>
    <w:rsid w:val="714F1722"/>
    <w:rsid w:val="714F6A99"/>
    <w:rsid w:val="715D1FB3"/>
    <w:rsid w:val="71614EDC"/>
    <w:rsid w:val="716760E6"/>
    <w:rsid w:val="7169599C"/>
    <w:rsid w:val="7175261E"/>
    <w:rsid w:val="717669D3"/>
    <w:rsid w:val="717E5C5B"/>
    <w:rsid w:val="71810C1C"/>
    <w:rsid w:val="7181610E"/>
    <w:rsid w:val="71816D21"/>
    <w:rsid w:val="71854F78"/>
    <w:rsid w:val="71881FAB"/>
    <w:rsid w:val="71964C59"/>
    <w:rsid w:val="719811F7"/>
    <w:rsid w:val="71981D91"/>
    <w:rsid w:val="7198256C"/>
    <w:rsid w:val="719C7B18"/>
    <w:rsid w:val="719D1D20"/>
    <w:rsid w:val="719E7939"/>
    <w:rsid w:val="719F29FB"/>
    <w:rsid w:val="71A21035"/>
    <w:rsid w:val="71A64AFF"/>
    <w:rsid w:val="71A65ADA"/>
    <w:rsid w:val="71AA7945"/>
    <w:rsid w:val="71BB5741"/>
    <w:rsid w:val="71BD61D2"/>
    <w:rsid w:val="71C10002"/>
    <w:rsid w:val="71C137C8"/>
    <w:rsid w:val="71C27B97"/>
    <w:rsid w:val="71C30E32"/>
    <w:rsid w:val="71C43092"/>
    <w:rsid w:val="71C66D01"/>
    <w:rsid w:val="71C76DE6"/>
    <w:rsid w:val="71C823A7"/>
    <w:rsid w:val="71C8627B"/>
    <w:rsid w:val="71CD751C"/>
    <w:rsid w:val="71CE7B26"/>
    <w:rsid w:val="71CF29F1"/>
    <w:rsid w:val="71D945B4"/>
    <w:rsid w:val="71E02D3A"/>
    <w:rsid w:val="71E32057"/>
    <w:rsid w:val="71E40739"/>
    <w:rsid w:val="71EB7849"/>
    <w:rsid w:val="71EE7F96"/>
    <w:rsid w:val="71F24FB3"/>
    <w:rsid w:val="71F52906"/>
    <w:rsid w:val="71FC0501"/>
    <w:rsid w:val="7200787E"/>
    <w:rsid w:val="720364BC"/>
    <w:rsid w:val="720D1F2F"/>
    <w:rsid w:val="720E28CF"/>
    <w:rsid w:val="720F6739"/>
    <w:rsid w:val="72127625"/>
    <w:rsid w:val="721A02E3"/>
    <w:rsid w:val="721C3014"/>
    <w:rsid w:val="721C7833"/>
    <w:rsid w:val="72231CA7"/>
    <w:rsid w:val="72245356"/>
    <w:rsid w:val="72252C36"/>
    <w:rsid w:val="72256327"/>
    <w:rsid w:val="72347A3D"/>
    <w:rsid w:val="723A2FAE"/>
    <w:rsid w:val="72476FC9"/>
    <w:rsid w:val="724A0DB7"/>
    <w:rsid w:val="725F3FC5"/>
    <w:rsid w:val="72646574"/>
    <w:rsid w:val="726D6FD7"/>
    <w:rsid w:val="726E73F3"/>
    <w:rsid w:val="7274175D"/>
    <w:rsid w:val="72774C9A"/>
    <w:rsid w:val="727D4077"/>
    <w:rsid w:val="72863AA7"/>
    <w:rsid w:val="728F7ACD"/>
    <w:rsid w:val="72943159"/>
    <w:rsid w:val="72953AF1"/>
    <w:rsid w:val="72971D67"/>
    <w:rsid w:val="72A51ACA"/>
    <w:rsid w:val="72A86060"/>
    <w:rsid w:val="72AB5F51"/>
    <w:rsid w:val="72AC3063"/>
    <w:rsid w:val="72AF28A7"/>
    <w:rsid w:val="72AF5494"/>
    <w:rsid w:val="72B20521"/>
    <w:rsid w:val="72B42B0B"/>
    <w:rsid w:val="72B53D34"/>
    <w:rsid w:val="72B80B69"/>
    <w:rsid w:val="72BA7F87"/>
    <w:rsid w:val="72BB74DD"/>
    <w:rsid w:val="72BB7BCC"/>
    <w:rsid w:val="72BF37AA"/>
    <w:rsid w:val="72C2329A"/>
    <w:rsid w:val="72C32414"/>
    <w:rsid w:val="72C400B2"/>
    <w:rsid w:val="72C4162D"/>
    <w:rsid w:val="72C74B35"/>
    <w:rsid w:val="72C805DB"/>
    <w:rsid w:val="72C97191"/>
    <w:rsid w:val="72CD735A"/>
    <w:rsid w:val="72CE024D"/>
    <w:rsid w:val="72D1172F"/>
    <w:rsid w:val="72D21A88"/>
    <w:rsid w:val="72D354A8"/>
    <w:rsid w:val="72D858C1"/>
    <w:rsid w:val="72DB610A"/>
    <w:rsid w:val="72DC7380"/>
    <w:rsid w:val="72DD6326"/>
    <w:rsid w:val="72DE30C9"/>
    <w:rsid w:val="72E328D4"/>
    <w:rsid w:val="72E43F2E"/>
    <w:rsid w:val="72F01BB6"/>
    <w:rsid w:val="72F124C3"/>
    <w:rsid w:val="72F2109D"/>
    <w:rsid w:val="72F72AC0"/>
    <w:rsid w:val="73093053"/>
    <w:rsid w:val="73150018"/>
    <w:rsid w:val="73150AFC"/>
    <w:rsid w:val="731E487C"/>
    <w:rsid w:val="731F0AA8"/>
    <w:rsid w:val="731F472C"/>
    <w:rsid w:val="73225980"/>
    <w:rsid w:val="732820FD"/>
    <w:rsid w:val="73297C92"/>
    <w:rsid w:val="732C6966"/>
    <w:rsid w:val="73335F46"/>
    <w:rsid w:val="73340C51"/>
    <w:rsid w:val="733A7FE1"/>
    <w:rsid w:val="73465C7A"/>
    <w:rsid w:val="73497518"/>
    <w:rsid w:val="734C1455"/>
    <w:rsid w:val="734C70EE"/>
    <w:rsid w:val="734D142F"/>
    <w:rsid w:val="734D44BC"/>
    <w:rsid w:val="734F0FD2"/>
    <w:rsid w:val="73515805"/>
    <w:rsid w:val="73573E91"/>
    <w:rsid w:val="73594EEF"/>
    <w:rsid w:val="735A4CBC"/>
    <w:rsid w:val="736139DA"/>
    <w:rsid w:val="73634DA1"/>
    <w:rsid w:val="73691C33"/>
    <w:rsid w:val="7372228E"/>
    <w:rsid w:val="7373536B"/>
    <w:rsid w:val="73770563"/>
    <w:rsid w:val="73774085"/>
    <w:rsid w:val="73795531"/>
    <w:rsid w:val="737A5776"/>
    <w:rsid w:val="737C5B3F"/>
    <w:rsid w:val="737D37CC"/>
    <w:rsid w:val="73813156"/>
    <w:rsid w:val="73855D77"/>
    <w:rsid w:val="73880A33"/>
    <w:rsid w:val="738A1640"/>
    <w:rsid w:val="738A1837"/>
    <w:rsid w:val="738C4998"/>
    <w:rsid w:val="739051CC"/>
    <w:rsid w:val="739151FB"/>
    <w:rsid w:val="73942E89"/>
    <w:rsid w:val="73944F9C"/>
    <w:rsid w:val="7399049F"/>
    <w:rsid w:val="739927FB"/>
    <w:rsid w:val="739C1D3D"/>
    <w:rsid w:val="73A23D3A"/>
    <w:rsid w:val="73A24FAD"/>
    <w:rsid w:val="73A51EE2"/>
    <w:rsid w:val="73AA47FB"/>
    <w:rsid w:val="73AD7669"/>
    <w:rsid w:val="73AF1DC1"/>
    <w:rsid w:val="73B04BCD"/>
    <w:rsid w:val="73B52DFF"/>
    <w:rsid w:val="73B65D64"/>
    <w:rsid w:val="73B74401"/>
    <w:rsid w:val="73B80562"/>
    <w:rsid w:val="73BB61C1"/>
    <w:rsid w:val="73BC2AB0"/>
    <w:rsid w:val="73BC476F"/>
    <w:rsid w:val="73D14BBF"/>
    <w:rsid w:val="73D934DE"/>
    <w:rsid w:val="73DB0C0A"/>
    <w:rsid w:val="73E26224"/>
    <w:rsid w:val="73E26FB6"/>
    <w:rsid w:val="73E334C8"/>
    <w:rsid w:val="73EA0CFB"/>
    <w:rsid w:val="73EA21A3"/>
    <w:rsid w:val="73EC4687"/>
    <w:rsid w:val="73F56E97"/>
    <w:rsid w:val="73F73481"/>
    <w:rsid w:val="73F90401"/>
    <w:rsid w:val="73F96A3B"/>
    <w:rsid w:val="73FD0584"/>
    <w:rsid w:val="74064E51"/>
    <w:rsid w:val="74065409"/>
    <w:rsid w:val="740F26E9"/>
    <w:rsid w:val="74104EB2"/>
    <w:rsid w:val="74126BC0"/>
    <w:rsid w:val="74150779"/>
    <w:rsid w:val="741F34C6"/>
    <w:rsid w:val="742003C3"/>
    <w:rsid w:val="74237D69"/>
    <w:rsid w:val="74240D16"/>
    <w:rsid w:val="74266D5E"/>
    <w:rsid w:val="74273790"/>
    <w:rsid w:val="742B6EB8"/>
    <w:rsid w:val="742C095F"/>
    <w:rsid w:val="743304F6"/>
    <w:rsid w:val="743A09CB"/>
    <w:rsid w:val="743C233A"/>
    <w:rsid w:val="743D0E94"/>
    <w:rsid w:val="743F310C"/>
    <w:rsid w:val="74432E49"/>
    <w:rsid w:val="744347A4"/>
    <w:rsid w:val="74466428"/>
    <w:rsid w:val="74494C94"/>
    <w:rsid w:val="74495482"/>
    <w:rsid w:val="744D309E"/>
    <w:rsid w:val="745054BE"/>
    <w:rsid w:val="74520322"/>
    <w:rsid w:val="74546174"/>
    <w:rsid w:val="74556815"/>
    <w:rsid w:val="74591142"/>
    <w:rsid w:val="745C0418"/>
    <w:rsid w:val="745C1017"/>
    <w:rsid w:val="745C2583"/>
    <w:rsid w:val="745F1DAA"/>
    <w:rsid w:val="74600FBD"/>
    <w:rsid w:val="746022ED"/>
    <w:rsid w:val="746166C8"/>
    <w:rsid w:val="747800B5"/>
    <w:rsid w:val="747A49D3"/>
    <w:rsid w:val="747B47C1"/>
    <w:rsid w:val="747B6FB9"/>
    <w:rsid w:val="7482415F"/>
    <w:rsid w:val="74865875"/>
    <w:rsid w:val="748969AA"/>
    <w:rsid w:val="748969B2"/>
    <w:rsid w:val="7492222E"/>
    <w:rsid w:val="74936C9D"/>
    <w:rsid w:val="749C6BDB"/>
    <w:rsid w:val="749F4C63"/>
    <w:rsid w:val="74A76C06"/>
    <w:rsid w:val="74AD7E48"/>
    <w:rsid w:val="74AF43A5"/>
    <w:rsid w:val="74B64984"/>
    <w:rsid w:val="74B84955"/>
    <w:rsid w:val="74C064B4"/>
    <w:rsid w:val="74C07CAE"/>
    <w:rsid w:val="74C11875"/>
    <w:rsid w:val="74C177D1"/>
    <w:rsid w:val="74C74622"/>
    <w:rsid w:val="74D11287"/>
    <w:rsid w:val="74D329FB"/>
    <w:rsid w:val="74D57736"/>
    <w:rsid w:val="74D7200A"/>
    <w:rsid w:val="74D76582"/>
    <w:rsid w:val="74DF1EE2"/>
    <w:rsid w:val="74E30911"/>
    <w:rsid w:val="74E41769"/>
    <w:rsid w:val="74E514C2"/>
    <w:rsid w:val="74E7348C"/>
    <w:rsid w:val="74E750F1"/>
    <w:rsid w:val="74EE03E0"/>
    <w:rsid w:val="74EE481B"/>
    <w:rsid w:val="74F219DB"/>
    <w:rsid w:val="74F37436"/>
    <w:rsid w:val="74F856DB"/>
    <w:rsid w:val="74FA0A16"/>
    <w:rsid w:val="74FD6AF9"/>
    <w:rsid w:val="74FF2584"/>
    <w:rsid w:val="750053AF"/>
    <w:rsid w:val="75063689"/>
    <w:rsid w:val="750704ED"/>
    <w:rsid w:val="750722DF"/>
    <w:rsid w:val="7507768A"/>
    <w:rsid w:val="75097B16"/>
    <w:rsid w:val="750C6A6D"/>
    <w:rsid w:val="7514582F"/>
    <w:rsid w:val="751731ED"/>
    <w:rsid w:val="75175511"/>
    <w:rsid w:val="751C68C3"/>
    <w:rsid w:val="751D6EAE"/>
    <w:rsid w:val="751F23F8"/>
    <w:rsid w:val="75207767"/>
    <w:rsid w:val="75232716"/>
    <w:rsid w:val="752A673E"/>
    <w:rsid w:val="752D65E2"/>
    <w:rsid w:val="753164B5"/>
    <w:rsid w:val="75360FB0"/>
    <w:rsid w:val="75377F70"/>
    <w:rsid w:val="753C2A26"/>
    <w:rsid w:val="753F0EC9"/>
    <w:rsid w:val="75411BFF"/>
    <w:rsid w:val="7542237B"/>
    <w:rsid w:val="754B1461"/>
    <w:rsid w:val="754B359F"/>
    <w:rsid w:val="75510906"/>
    <w:rsid w:val="75530E51"/>
    <w:rsid w:val="755334CE"/>
    <w:rsid w:val="755F52D0"/>
    <w:rsid w:val="75646241"/>
    <w:rsid w:val="75656F9B"/>
    <w:rsid w:val="756B281C"/>
    <w:rsid w:val="756C77A6"/>
    <w:rsid w:val="756E30BA"/>
    <w:rsid w:val="756F644C"/>
    <w:rsid w:val="75734D20"/>
    <w:rsid w:val="757956AE"/>
    <w:rsid w:val="757D1149"/>
    <w:rsid w:val="75877662"/>
    <w:rsid w:val="758807CB"/>
    <w:rsid w:val="75905815"/>
    <w:rsid w:val="75971833"/>
    <w:rsid w:val="75AA6994"/>
    <w:rsid w:val="75AC0D2B"/>
    <w:rsid w:val="75B2655C"/>
    <w:rsid w:val="75B27931"/>
    <w:rsid w:val="75B66339"/>
    <w:rsid w:val="75BC08E5"/>
    <w:rsid w:val="75C24F30"/>
    <w:rsid w:val="75C97A4F"/>
    <w:rsid w:val="75CA6FC2"/>
    <w:rsid w:val="75D0102D"/>
    <w:rsid w:val="75D54AA5"/>
    <w:rsid w:val="75D72FE8"/>
    <w:rsid w:val="75D9071B"/>
    <w:rsid w:val="75DA0B91"/>
    <w:rsid w:val="75DB224C"/>
    <w:rsid w:val="75DD11C7"/>
    <w:rsid w:val="75DD40AF"/>
    <w:rsid w:val="75E4324C"/>
    <w:rsid w:val="75EC08DF"/>
    <w:rsid w:val="75F627BD"/>
    <w:rsid w:val="75F75C0E"/>
    <w:rsid w:val="75F776FF"/>
    <w:rsid w:val="75F95225"/>
    <w:rsid w:val="75FD2E26"/>
    <w:rsid w:val="75FE1C7F"/>
    <w:rsid w:val="76031471"/>
    <w:rsid w:val="7608238C"/>
    <w:rsid w:val="76094850"/>
    <w:rsid w:val="760B4156"/>
    <w:rsid w:val="760B7B05"/>
    <w:rsid w:val="760D6065"/>
    <w:rsid w:val="760D6311"/>
    <w:rsid w:val="760F7E27"/>
    <w:rsid w:val="76124539"/>
    <w:rsid w:val="76133266"/>
    <w:rsid w:val="76143E0D"/>
    <w:rsid w:val="76146140"/>
    <w:rsid w:val="761B33ED"/>
    <w:rsid w:val="761E11E9"/>
    <w:rsid w:val="762436BA"/>
    <w:rsid w:val="762773F9"/>
    <w:rsid w:val="762A6911"/>
    <w:rsid w:val="762B2034"/>
    <w:rsid w:val="762B7BC5"/>
    <w:rsid w:val="762D7A78"/>
    <w:rsid w:val="762E37CF"/>
    <w:rsid w:val="76312C11"/>
    <w:rsid w:val="76370767"/>
    <w:rsid w:val="76386FA7"/>
    <w:rsid w:val="763A3DB1"/>
    <w:rsid w:val="763B05AA"/>
    <w:rsid w:val="763C15B6"/>
    <w:rsid w:val="763D5369"/>
    <w:rsid w:val="763E051E"/>
    <w:rsid w:val="76411A97"/>
    <w:rsid w:val="764A13AC"/>
    <w:rsid w:val="76504B2A"/>
    <w:rsid w:val="76515480"/>
    <w:rsid w:val="765661D4"/>
    <w:rsid w:val="76574C18"/>
    <w:rsid w:val="76577E25"/>
    <w:rsid w:val="766052A4"/>
    <w:rsid w:val="7662223A"/>
    <w:rsid w:val="766230F1"/>
    <w:rsid w:val="76685A31"/>
    <w:rsid w:val="766964A3"/>
    <w:rsid w:val="76697971"/>
    <w:rsid w:val="76742690"/>
    <w:rsid w:val="76764AC8"/>
    <w:rsid w:val="767A6AA8"/>
    <w:rsid w:val="767D5E56"/>
    <w:rsid w:val="767D65DB"/>
    <w:rsid w:val="7685090B"/>
    <w:rsid w:val="76884579"/>
    <w:rsid w:val="768D6682"/>
    <w:rsid w:val="769136B0"/>
    <w:rsid w:val="769413F2"/>
    <w:rsid w:val="7697620C"/>
    <w:rsid w:val="76990ED1"/>
    <w:rsid w:val="769B21E7"/>
    <w:rsid w:val="769B5020"/>
    <w:rsid w:val="76A07D97"/>
    <w:rsid w:val="76A50F09"/>
    <w:rsid w:val="76AD0C6B"/>
    <w:rsid w:val="76B06C4E"/>
    <w:rsid w:val="76C34E0E"/>
    <w:rsid w:val="76C70E7F"/>
    <w:rsid w:val="76C81D35"/>
    <w:rsid w:val="76CB270C"/>
    <w:rsid w:val="76D64DBB"/>
    <w:rsid w:val="76DB14E4"/>
    <w:rsid w:val="76E00191"/>
    <w:rsid w:val="76E934EC"/>
    <w:rsid w:val="76ED2800"/>
    <w:rsid w:val="76F12774"/>
    <w:rsid w:val="76F529B8"/>
    <w:rsid w:val="770D4FEA"/>
    <w:rsid w:val="770E3161"/>
    <w:rsid w:val="77170059"/>
    <w:rsid w:val="772462D2"/>
    <w:rsid w:val="773310E3"/>
    <w:rsid w:val="77344E9D"/>
    <w:rsid w:val="77493922"/>
    <w:rsid w:val="774B7D02"/>
    <w:rsid w:val="77500AC5"/>
    <w:rsid w:val="77511B2F"/>
    <w:rsid w:val="77545759"/>
    <w:rsid w:val="7758241F"/>
    <w:rsid w:val="775C42C8"/>
    <w:rsid w:val="775C652E"/>
    <w:rsid w:val="775D1E86"/>
    <w:rsid w:val="775E6C46"/>
    <w:rsid w:val="77674E00"/>
    <w:rsid w:val="776B358A"/>
    <w:rsid w:val="776B7337"/>
    <w:rsid w:val="776D5ECB"/>
    <w:rsid w:val="776F3A5B"/>
    <w:rsid w:val="77732A69"/>
    <w:rsid w:val="777379AB"/>
    <w:rsid w:val="777929C9"/>
    <w:rsid w:val="777934D0"/>
    <w:rsid w:val="778545A4"/>
    <w:rsid w:val="77880A07"/>
    <w:rsid w:val="77880CD0"/>
    <w:rsid w:val="77885880"/>
    <w:rsid w:val="778C3E77"/>
    <w:rsid w:val="778D382F"/>
    <w:rsid w:val="779043E2"/>
    <w:rsid w:val="779150B9"/>
    <w:rsid w:val="77981D0C"/>
    <w:rsid w:val="77992335"/>
    <w:rsid w:val="77996CC0"/>
    <w:rsid w:val="779D7FD8"/>
    <w:rsid w:val="779E3850"/>
    <w:rsid w:val="779F004E"/>
    <w:rsid w:val="77A2369A"/>
    <w:rsid w:val="77A67511"/>
    <w:rsid w:val="77A85155"/>
    <w:rsid w:val="77B0059A"/>
    <w:rsid w:val="77B203F2"/>
    <w:rsid w:val="77B34168"/>
    <w:rsid w:val="77B853CE"/>
    <w:rsid w:val="77BE1E71"/>
    <w:rsid w:val="77C36C3C"/>
    <w:rsid w:val="77C67389"/>
    <w:rsid w:val="77C947D0"/>
    <w:rsid w:val="77CA1EBC"/>
    <w:rsid w:val="77CB0788"/>
    <w:rsid w:val="77D24250"/>
    <w:rsid w:val="77D42406"/>
    <w:rsid w:val="77DB6F08"/>
    <w:rsid w:val="77DF0EAD"/>
    <w:rsid w:val="77E00F94"/>
    <w:rsid w:val="77ED050F"/>
    <w:rsid w:val="77F24622"/>
    <w:rsid w:val="77F35A3B"/>
    <w:rsid w:val="77F62ECE"/>
    <w:rsid w:val="77F870C7"/>
    <w:rsid w:val="77FC45E3"/>
    <w:rsid w:val="77FE6B23"/>
    <w:rsid w:val="7800708B"/>
    <w:rsid w:val="78067BF4"/>
    <w:rsid w:val="780954C8"/>
    <w:rsid w:val="780D49C2"/>
    <w:rsid w:val="78102276"/>
    <w:rsid w:val="78164B46"/>
    <w:rsid w:val="78191187"/>
    <w:rsid w:val="781B6834"/>
    <w:rsid w:val="7820118F"/>
    <w:rsid w:val="78263297"/>
    <w:rsid w:val="7831514A"/>
    <w:rsid w:val="7832524F"/>
    <w:rsid w:val="78415E9C"/>
    <w:rsid w:val="78420B23"/>
    <w:rsid w:val="784D556E"/>
    <w:rsid w:val="784E76DC"/>
    <w:rsid w:val="784F6C6D"/>
    <w:rsid w:val="78520277"/>
    <w:rsid w:val="78564BB1"/>
    <w:rsid w:val="7856695F"/>
    <w:rsid w:val="78580D70"/>
    <w:rsid w:val="78591FAB"/>
    <w:rsid w:val="785C7CED"/>
    <w:rsid w:val="785E75C1"/>
    <w:rsid w:val="78601FAC"/>
    <w:rsid w:val="786A010A"/>
    <w:rsid w:val="786A240A"/>
    <w:rsid w:val="786B4485"/>
    <w:rsid w:val="786F0EB0"/>
    <w:rsid w:val="787207CE"/>
    <w:rsid w:val="7878605C"/>
    <w:rsid w:val="78790DD8"/>
    <w:rsid w:val="787C42DD"/>
    <w:rsid w:val="78881919"/>
    <w:rsid w:val="788A5451"/>
    <w:rsid w:val="78970B5C"/>
    <w:rsid w:val="78970D25"/>
    <w:rsid w:val="789B65F7"/>
    <w:rsid w:val="789D4FA3"/>
    <w:rsid w:val="78A31051"/>
    <w:rsid w:val="78A43B6E"/>
    <w:rsid w:val="78A504C8"/>
    <w:rsid w:val="78A531FA"/>
    <w:rsid w:val="78B13B0E"/>
    <w:rsid w:val="78B362FF"/>
    <w:rsid w:val="78B8775D"/>
    <w:rsid w:val="78C637C5"/>
    <w:rsid w:val="78C700B3"/>
    <w:rsid w:val="78C84750"/>
    <w:rsid w:val="78CC045C"/>
    <w:rsid w:val="78CC1BBB"/>
    <w:rsid w:val="78D63FA4"/>
    <w:rsid w:val="78D67D8F"/>
    <w:rsid w:val="78DA2088"/>
    <w:rsid w:val="78DC3DC2"/>
    <w:rsid w:val="78DF77D5"/>
    <w:rsid w:val="78E656E7"/>
    <w:rsid w:val="78E75646"/>
    <w:rsid w:val="78EB5EFD"/>
    <w:rsid w:val="78ED02C3"/>
    <w:rsid w:val="78ED5FD0"/>
    <w:rsid w:val="78F43600"/>
    <w:rsid w:val="78F85C68"/>
    <w:rsid w:val="78F8672E"/>
    <w:rsid w:val="78FC1B35"/>
    <w:rsid w:val="78FC3171"/>
    <w:rsid w:val="79062161"/>
    <w:rsid w:val="79077C59"/>
    <w:rsid w:val="790F252D"/>
    <w:rsid w:val="7915037B"/>
    <w:rsid w:val="79162D4D"/>
    <w:rsid w:val="79177FE6"/>
    <w:rsid w:val="79274516"/>
    <w:rsid w:val="792A71B0"/>
    <w:rsid w:val="792D38DD"/>
    <w:rsid w:val="793264AD"/>
    <w:rsid w:val="793622EC"/>
    <w:rsid w:val="79383E91"/>
    <w:rsid w:val="793C27D0"/>
    <w:rsid w:val="793F50FD"/>
    <w:rsid w:val="79425123"/>
    <w:rsid w:val="79441AD8"/>
    <w:rsid w:val="79457AEC"/>
    <w:rsid w:val="79481F08"/>
    <w:rsid w:val="79496D88"/>
    <w:rsid w:val="794C1DA6"/>
    <w:rsid w:val="794F33AE"/>
    <w:rsid w:val="795165F5"/>
    <w:rsid w:val="7955306E"/>
    <w:rsid w:val="79571C6C"/>
    <w:rsid w:val="7958705D"/>
    <w:rsid w:val="795874B4"/>
    <w:rsid w:val="795A0A1C"/>
    <w:rsid w:val="795A748D"/>
    <w:rsid w:val="795D3D1D"/>
    <w:rsid w:val="795F1843"/>
    <w:rsid w:val="795F2BDC"/>
    <w:rsid w:val="7961710C"/>
    <w:rsid w:val="796226B7"/>
    <w:rsid w:val="796353FD"/>
    <w:rsid w:val="79677BB8"/>
    <w:rsid w:val="796B468C"/>
    <w:rsid w:val="796C2588"/>
    <w:rsid w:val="796E440F"/>
    <w:rsid w:val="796E5F2A"/>
    <w:rsid w:val="79721E6F"/>
    <w:rsid w:val="79724F7D"/>
    <w:rsid w:val="7983035D"/>
    <w:rsid w:val="798736BF"/>
    <w:rsid w:val="798813F5"/>
    <w:rsid w:val="798968C0"/>
    <w:rsid w:val="798D7A55"/>
    <w:rsid w:val="79907C4E"/>
    <w:rsid w:val="79913160"/>
    <w:rsid w:val="79915775"/>
    <w:rsid w:val="799747B9"/>
    <w:rsid w:val="799B65F3"/>
    <w:rsid w:val="799C2A97"/>
    <w:rsid w:val="799C5797"/>
    <w:rsid w:val="79A0233B"/>
    <w:rsid w:val="79A156EC"/>
    <w:rsid w:val="79AB5F9C"/>
    <w:rsid w:val="79AE532D"/>
    <w:rsid w:val="79AF1CE3"/>
    <w:rsid w:val="79B44348"/>
    <w:rsid w:val="79B54A1C"/>
    <w:rsid w:val="79B55907"/>
    <w:rsid w:val="79B95BC9"/>
    <w:rsid w:val="79C32FEF"/>
    <w:rsid w:val="79C379F9"/>
    <w:rsid w:val="79CE3098"/>
    <w:rsid w:val="79D30053"/>
    <w:rsid w:val="79DD4E28"/>
    <w:rsid w:val="79DE7C8F"/>
    <w:rsid w:val="79E11BB0"/>
    <w:rsid w:val="79E36BB6"/>
    <w:rsid w:val="79E52441"/>
    <w:rsid w:val="79E9735F"/>
    <w:rsid w:val="79EB0EE8"/>
    <w:rsid w:val="79ED046B"/>
    <w:rsid w:val="79F27898"/>
    <w:rsid w:val="79F44E1F"/>
    <w:rsid w:val="79FA70FF"/>
    <w:rsid w:val="79FA77BE"/>
    <w:rsid w:val="7A04063C"/>
    <w:rsid w:val="7A042CD9"/>
    <w:rsid w:val="7A050E0B"/>
    <w:rsid w:val="7A0516E2"/>
    <w:rsid w:val="7A0D74F1"/>
    <w:rsid w:val="7A13345A"/>
    <w:rsid w:val="7A136E37"/>
    <w:rsid w:val="7A144F09"/>
    <w:rsid w:val="7A2013FC"/>
    <w:rsid w:val="7A215327"/>
    <w:rsid w:val="7A293534"/>
    <w:rsid w:val="7A307AB0"/>
    <w:rsid w:val="7A314E83"/>
    <w:rsid w:val="7A33557C"/>
    <w:rsid w:val="7A342CD0"/>
    <w:rsid w:val="7A356A32"/>
    <w:rsid w:val="7A3643BA"/>
    <w:rsid w:val="7A371718"/>
    <w:rsid w:val="7A380C3F"/>
    <w:rsid w:val="7A3B7287"/>
    <w:rsid w:val="7A414775"/>
    <w:rsid w:val="7A422D94"/>
    <w:rsid w:val="7A495610"/>
    <w:rsid w:val="7A4C0DA0"/>
    <w:rsid w:val="7A5073DE"/>
    <w:rsid w:val="7A545120"/>
    <w:rsid w:val="7A576A80"/>
    <w:rsid w:val="7A5A71FD"/>
    <w:rsid w:val="7A5C7ABE"/>
    <w:rsid w:val="7A601CB0"/>
    <w:rsid w:val="7A606B16"/>
    <w:rsid w:val="7A6335B5"/>
    <w:rsid w:val="7A671E2B"/>
    <w:rsid w:val="7A6840CE"/>
    <w:rsid w:val="7A6A3770"/>
    <w:rsid w:val="7A765096"/>
    <w:rsid w:val="7A7F18A6"/>
    <w:rsid w:val="7A7F4BEA"/>
    <w:rsid w:val="7A894151"/>
    <w:rsid w:val="7A8C6A7B"/>
    <w:rsid w:val="7A956866"/>
    <w:rsid w:val="7A975B0F"/>
    <w:rsid w:val="7A9E6473"/>
    <w:rsid w:val="7AA13499"/>
    <w:rsid w:val="7AA3019F"/>
    <w:rsid w:val="7AA9318C"/>
    <w:rsid w:val="7AB14320"/>
    <w:rsid w:val="7AB979C0"/>
    <w:rsid w:val="7ABD6E5B"/>
    <w:rsid w:val="7ABE6923"/>
    <w:rsid w:val="7AC0723D"/>
    <w:rsid w:val="7AC0753C"/>
    <w:rsid w:val="7AC330B7"/>
    <w:rsid w:val="7ACC2256"/>
    <w:rsid w:val="7ACE7B72"/>
    <w:rsid w:val="7AD258DE"/>
    <w:rsid w:val="7ADA3F95"/>
    <w:rsid w:val="7ADA627D"/>
    <w:rsid w:val="7ADB139D"/>
    <w:rsid w:val="7ADB19DB"/>
    <w:rsid w:val="7ADC193F"/>
    <w:rsid w:val="7ADD1A35"/>
    <w:rsid w:val="7AE65992"/>
    <w:rsid w:val="7AE832A5"/>
    <w:rsid w:val="7AF26AFD"/>
    <w:rsid w:val="7B036EB4"/>
    <w:rsid w:val="7B04326A"/>
    <w:rsid w:val="7B091CEE"/>
    <w:rsid w:val="7B0C1557"/>
    <w:rsid w:val="7B0D3C52"/>
    <w:rsid w:val="7B104866"/>
    <w:rsid w:val="7B14039D"/>
    <w:rsid w:val="7B1810CF"/>
    <w:rsid w:val="7B1A6202"/>
    <w:rsid w:val="7B1F5C79"/>
    <w:rsid w:val="7B2A6F49"/>
    <w:rsid w:val="7B2C61C2"/>
    <w:rsid w:val="7B2E353D"/>
    <w:rsid w:val="7B2E771F"/>
    <w:rsid w:val="7B334754"/>
    <w:rsid w:val="7B346CFF"/>
    <w:rsid w:val="7B3758CF"/>
    <w:rsid w:val="7B390BF2"/>
    <w:rsid w:val="7B3958D8"/>
    <w:rsid w:val="7B3D7962"/>
    <w:rsid w:val="7B3E48CE"/>
    <w:rsid w:val="7B414564"/>
    <w:rsid w:val="7B4162C7"/>
    <w:rsid w:val="7B42141C"/>
    <w:rsid w:val="7B432A24"/>
    <w:rsid w:val="7B4C7AD1"/>
    <w:rsid w:val="7B4E202E"/>
    <w:rsid w:val="7B500604"/>
    <w:rsid w:val="7B512E32"/>
    <w:rsid w:val="7B534E2D"/>
    <w:rsid w:val="7B566948"/>
    <w:rsid w:val="7B58479C"/>
    <w:rsid w:val="7B5B4263"/>
    <w:rsid w:val="7B63097E"/>
    <w:rsid w:val="7B664EBA"/>
    <w:rsid w:val="7B670E83"/>
    <w:rsid w:val="7B683189"/>
    <w:rsid w:val="7B68667B"/>
    <w:rsid w:val="7B6A1815"/>
    <w:rsid w:val="7B711D02"/>
    <w:rsid w:val="7B720C3F"/>
    <w:rsid w:val="7B794213"/>
    <w:rsid w:val="7B7B1B1C"/>
    <w:rsid w:val="7B80028F"/>
    <w:rsid w:val="7B881E48"/>
    <w:rsid w:val="7B910339"/>
    <w:rsid w:val="7B9608A6"/>
    <w:rsid w:val="7B98535A"/>
    <w:rsid w:val="7BA45C33"/>
    <w:rsid w:val="7BAA5C6C"/>
    <w:rsid w:val="7BAE48FC"/>
    <w:rsid w:val="7BB267FD"/>
    <w:rsid w:val="7BB47794"/>
    <w:rsid w:val="7BB83DF8"/>
    <w:rsid w:val="7BBA2E35"/>
    <w:rsid w:val="7BBC4CEB"/>
    <w:rsid w:val="7BBD6668"/>
    <w:rsid w:val="7BC00135"/>
    <w:rsid w:val="7BC4644F"/>
    <w:rsid w:val="7BC678CD"/>
    <w:rsid w:val="7BC72716"/>
    <w:rsid w:val="7BC76B4E"/>
    <w:rsid w:val="7BC80A02"/>
    <w:rsid w:val="7BCC163B"/>
    <w:rsid w:val="7BD015C9"/>
    <w:rsid w:val="7BD06E0B"/>
    <w:rsid w:val="7BDA78A7"/>
    <w:rsid w:val="7BE0388D"/>
    <w:rsid w:val="7BE57D93"/>
    <w:rsid w:val="7BE66796"/>
    <w:rsid w:val="7BE953EB"/>
    <w:rsid w:val="7BEB42B2"/>
    <w:rsid w:val="7BEC5887"/>
    <w:rsid w:val="7BF1074D"/>
    <w:rsid w:val="7BF2699E"/>
    <w:rsid w:val="7BF50268"/>
    <w:rsid w:val="7BFD7BB8"/>
    <w:rsid w:val="7BFF4559"/>
    <w:rsid w:val="7C072615"/>
    <w:rsid w:val="7C0827FE"/>
    <w:rsid w:val="7C1024D5"/>
    <w:rsid w:val="7C110D86"/>
    <w:rsid w:val="7C142DB9"/>
    <w:rsid w:val="7C15268D"/>
    <w:rsid w:val="7C1A756B"/>
    <w:rsid w:val="7C1B1028"/>
    <w:rsid w:val="7C226546"/>
    <w:rsid w:val="7C23124E"/>
    <w:rsid w:val="7C2321EE"/>
    <w:rsid w:val="7C27638A"/>
    <w:rsid w:val="7C2B2034"/>
    <w:rsid w:val="7C2D4906"/>
    <w:rsid w:val="7C2F354F"/>
    <w:rsid w:val="7C3043FE"/>
    <w:rsid w:val="7C3068C2"/>
    <w:rsid w:val="7C395682"/>
    <w:rsid w:val="7C432117"/>
    <w:rsid w:val="7C463BAC"/>
    <w:rsid w:val="7C4B7AF2"/>
    <w:rsid w:val="7C4F607B"/>
    <w:rsid w:val="7C530360"/>
    <w:rsid w:val="7C5807CC"/>
    <w:rsid w:val="7C583982"/>
    <w:rsid w:val="7C585A5D"/>
    <w:rsid w:val="7C591C2A"/>
    <w:rsid w:val="7C5D29FA"/>
    <w:rsid w:val="7C6048EB"/>
    <w:rsid w:val="7C63789C"/>
    <w:rsid w:val="7C6812C7"/>
    <w:rsid w:val="7C6A0C2B"/>
    <w:rsid w:val="7C6E5AA6"/>
    <w:rsid w:val="7C6F6241"/>
    <w:rsid w:val="7C72389C"/>
    <w:rsid w:val="7C745605"/>
    <w:rsid w:val="7C75601E"/>
    <w:rsid w:val="7C7D0B32"/>
    <w:rsid w:val="7C7F643E"/>
    <w:rsid w:val="7C862E2E"/>
    <w:rsid w:val="7C8835D9"/>
    <w:rsid w:val="7C8C5EFB"/>
    <w:rsid w:val="7C9061B7"/>
    <w:rsid w:val="7C941196"/>
    <w:rsid w:val="7C956ABD"/>
    <w:rsid w:val="7C9B399C"/>
    <w:rsid w:val="7C9F1048"/>
    <w:rsid w:val="7CA31AB6"/>
    <w:rsid w:val="7CA4518D"/>
    <w:rsid w:val="7CAA5140"/>
    <w:rsid w:val="7CAF552B"/>
    <w:rsid w:val="7CB11CD3"/>
    <w:rsid w:val="7CB45EAB"/>
    <w:rsid w:val="7CB5571E"/>
    <w:rsid w:val="7CB95387"/>
    <w:rsid w:val="7CBE5D37"/>
    <w:rsid w:val="7CC43EF5"/>
    <w:rsid w:val="7CC620FB"/>
    <w:rsid w:val="7CCB7772"/>
    <w:rsid w:val="7CCC5441"/>
    <w:rsid w:val="7CCD69E1"/>
    <w:rsid w:val="7CD17149"/>
    <w:rsid w:val="7CD36C81"/>
    <w:rsid w:val="7CD61354"/>
    <w:rsid w:val="7CD730F8"/>
    <w:rsid w:val="7CD82038"/>
    <w:rsid w:val="7CDE33C7"/>
    <w:rsid w:val="7CE22869"/>
    <w:rsid w:val="7CE64029"/>
    <w:rsid w:val="7CF83CD0"/>
    <w:rsid w:val="7CF847E8"/>
    <w:rsid w:val="7CFD2609"/>
    <w:rsid w:val="7D021560"/>
    <w:rsid w:val="7D027F2A"/>
    <w:rsid w:val="7D061726"/>
    <w:rsid w:val="7D074804"/>
    <w:rsid w:val="7D0A1A32"/>
    <w:rsid w:val="7D0C1069"/>
    <w:rsid w:val="7D0E3B6C"/>
    <w:rsid w:val="7D0E4B5B"/>
    <w:rsid w:val="7D103C64"/>
    <w:rsid w:val="7D141C56"/>
    <w:rsid w:val="7D1B1F25"/>
    <w:rsid w:val="7D1D6CEB"/>
    <w:rsid w:val="7D1E37C3"/>
    <w:rsid w:val="7D20687F"/>
    <w:rsid w:val="7D264C50"/>
    <w:rsid w:val="7D276B1C"/>
    <w:rsid w:val="7D2C2F03"/>
    <w:rsid w:val="7D33504E"/>
    <w:rsid w:val="7D344D95"/>
    <w:rsid w:val="7D362C54"/>
    <w:rsid w:val="7D3C08AA"/>
    <w:rsid w:val="7D3C6F98"/>
    <w:rsid w:val="7D456190"/>
    <w:rsid w:val="7D4928DE"/>
    <w:rsid w:val="7D4C641E"/>
    <w:rsid w:val="7D53387A"/>
    <w:rsid w:val="7D5A2578"/>
    <w:rsid w:val="7D5B4A17"/>
    <w:rsid w:val="7D5C3B57"/>
    <w:rsid w:val="7D5C493C"/>
    <w:rsid w:val="7D5D1A51"/>
    <w:rsid w:val="7D5E0C6A"/>
    <w:rsid w:val="7D605D70"/>
    <w:rsid w:val="7D635300"/>
    <w:rsid w:val="7D654C78"/>
    <w:rsid w:val="7D7B0C16"/>
    <w:rsid w:val="7D7B1A43"/>
    <w:rsid w:val="7D7D04EA"/>
    <w:rsid w:val="7D914060"/>
    <w:rsid w:val="7DA92C0A"/>
    <w:rsid w:val="7DA939D5"/>
    <w:rsid w:val="7DA97DDD"/>
    <w:rsid w:val="7DAD053D"/>
    <w:rsid w:val="7DAE540F"/>
    <w:rsid w:val="7DB07FBB"/>
    <w:rsid w:val="7DB4368B"/>
    <w:rsid w:val="7DBA0129"/>
    <w:rsid w:val="7DBA647B"/>
    <w:rsid w:val="7DBB157D"/>
    <w:rsid w:val="7DBC7CD9"/>
    <w:rsid w:val="7DBE4BFA"/>
    <w:rsid w:val="7DBF6626"/>
    <w:rsid w:val="7DC05D62"/>
    <w:rsid w:val="7DC64DD5"/>
    <w:rsid w:val="7DC77519"/>
    <w:rsid w:val="7DD00F61"/>
    <w:rsid w:val="7DE07F17"/>
    <w:rsid w:val="7DE23B93"/>
    <w:rsid w:val="7DE41D50"/>
    <w:rsid w:val="7DE47B3F"/>
    <w:rsid w:val="7DE72E62"/>
    <w:rsid w:val="7DE75C09"/>
    <w:rsid w:val="7DE92023"/>
    <w:rsid w:val="7DE9584E"/>
    <w:rsid w:val="7DEA41A0"/>
    <w:rsid w:val="7DF16C5F"/>
    <w:rsid w:val="7DF5241B"/>
    <w:rsid w:val="7DF7247F"/>
    <w:rsid w:val="7E08116D"/>
    <w:rsid w:val="7E096221"/>
    <w:rsid w:val="7E0D3F64"/>
    <w:rsid w:val="7E1725A6"/>
    <w:rsid w:val="7E176B90"/>
    <w:rsid w:val="7E1F2DD5"/>
    <w:rsid w:val="7E20473E"/>
    <w:rsid w:val="7E243046"/>
    <w:rsid w:val="7E2C393B"/>
    <w:rsid w:val="7E3420E2"/>
    <w:rsid w:val="7E352961"/>
    <w:rsid w:val="7E3A63DB"/>
    <w:rsid w:val="7E3D429D"/>
    <w:rsid w:val="7E3E551B"/>
    <w:rsid w:val="7E3F75FE"/>
    <w:rsid w:val="7E4313B6"/>
    <w:rsid w:val="7E432E4B"/>
    <w:rsid w:val="7E440EAA"/>
    <w:rsid w:val="7E480690"/>
    <w:rsid w:val="7E492AC2"/>
    <w:rsid w:val="7E4936E0"/>
    <w:rsid w:val="7E4B683A"/>
    <w:rsid w:val="7E4F507E"/>
    <w:rsid w:val="7E584976"/>
    <w:rsid w:val="7E5971A9"/>
    <w:rsid w:val="7E5E656D"/>
    <w:rsid w:val="7E69685C"/>
    <w:rsid w:val="7E6D055E"/>
    <w:rsid w:val="7E6D1F56"/>
    <w:rsid w:val="7E6F077A"/>
    <w:rsid w:val="7E723DC7"/>
    <w:rsid w:val="7E7C2E97"/>
    <w:rsid w:val="7E7F420C"/>
    <w:rsid w:val="7E804FCB"/>
    <w:rsid w:val="7E833E34"/>
    <w:rsid w:val="7E88494F"/>
    <w:rsid w:val="7E891110"/>
    <w:rsid w:val="7E8B2066"/>
    <w:rsid w:val="7E8E42BF"/>
    <w:rsid w:val="7E9032A4"/>
    <w:rsid w:val="7E914FE5"/>
    <w:rsid w:val="7E9212CE"/>
    <w:rsid w:val="7E950AD5"/>
    <w:rsid w:val="7E971EEC"/>
    <w:rsid w:val="7E987FE1"/>
    <w:rsid w:val="7E9A5B7C"/>
    <w:rsid w:val="7E9F62B8"/>
    <w:rsid w:val="7EA6250C"/>
    <w:rsid w:val="7EAD4DFF"/>
    <w:rsid w:val="7EB540EC"/>
    <w:rsid w:val="7EB87BC5"/>
    <w:rsid w:val="7EC34622"/>
    <w:rsid w:val="7ED338B1"/>
    <w:rsid w:val="7ED44F77"/>
    <w:rsid w:val="7ED544B5"/>
    <w:rsid w:val="7ED700CE"/>
    <w:rsid w:val="7EDB49B6"/>
    <w:rsid w:val="7EE232F5"/>
    <w:rsid w:val="7EE24BC3"/>
    <w:rsid w:val="7EE960F3"/>
    <w:rsid w:val="7EEA0C77"/>
    <w:rsid w:val="7EF15D28"/>
    <w:rsid w:val="7EF249D0"/>
    <w:rsid w:val="7EF651E7"/>
    <w:rsid w:val="7EF8118A"/>
    <w:rsid w:val="7EFC18E2"/>
    <w:rsid w:val="7F054C3B"/>
    <w:rsid w:val="7F0B65FD"/>
    <w:rsid w:val="7F0D0F48"/>
    <w:rsid w:val="7F1A66A7"/>
    <w:rsid w:val="7F1B5E8E"/>
    <w:rsid w:val="7F2E4552"/>
    <w:rsid w:val="7F3A609B"/>
    <w:rsid w:val="7F462997"/>
    <w:rsid w:val="7F5117A9"/>
    <w:rsid w:val="7F58543C"/>
    <w:rsid w:val="7F5D4DA0"/>
    <w:rsid w:val="7F64664B"/>
    <w:rsid w:val="7F64796D"/>
    <w:rsid w:val="7F687CB7"/>
    <w:rsid w:val="7F6A7194"/>
    <w:rsid w:val="7F6B7D7D"/>
    <w:rsid w:val="7F6E4313"/>
    <w:rsid w:val="7F7119F3"/>
    <w:rsid w:val="7F771FB9"/>
    <w:rsid w:val="7F786EE5"/>
    <w:rsid w:val="7F80282F"/>
    <w:rsid w:val="7F8404D1"/>
    <w:rsid w:val="7F853AB6"/>
    <w:rsid w:val="7F8D4C51"/>
    <w:rsid w:val="7F8F43FC"/>
    <w:rsid w:val="7F8F6BFA"/>
    <w:rsid w:val="7F9D2957"/>
    <w:rsid w:val="7F9E2999"/>
    <w:rsid w:val="7FA23687"/>
    <w:rsid w:val="7FA37F21"/>
    <w:rsid w:val="7FA60AA9"/>
    <w:rsid w:val="7FA70C17"/>
    <w:rsid w:val="7FA71F3A"/>
    <w:rsid w:val="7FAD6DF7"/>
    <w:rsid w:val="7FB35629"/>
    <w:rsid w:val="7FBF2A37"/>
    <w:rsid w:val="7FC31585"/>
    <w:rsid w:val="7FC379A1"/>
    <w:rsid w:val="7FC468A4"/>
    <w:rsid w:val="7FC638A9"/>
    <w:rsid w:val="7FCB755C"/>
    <w:rsid w:val="7FCC02AE"/>
    <w:rsid w:val="7FD078E1"/>
    <w:rsid w:val="7FD11273"/>
    <w:rsid w:val="7FD663AD"/>
    <w:rsid w:val="7FDA7E75"/>
    <w:rsid w:val="7FE15B6A"/>
    <w:rsid w:val="7FE9455C"/>
    <w:rsid w:val="7FEE2D61"/>
    <w:rsid w:val="7FF07C1F"/>
    <w:rsid w:val="7FF13411"/>
    <w:rsid w:val="7FF30F37"/>
    <w:rsid w:val="7FF524C2"/>
    <w:rsid w:val="7FF67CC8"/>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0"/>
      </w:tabs>
      <w:adjustRightInd w:val="0"/>
      <w:snapToGrid w:val="0"/>
      <w:spacing w:line="440" w:lineRule="exact"/>
      <w:ind w:firstLine="0" w:firstLineChars="0"/>
      <w:jc w:val="left"/>
    </w:pPr>
    <w:rPr>
      <w:rFonts w:ascii="宋体" w:hAnsi="宋体" w:eastAsia="宋体" w:cstheme="minorBidi"/>
      <w:kern w:val="2"/>
      <w:sz w:val="24"/>
      <w:szCs w:val="24"/>
      <w:lang w:val="en-US" w:eastAsia="zh-CN" w:bidi="ar-SA"/>
    </w:rPr>
  </w:style>
  <w:style w:type="paragraph" w:styleId="2">
    <w:name w:val="heading 1"/>
    <w:basedOn w:val="1"/>
    <w:next w:val="1"/>
    <w:qFormat/>
    <w:uiPriority w:val="0"/>
    <w:pPr>
      <w:keepNext/>
      <w:keepLines/>
      <w:spacing w:line="440" w:lineRule="exact"/>
      <w:outlineLvl w:val="0"/>
    </w:pPr>
    <w:rPr>
      <w:b/>
      <w:kern w:val="44"/>
      <w:sz w:val="44"/>
    </w:rPr>
  </w:style>
  <w:style w:type="paragraph" w:styleId="3">
    <w:name w:val="heading 2"/>
    <w:basedOn w:val="1"/>
    <w:next w:val="1"/>
    <w:link w:val="31"/>
    <w:unhideWhenUsed/>
    <w:qFormat/>
    <w:uiPriority w:val="0"/>
    <w:pPr>
      <w:keepNext/>
      <w:keepLines/>
      <w:spacing w:line="500" w:lineRule="exact"/>
      <w:outlineLvl w:val="1"/>
    </w:pPr>
    <w:rPr>
      <w:rFonts w:ascii="Arial" w:hAnsi="Arial" w:eastAsia="黑体"/>
      <w:b/>
      <w:sz w:val="28"/>
    </w:rPr>
  </w:style>
  <w:style w:type="paragraph" w:styleId="4">
    <w:name w:val="heading 3"/>
    <w:basedOn w:val="1"/>
    <w:next w:val="1"/>
    <w:unhideWhenUsed/>
    <w:qFormat/>
    <w:uiPriority w:val="0"/>
    <w:pPr>
      <w:jc w:val="left"/>
      <w:outlineLvl w:val="2"/>
    </w:pPr>
    <w:rPr>
      <w:rFonts w:hint="eastAsia" w:ascii="宋体" w:hAnsi="宋体" w:eastAsia="宋体" w:cs="Times New Roman"/>
      <w:b/>
      <w:kern w:val="0"/>
      <w:sz w:val="27"/>
      <w:szCs w:val="27"/>
    </w:rPr>
  </w:style>
  <w:style w:type="paragraph" w:styleId="5">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6">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7">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8">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9">
    <w:name w:val="Normal Indent"/>
    <w:basedOn w:val="1"/>
    <w:qFormat/>
    <w:uiPriority w:val="0"/>
    <w:pPr>
      <w:ind w:firstLine="420" w:firstLineChars="200"/>
    </w:pPr>
    <w:rPr>
      <w:rFonts w:eastAsia="宋体"/>
    </w:rPr>
  </w:style>
  <w:style w:type="paragraph" w:styleId="10">
    <w:name w:val="annotation text"/>
    <w:basedOn w:val="1"/>
    <w:qFormat/>
    <w:uiPriority w:val="0"/>
    <w:pPr>
      <w:jc w:val="left"/>
    </w:pPr>
  </w:style>
  <w:style w:type="paragraph" w:styleId="11">
    <w:name w:val="Body Text"/>
    <w:basedOn w:val="1"/>
    <w:next w:val="1"/>
    <w:qFormat/>
    <w:uiPriority w:val="0"/>
    <w:pPr>
      <w:spacing w:after="120" w:afterLines="0"/>
    </w:pPr>
    <w:rPr>
      <w:rFonts w:ascii="Times New Roman"/>
      <w:sz w:val="24"/>
      <w:szCs w:val="24"/>
    </w:rPr>
  </w:style>
  <w:style w:type="paragraph" w:styleId="12">
    <w:name w:val="Body Text Indent"/>
    <w:basedOn w:val="1"/>
    <w:qFormat/>
    <w:uiPriority w:val="0"/>
    <w:pPr>
      <w:ind w:firstLine="538" w:firstLineChars="168"/>
      <w:jc w:val="left"/>
    </w:pPr>
    <w:rPr>
      <w:rFonts w:ascii="仿宋_GB2312" w:eastAsia="仿宋_GB2312"/>
      <w:sz w:val="32"/>
    </w:rPr>
  </w:style>
  <w:style w:type="paragraph" w:styleId="13">
    <w:name w:val="toc 3"/>
    <w:basedOn w:val="1"/>
    <w:next w:val="1"/>
    <w:qFormat/>
    <w:uiPriority w:val="0"/>
    <w:pPr>
      <w:wordWrap w:val="0"/>
      <w:topLinePunct/>
      <w:spacing w:line="400" w:lineRule="exact"/>
      <w:ind w:left="840" w:leftChars="400"/>
    </w:pPr>
    <w:rPr>
      <w:rFonts w:ascii="宋体" w:hAnsi="宋体" w:eastAsia="宋体"/>
      <w:sz w:val="21"/>
    </w:rPr>
  </w:style>
  <w:style w:type="paragraph" w:styleId="14">
    <w:name w:val="footer"/>
    <w:basedOn w:val="1"/>
    <w:link w:val="30"/>
    <w:qFormat/>
    <w:uiPriority w:val="0"/>
    <w:pPr>
      <w:snapToGrid w:val="0"/>
      <w:spacing w:line="240" w:lineRule="auto"/>
      <w:ind w:firstLine="0" w:firstLineChars="0"/>
      <w:jc w:val="left"/>
    </w:pPr>
    <w:rPr>
      <w:rFonts w:ascii="宋体" w:hAnsi="宋体" w:eastAsia="宋体"/>
      <w:sz w:val="18"/>
      <w:szCs w:val="18"/>
    </w:rPr>
  </w:style>
  <w:style w:type="paragraph" w:styleId="15">
    <w:name w:val="header"/>
    <w:basedOn w:val="1"/>
    <w:link w:val="29"/>
    <w:qFormat/>
    <w:uiPriority w:val="0"/>
    <w:pPr>
      <w:pBdr>
        <w:bottom w:val="single" w:color="auto" w:sz="6" w:space="1"/>
      </w:pBdr>
      <w:wordWrap w:val="0"/>
      <w:topLinePunct/>
      <w:snapToGrid w:val="0"/>
      <w:spacing w:line="240" w:lineRule="auto"/>
      <w:ind w:firstLine="0" w:firstLineChars="0"/>
      <w:jc w:val="center"/>
    </w:pPr>
    <w:rPr>
      <w:rFonts w:ascii="宋体" w:hAnsi="宋体" w:eastAsia="宋体"/>
      <w:sz w:val="18"/>
      <w:szCs w:val="18"/>
    </w:rPr>
  </w:style>
  <w:style w:type="paragraph" w:styleId="16">
    <w:name w:val="toc 1"/>
    <w:basedOn w:val="1"/>
    <w:next w:val="1"/>
    <w:qFormat/>
    <w:uiPriority w:val="0"/>
    <w:pPr>
      <w:tabs>
        <w:tab w:val="right" w:leader="dot" w:pos="0"/>
        <w:tab w:val="right" w:leader="dot" w:pos="9746"/>
      </w:tabs>
      <w:wordWrap w:val="0"/>
      <w:topLinePunct/>
      <w:adjustRightInd w:val="0"/>
      <w:snapToGrid w:val="0"/>
      <w:spacing w:line="400" w:lineRule="exact"/>
    </w:pPr>
    <w:rPr>
      <w:rFonts w:ascii="宋体" w:hAnsi="宋体" w:eastAsia="宋体"/>
      <w:sz w:val="21"/>
    </w:rPr>
  </w:style>
  <w:style w:type="paragraph" w:styleId="1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8">
    <w:name w:val="toc 6"/>
    <w:basedOn w:val="1"/>
    <w:next w:val="1"/>
    <w:qFormat/>
    <w:uiPriority w:val="0"/>
    <w:pPr>
      <w:ind w:left="2100"/>
    </w:pPr>
  </w:style>
  <w:style w:type="paragraph" w:styleId="19">
    <w:name w:val="toc 2"/>
    <w:basedOn w:val="1"/>
    <w:next w:val="1"/>
    <w:qFormat/>
    <w:uiPriority w:val="0"/>
    <w:pPr>
      <w:wordWrap w:val="0"/>
      <w:topLinePunct/>
      <w:spacing w:line="400" w:lineRule="exact"/>
      <w:ind w:left="420" w:leftChars="200"/>
    </w:pPr>
    <w:rPr>
      <w:rFonts w:ascii="宋体" w:hAnsi="宋体" w:eastAsia="宋体"/>
      <w:sz w:val="21"/>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FollowedHyperlink"/>
    <w:basedOn w:val="23"/>
    <w:qFormat/>
    <w:uiPriority w:val="0"/>
    <w:rPr>
      <w:rFonts w:hint="eastAsia" w:ascii="微软雅黑" w:hAnsi="微软雅黑" w:eastAsia="微软雅黑" w:cs="微软雅黑"/>
      <w:color w:val="02396F"/>
      <w:u w:val="single"/>
    </w:rPr>
  </w:style>
  <w:style w:type="character" w:styleId="25">
    <w:name w:val="Emphasis"/>
    <w:basedOn w:val="23"/>
    <w:qFormat/>
    <w:uiPriority w:val="99"/>
  </w:style>
  <w:style w:type="character" w:styleId="26">
    <w:name w:val="Hyperlink"/>
    <w:basedOn w:val="23"/>
    <w:qFormat/>
    <w:uiPriority w:val="0"/>
    <w:rPr>
      <w:color w:val="0000FF"/>
      <w:u w:val="single"/>
    </w:rPr>
  </w:style>
  <w:style w:type="paragraph" w:customStyle="1" w:styleId="27">
    <w:name w:val="标题 5（有编号）（绿盟科技）"/>
    <w:basedOn w:val="1"/>
    <w:next w:val="28"/>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28">
    <w:name w:val="正文（绿盟科技）"/>
    <w:next w:val="1"/>
    <w:qFormat/>
    <w:uiPriority w:val="0"/>
    <w:pPr>
      <w:spacing w:line="300" w:lineRule="auto"/>
    </w:pPr>
    <w:rPr>
      <w:rFonts w:ascii="Arial" w:hAnsi="Arial" w:eastAsia="宋体" w:cs="黑体"/>
      <w:sz w:val="21"/>
      <w:szCs w:val="21"/>
      <w:lang w:val="en-US" w:eastAsia="zh-CN" w:bidi="ar-SA"/>
    </w:rPr>
  </w:style>
  <w:style w:type="character" w:customStyle="1" w:styleId="29">
    <w:name w:val="页眉 Char"/>
    <w:basedOn w:val="23"/>
    <w:link w:val="15"/>
    <w:qFormat/>
    <w:uiPriority w:val="0"/>
    <w:rPr>
      <w:rFonts w:ascii="宋体" w:hAnsi="宋体" w:eastAsia="宋体" w:cstheme="minorBidi"/>
      <w:kern w:val="2"/>
      <w:sz w:val="18"/>
      <w:szCs w:val="18"/>
    </w:rPr>
  </w:style>
  <w:style w:type="character" w:customStyle="1" w:styleId="30">
    <w:name w:val="页脚 Char"/>
    <w:basedOn w:val="23"/>
    <w:link w:val="14"/>
    <w:qFormat/>
    <w:uiPriority w:val="0"/>
    <w:rPr>
      <w:rFonts w:ascii="宋体" w:hAnsi="宋体" w:eastAsia="宋体" w:cstheme="minorBidi"/>
      <w:kern w:val="2"/>
      <w:sz w:val="18"/>
      <w:szCs w:val="18"/>
    </w:rPr>
  </w:style>
  <w:style w:type="character" w:customStyle="1" w:styleId="31">
    <w:name w:val="标题 2 Char"/>
    <w:basedOn w:val="23"/>
    <w:link w:val="3"/>
    <w:qFormat/>
    <w:uiPriority w:val="0"/>
    <w:rPr>
      <w:rFonts w:ascii="Arial" w:hAnsi="Arial" w:eastAsia="黑体"/>
      <w:b/>
      <w:sz w:val="28"/>
    </w:rPr>
  </w:style>
  <w:style w:type="paragraph" w:customStyle="1" w:styleId="32">
    <w:name w:val="05、“(一)”正文三级标题"/>
    <w:basedOn w:val="1"/>
    <w:link w:val="58"/>
    <w:qFormat/>
    <w:uiPriority w:val="0"/>
    <w:pPr>
      <w:numPr>
        <w:ilvl w:val="1"/>
        <w:numId w:val="1"/>
      </w:numPr>
      <w:wordWrap w:val="0"/>
      <w:topLinePunct/>
      <w:ind w:firstLine="803" w:firstLineChars="200"/>
    </w:pPr>
    <w:rPr>
      <w:rFonts w:ascii="宋体" w:hAnsi="宋体" w:eastAsia="宋体"/>
    </w:rPr>
  </w:style>
  <w:style w:type="paragraph" w:customStyle="1" w:styleId="33">
    <w:name w:val="00、封面正文(与其他内容无关的格式)"/>
    <w:basedOn w:val="1"/>
    <w:qFormat/>
    <w:uiPriority w:val="0"/>
    <w:rPr>
      <w:rFonts w:ascii="宋体" w:hAnsi="宋体" w:eastAsia="宋体"/>
    </w:rPr>
  </w:style>
  <w:style w:type="paragraph" w:customStyle="1" w:styleId="34">
    <w:name w:val="15、“一、”二级标题"/>
    <w:basedOn w:val="1"/>
    <w:qFormat/>
    <w:uiPriority w:val="0"/>
    <w:pPr>
      <w:numPr>
        <w:ilvl w:val="1"/>
        <w:numId w:val="3"/>
      </w:numPr>
      <w:wordWrap w:val="0"/>
      <w:topLinePunct/>
      <w:ind w:firstLine="803" w:firstLineChars="200"/>
      <w:outlineLvl w:val="1"/>
    </w:pPr>
    <w:rPr>
      <w:rFonts w:ascii="宋体" w:hAnsi="宋体" w:eastAsia="宋体"/>
      <w:b/>
    </w:rPr>
  </w:style>
  <w:style w:type="paragraph" w:customStyle="1" w:styleId="35">
    <w:name w:val="06、“1.”正文四级标题"/>
    <w:basedOn w:val="1"/>
    <w:link w:val="60"/>
    <w:qFormat/>
    <w:uiPriority w:val="0"/>
    <w:pPr>
      <w:numPr>
        <w:ilvl w:val="2"/>
        <w:numId w:val="1"/>
      </w:numPr>
      <w:wordWrap w:val="0"/>
      <w:topLinePunct/>
      <w:ind w:firstLine="803" w:firstLineChars="200"/>
    </w:pPr>
    <w:rPr>
      <w:rFonts w:ascii="宋体" w:hAnsi="宋体" w:eastAsia="宋体"/>
      <w:snapToGrid w:val="0"/>
    </w:rPr>
  </w:style>
  <w:style w:type="paragraph" w:customStyle="1" w:styleId="36">
    <w:name w:val="07、“1.1”正文五级标题"/>
    <w:basedOn w:val="1"/>
    <w:link w:val="52"/>
    <w:qFormat/>
    <w:uiPriority w:val="0"/>
    <w:pPr>
      <w:numPr>
        <w:ilvl w:val="3"/>
        <w:numId w:val="1"/>
      </w:numPr>
      <w:ind w:firstLine="803" w:firstLineChars="200"/>
    </w:pPr>
    <w:rPr>
      <w:rFonts w:ascii="宋体" w:hAnsi="宋体" w:eastAsia="宋体"/>
    </w:rPr>
  </w:style>
  <w:style w:type="paragraph" w:customStyle="1" w:styleId="37">
    <w:name w:val="08、“(1)”正文六级标题"/>
    <w:basedOn w:val="1"/>
    <w:link w:val="61"/>
    <w:qFormat/>
    <w:uiPriority w:val="0"/>
    <w:pPr>
      <w:numPr>
        <w:ilvl w:val="4"/>
        <w:numId w:val="1"/>
      </w:numPr>
      <w:ind w:firstLine="803" w:firstLineChars="200"/>
    </w:pPr>
    <w:rPr>
      <w:rFonts w:ascii="宋体" w:hAnsi="宋体" w:eastAsia="宋体"/>
      <w:snapToGrid w:val="0"/>
    </w:rPr>
  </w:style>
  <w:style w:type="paragraph" w:customStyle="1" w:styleId="38">
    <w:name w:val="09、“1.”表格内一级标题"/>
    <w:basedOn w:val="1"/>
    <w:qFormat/>
    <w:uiPriority w:val="0"/>
    <w:pPr>
      <w:numPr>
        <w:ilvl w:val="0"/>
        <w:numId w:val="4"/>
      </w:numPr>
      <w:wordWrap w:val="0"/>
      <w:topLinePunct/>
      <w:spacing w:line="360" w:lineRule="exact"/>
      <w:ind w:left="48" w:leftChars="20"/>
    </w:pPr>
    <w:rPr>
      <w:rFonts w:ascii="宋体" w:hAnsi="宋体" w:eastAsia="宋体"/>
      <w:snapToGrid w:val="0"/>
      <w:sz w:val="21"/>
    </w:rPr>
  </w:style>
  <w:style w:type="paragraph" w:customStyle="1" w:styleId="39">
    <w:name w:val="10、“1.1”表格内二级标题"/>
    <w:basedOn w:val="1"/>
    <w:link w:val="51"/>
    <w:qFormat/>
    <w:uiPriority w:val="0"/>
    <w:pPr>
      <w:numPr>
        <w:ilvl w:val="1"/>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40">
    <w:name w:val="11、“1.1.1”表格内三级标题"/>
    <w:basedOn w:val="1"/>
    <w:qFormat/>
    <w:uiPriority w:val="0"/>
    <w:pPr>
      <w:numPr>
        <w:ilvl w:val="2"/>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41">
    <w:name w:val="12、表格内左对齐正文"/>
    <w:basedOn w:val="1"/>
    <w:link w:val="62"/>
    <w:qFormat/>
    <w:uiPriority w:val="0"/>
    <w:pPr>
      <w:wordWrap w:val="0"/>
      <w:topLinePunct/>
      <w:spacing w:line="360" w:lineRule="exact"/>
      <w:ind w:left="48" w:leftChars="20" w:firstLine="0" w:firstLineChars="0"/>
    </w:pPr>
    <w:rPr>
      <w:rFonts w:ascii="宋体" w:hAnsi="宋体" w:eastAsia="宋体"/>
      <w:snapToGrid w:val="0"/>
      <w:sz w:val="21"/>
    </w:rPr>
  </w:style>
  <w:style w:type="paragraph" w:customStyle="1" w:styleId="42">
    <w:name w:val="01、普通正文"/>
    <w:basedOn w:val="1"/>
    <w:link w:val="56"/>
    <w:qFormat/>
    <w:uiPriority w:val="0"/>
    <w:pPr>
      <w:wordWrap w:val="0"/>
      <w:topLinePunct/>
      <w:ind w:firstLine="0" w:firstLineChars="0"/>
    </w:pPr>
    <w:rPr>
      <w:rFonts w:ascii="宋体" w:hAnsi="宋体" w:eastAsia="宋体"/>
      <w:snapToGrid w:val="0"/>
    </w:rPr>
  </w:style>
  <w:style w:type="paragraph" w:customStyle="1" w:styleId="43">
    <w:name w:val="20、第二章“一、”二级标题"/>
    <w:basedOn w:val="42"/>
    <w:qFormat/>
    <w:uiPriority w:val="0"/>
    <w:pPr>
      <w:numPr>
        <w:ilvl w:val="0"/>
        <w:numId w:val="5"/>
      </w:numPr>
      <w:spacing w:before="50" w:beforeLines="50" w:after="50" w:afterLines="50"/>
      <w:jc w:val="center"/>
      <w:outlineLvl w:val="1"/>
    </w:pPr>
    <w:rPr>
      <w:rFonts w:ascii="宋体" w:hAnsi="宋体" w:eastAsia="宋体"/>
      <w:b/>
      <w:sz w:val="32"/>
    </w:rPr>
  </w:style>
  <w:style w:type="paragraph" w:customStyle="1" w:styleId="44">
    <w:name w:val="21、第三章“(一)”三级标题"/>
    <w:basedOn w:val="42"/>
    <w:link w:val="53"/>
    <w:qFormat/>
    <w:uiPriority w:val="0"/>
    <w:pPr>
      <w:pageBreakBefore/>
      <w:numPr>
        <w:ilvl w:val="0"/>
        <w:numId w:val="6"/>
      </w:numPr>
      <w:spacing w:before="50" w:beforeLines="50" w:after="50" w:afterLines="50"/>
      <w:jc w:val="center"/>
      <w:outlineLvl w:val="2"/>
    </w:pPr>
    <w:rPr>
      <w:rFonts w:ascii="宋体" w:hAnsi="宋体" w:eastAsia="宋体"/>
      <w:b/>
      <w:sz w:val="28"/>
    </w:rPr>
  </w:style>
  <w:style w:type="paragraph" w:customStyle="1" w:styleId="45">
    <w:name w:val="13、表格内居中正文"/>
    <w:basedOn w:val="1"/>
    <w:qFormat/>
    <w:uiPriority w:val="0"/>
    <w:pPr>
      <w:wordWrap w:val="0"/>
      <w:topLinePunct/>
      <w:spacing w:line="360" w:lineRule="exact"/>
      <w:jc w:val="center"/>
    </w:pPr>
    <w:rPr>
      <w:rFonts w:ascii="宋体" w:hAnsi="宋体" w:eastAsia="宋体"/>
      <w:sz w:val="21"/>
    </w:rPr>
  </w:style>
  <w:style w:type="paragraph" w:customStyle="1" w:styleId="46">
    <w:name w:val="02、首行缩进2字符正文"/>
    <w:basedOn w:val="1"/>
    <w:link w:val="55"/>
    <w:qFormat/>
    <w:uiPriority w:val="0"/>
    <w:pPr>
      <w:wordWrap w:val="0"/>
      <w:topLinePunct/>
      <w:ind w:firstLine="480" w:firstLineChars="200"/>
    </w:pPr>
    <w:rPr>
      <w:rFonts w:ascii="宋体" w:hAnsi="宋体" w:eastAsia="宋体"/>
    </w:rPr>
  </w:style>
  <w:style w:type="paragraph" w:customStyle="1" w:styleId="47">
    <w:name w:val="03、“注：”正文(加粗，首行缩进2字符)"/>
    <w:basedOn w:val="42"/>
    <w:link w:val="57"/>
    <w:qFormat/>
    <w:uiPriority w:val="0"/>
    <w:pPr>
      <w:ind w:firstLine="480" w:firstLineChars="200"/>
    </w:pPr>
    <w:rPr>
      <w:b/>
    </w:rPr>
  </w:style>
  <w:style w:type="paragraph" w:customStyle="1" w:styleId="48">
    <w:name w:val="14、“第一章”一级标题"/>
    <w:basedOn w:val="42"/>
    <w:qFormat/>
    <w:uiPriority w:val="0"/>
    <w:pPr>
      <w:numPr>
        <w:ilvl w:val="0"/>
        <w:numId w:val="3"/>
      </w:numPr>
      <w:spacing w:before="50" w:beforeLines="50" w:after="50" w:afterLines="50" w:line="240" w:lineRule="auto"/>
      <w:jc w:val="center"/>
      <w:outlineLvl w:val="0"/>
    </w:pPr>
    <w:rPr>
      <w:b/>
      <w:sz w:val="36"/>
    </w:rPr>
  </w:style>
  <w:style w:type="paragraph" w:customStyle="1" w:styleId="49">
    <w:name w:val="16、“(一)”三级标题"/>
    <w:basedOn w:val="42"/>
    <w:link w:val="54"/>
    <w:qFormat/>
    <w:uiPriority w:val="0"/>
    <w:pPr>
      <w:numPr>
        <w:ilvl w:val="2"/>
        <w:numId w:val="3"/>
      </w:numPr>
      <w:ind w:firstLine="803" w:firstLineChars="200"/>
      <w:outlineLvl w:val="2"/>
    </w:pPr>
    <w:rPr>
      <w:rFonts w:ascii="宋体" w:hAnsi="宋体" w:eastAsia="宋体"/>
      <w:b/>
    </w:rPr>
  </w:style>
  <w:style w:type="paragraph" w:customStyle="1" w:styleId="50">
    <w:name w:val="04“一、”正文二级标题"/>
    <w:basedOn w:val="42"/>
    <w:link w:val="59"/>
    <w:qFormat/>
    <w:uiPriority w:val="0"/>
    <w:pPr>
      <w:ind w:firstLine="803" w:firstLineChars="200"/>
    </w:pPr>
  </w:style>
  <w:style w:type="character" w:customStyle="1" w:styleId="51">
    <w:name w:val="10、“1.1”表格内二级标题 Char"/>
    <w:link w:val="39"/>
    <w:qFormat/>
    <w:uiPriority w:val="0"/>
    <w:rPr>
      <w:rFonts w:ascii="宋体" w:hAnsi="宋体" w:eastAsia="宋体"/>
      <w:snapToGrid w:val="0"/>
      <w:sz w:val="21"/>
    </w:rPr>
  </w:style>
  <w:style w:type="character" w:customStyle="1" w:styleId="52">
    <w:name w:val="07、“1.1”正文五级标题 Char"/>
    <w:link w:val="36"/>
    <w:qFormat/>
    <w:uiPriority w:val="0"/>
    <w:rPr>
      <w:rFonts w:ascii="宋体" w:hAnsi="宋体" w:eastAsia="宋体"/>
    </w:rPr>
  </w:style>
  <w:style w:type="character" w:customStyle="1" w:styleId="53">
    <w:name w:val="18、第三章“(一)”三级标题 Char"/>
    <w:link w:val="44"/>
    <w:qFormat/>
    <w:uiPriority w:val="0"/>
    <w:rPr>
      <w:rFonts w:ascii="宋体" w:hAnsi="宋体" w:eastAsia="宋体"/>
      <w:b/>
      <w:sz w:val="28"/>
    </w:rPr>
  </w:style>
  <w:style w:type="character" w:customStyle="1" w:styleId="54">
    <w:name w:val="16、“(一)”三级标题 Char"/>
    <w:link w:val="49"/>
    <w:qFormat/>
    <w:uiPriority w:val="0"/>
    <w:rPr>
      <w:rFonts w:ascii="宋体" w:hAnsi="宋体" w:eastAsia="宋体"/>
      <w:b/>
    </w:rPr>
  </w:style>
  <w:style w:type="character" w:customStyle="1" w:styleId="55">
    <w:name w:val="02、首行缩进2字符正文 Char"/>
    <w:link w:val="46"/>
    <w:qFormat/>
    <w:uiPriority w:val="0"/>
    <w:rPr>
      <w:rFonts w:ascii="宋体" w:hAnsi="宋体" w:eastAsia="宋体"/>
    </w:rPr>
  </w:style>
  <w:style w:type="character" w:customStyle="1" w:styleId="56">
    <w:name w:val="01、普通正文 Char"/>
    <w:link w:val="42"/>
    <w:qFormat/>
    <w:uiPriority w:val="0"/>
    <w:rPr>
      <w:rFonts w:ascii="宋体" w:hAnsi="宋体" w:eastAsia="宋体"/>
      <w:snapToGrid w:val="0"/>
    </w:rPr>
  </w:style>
  <w:style w:type="character" w:customStyle="1" w:styleId="57">
    <w:name w:val="03、“注：”正文(加粗，首行缩进2字符) Char"/>
    <w:link w:val="47"/>
    <w:qFormat/>
    <w:uiPriority w:val="0"/>
    <w:rPr>
      <w:b/>
    </w:rPr>
  </w:style>
  <w:style w:type="character" w:customStyle="1" w:styleId="58">
    <w:name w:val="05、“(一)”正文三级标题 Char"/>
    <w:link w:val="32"/>
    <w:qFormat/>
    <w:uiPriority w:val="0"/>
    <w:rPr>
      <w:rFonts w:ascii="宋体" w:hAnsi="宋体" w:eastAsia="宋体"/>
    </w:rPr>
  </w:style>
  <w:style w:type="character" w:customStyle="1" w:styleId="59">
    <w:name w:val="04“一、”正文二级标题 Char"/>
    <w:link w:val="50"/>
    <w:qFormat/>
    <w:uiPriority w:val="0"/>
  </w:style>
  <w:style w:type="character" w:customStyle="1" w:styleId="60">
    <w:name w:val="06、“1.”正文四级标题 Char"/>
    <w:link w:val="35"/>
    <w:qFormat/>
    <w:uiPriority w:val="0"/>
    <w:rPr>
      <w:rFonts w:ascii="宋体" w:hAnsi="宋体" w:eastAsia="宋体"/>
      <w:snapToGrid w:val="0"/>
    </w:rPr>
  </w:style>
  <w:style w:type="character" w:customStyle="1" w:styleId="61">
    <w:name w:val="08、“(1)”正文六级标题 Char"/>
    <w:link w:val="37"/>
    <w:qFormat/>
    <w:uiPriority w:val="0"/>
    <w:rPr>
      <w:rFonts w:ascii="宋体" w:hAnsi="宋体" w:eastAsia="宋体"/>
      <w:snapToGrid w:val="0"/>
    </w:rPr>
  </w:style>
  <w:style w:type="character" w:customStyle="1" w:styleId="62">
    <w:name w:val="12、表格内左对齐正文 Char"/>
    <w:link w:val="41"/>
    <w:qFormat/>
    <w:uiPriority w:val="0"/>
    <w:rPr>
      <w:rFonts w:ascii="宋体" w:hAnsi="宋体" w:eastAsia="宋体"/>
      <w:snapToGrid w:val="0"/>
      <w:sz w:val="21"/>
    </w:rPr>
  </w:style>
  <w:style w:type="paragraph" w:customStyle="1" w:styleId="63">
    <w:name w:val="17“1.”四级标题"/>
    <w:basedOn w:val="46"/>
    <w:qFormat/>
    <w:uiPriority w:val="0"/>
    <w:pPr>
      <w:numPr>
        <w:ilvl w:val="3"/>
        <w:numId w:val="3"/>
      </w:numPr>
      <w:ind w:firstLine="803" w:firstLineChars="200"/>
    </w:pPr>
    <w:rPr>
      <w:rFonts w:ascii="宋体" w:hAnsi="宋体" w:eastAsia="宋体"/>
    </w:rPr>
  </w:style>
  <w:style w:type="paragraph" w:customStyle="1" w:styleId="64">
    <w:name w:val="18、“1.1”五级标题"/>
    <w:basedOn w:val="63"/>
    <w:qFormat/>
    <w:uiPriority w:val="0"/>
    <w:pPr>
      <w:numPr>
        <w:ilvl w:val="4"/>
        <w:numId w:val="3"/>
      </w:numPr>
      <w:ind w:firstLine="803" w:firstLineChars="200"/>
    </w:pPr>
  </w:style>
  <w:style w:type="paragraph" w:customStyle="1" w:styleId="65">
    <w:name w:val="19、“(1)”六级标题"/>
    <w:basedOn w:val="63"/>
    <w:qFormat/>
    <w:uiPriority w:val="0"/>
    <w:pPr>
      <w:numPr>
        <w:ilvl w:val="5"/>
        <w:numId w:val="3"/>
      </w:numPr>
      <w:ind w:firstLine="803" w:firstLineChars="200"/>
    </w:pPr>
  </w:style>
  <w:style w:type="paragraph" w:customStyle="1" w:styleId="66">
    <w:name w:val="样式 首行缩进:  2 字符"/>
    <w:basedOn w:val="1"/>
    <w:qFormat/>
    <w:uiPriority w:val="0"/>
    <w:pPr>
      <w:spacing w:line="400" w:lineRule="exact"/>
      <w:ind w:firstLine="200" w:firstLineChars="200"/>
    </w:pPr>
    <w:rPr>
      <w:rFonts w:cs="宋体"/>
      <w:sz w:val="24"/>
    </w:rPr>
  </w:style>
  <w:style w:type="character" w:customStyle="1" w:styleId="67">
    <w:name w:val="qxdate"/>
    <w:basedOn w:val="23"/>
    <w:qFormat/>
    <w:uiPriority w:val="0"/>
    <w:rPr>
      <w:color w:val="BA2636"/>
      <w:sz w:val="12"/>
      <w:szCs w:val="12"/>
      <w:u w:val="single"/>
    </w:rPr>
  </w:style>
  <w:style w:type="character" w:customStyle="1" w:styleId="68">
    <w:name w:val="displayarti"/>
    <w:basedOn w:val="23"/>
    <w:qFormat/>
    <w:uiPriority w:val="0"/>
    <w:rPr>
      <w:color w:val="FFFFFF"/>
      <w:shd w:val="clear" w:fill="A00000"/>
    </w:rPr>
  </w:style>
  <w:style w:type="character" w:customStyle="1" w:styleId="69">
    <w:name w:val="cfdate"/>
    <w:basedOn w:val="23"/>
    <w:qFormat/>
    <w:uiPriority w:val="0"/>
    <w:rPr>
      <w:color w:val="333333"/>
      <w:sz w:val="12"/>
      <w:szCs w:val="12"/>
    </w:rPr>
  </w:style>
  <w:style w:type="character" w:customStyle="1" w:styleId="70">
    <w:name w:val="gjfg"/>
    <w:basedOn w:val="23"/>
    <w:qFormat/>
    <w:uiPriority w:val="0"/>
  </w:style>
  <w:style w:type="character" w:customStyle="1" w:styleId="71">
    <w:name w:val="redfilefwwh"/>
    <w:basedOn w:val="23"/>
    <w:qFormat/>
    <w:uiPriority w:val="0"/>
    <w:rPr>
      <w:color w:val="BA2636"/>
      <w:sz w:val="12"/>
      <w:szCs w:val="12"/>
    </w:rPr>
  </w:style>
  <w:style w:type="character" w:customStyle="1" w:styleId="72">
    <w:name w:val="redfilenumber"/>
    <w:basedOn w:val="23"/>
    <w:qFormat/>
    <w:uiPriority w:val="0"/>
    <w:rPr>
      <w:color w:val="BA2636"/>
      <w:sz w:val="12"/>
      <w:szCs w:val="12"/>
    </w:rPr>
  </w:style>
  <w:style w:type="paragraph" w:customStyle="1" w:styleId="73">
    <w:name w:val="20、第五章“(一)”三级标题"/>
    <w:basedOn w:val="42"/>
    <w:qFormat/>
    <w:uiPriority w:val="0"/>
    <w:pPr>
      <w:pageBreakBefore/>
      <w:numPr>
        <w:ilvl w:val="0"/>
        <w:numId w:val="6"/>
      </w:numPr>
      <w:spacing w:before="50" w:beforeLines="50" w:after="50" w:afterLines="50"/>
      <w:jc w:val="center"/>
      <w:outlineLvl w:val="2"/>
    </w:pPr>
    <w:rPr>
      <w:rFonts w:ascii="宋体" w:hAnsi="宋体" w:eastAsia="宋体"/>
      <w:b/>
      <w:sz w:val="28"/>
    </w:rPr>
  </w:style>
  <w:style w:type="paragraph" w:styleId="74">
    <w:name w:val="List Paragraph"/>
    <w:basedOn w:val="1"/>
    <w:qFormat/>
    <w:uiPriority w:val="1"/>
    <w:pPr>
      <w:ind w:left="205" w:right="169" w:firstLine="655"/>
    </w:pPr>
    <w:rPr>
      <w:rFonts w:ascii="仿宋" w:hAnsi="仿宋" w:eastAsia="仿宋" w:cs="仿宋"/>
      <w:u w:val="single" w:color="000000"/>
      <w:lang w:val="zh-CN" w:eastAsia="zh-CN" w:bidi="zh-CN"/>
    </w:rPr>
  </w:style>
  <w:style w:type="table" w:customStyle="1" w:styleId="75">
    <w:name w:val="Table Normal"/>
    <w:semiHidden/>
    <w:unhideWhenUsed/>
    <w:qFormat/>
    <w:uiPriority w:val="0"/>
    <w:tblPr>
      <w:tblCellMar>
        <w:top w:w="0" w:type="dxa"/>
        <w:left w:w="0" w:type="dxa"/>
        <w:bottom w:w="0" w:type="dxa"/>
        <w:right w:w="0" w:type="dxa"/>
      </w:tblCellMar>
    </w:tblPr>
  </w:style>
  <w:style w:type="paragraph" w:customStyle="1" w:styleId="76">
    <w:name w:val="列表段落1"/>
    <w:basedOn w:val="1"/>
    <w:qFormat/>
    <w:uiPriority w:val="0"/>
    <w:pPr>
      <w:autoSpaceDE w:val="0"/>
      <w:autoSpaceDN w:val="0"/>
      <w:adjustRightInd/>
      <w:snapToGrid/>
      <w:spacing w:before="100" w:beforeAutospacing="1" w:after="100" w:afterAutospacing="1" w:line="240" w:lineRule="auto"/>
      <w:ind w:left="618" w:firstLine="240"/>
      <w:jc w:val="left"/>
    </w:pPr>
    <w:rPr>
      <w:rFonts w:ascii="宋体" w:hAnsi="宋体" w:eastAsia="宋体" w:cs="宋体"/>
      <w:kern w:val="0"/>
      <w:sz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105</Pages>
  <Words>56799</Words>
  <Characters>60121</Characters>
  <Lines>310</Lines>
  <Paragraphs>87</Paragraphs>
  <TotalTime>23</TotalTime>
  <ScaleCrop>false</ScaleCrop>
  <LinksUpToDate>false</LinksUpToDate>
  <CharactersWithSpaces>62963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2018-12-21T06:31:00Z</dcterms:created>
  <dc:creator>Lenovo</dc:creator>
  <cp:lastModifiedBy>494476397</cp:lastModifiedBy>
  <cp:lastPrinted>2023-11-10T06:55:00Z</cp:lastPrinted>
  <dcterms:modified xsi:type="dcterms:W3CDTF">2023-11-10T09:00:38Z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62DE7E5D7D134486BDF7B2F745F4353F_13</vt:lpwstr>
  </property>
  <property fmtid="{D5CDD505-2E9C-101B-9397-08002B2CF9AE}" pid="4" name="KSOSaveFontToCloudKey">
    <vt:lpwstr>307340517_btnclosed</vt:lpwstr>
  </property>
</Properties>
</file>