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仿宋" w:hAnsi="仿宋" w:eastAsia="仿宋" w:cs="仿宋"/>
          <w:b/>
          <w:bCs/>
          <w:sz w:val="44"/>
          <w:szCs w:val="44"/>
        </w:rPr>
      </w:pPr>
      <w:r>
        <w:rPr>
          <w:rFonts w:hint="eastAsia" w:ascii="仿宋" w:hAnsi="仿宋" w:eastAsia="仿宋" w:cs="仿宋"/>
          <w:b/>
          <w:bCs/>
          <w:sz w:val="44"/>
          <w:szCs w:val="44"/>
        </w:rPr>
        <w:t>成都市技师学院（成都工贸职业技术学院）“双高”建设教育教学环境提升宿舍家具购置项目</w:t>
      </w:r>
      <w:r>
        <w:rPr>
          <w:rFonts w:hint="eastAsia" w:ascii="仿宋" w:hAnsi="仿宋" w:eastAsia="仿宋" w:cs="仿宋"/>
          <w:b/>
          <w:bCs/>
          <w:sz w:val="44"/>
          <w:szCs w:val="44"/>
          <w:lang w:val="en-US" w:eastAsia="zh-CN"/>
        </w:rPr>
        <w:t>采购需求</w:t>
      </w:r>
    </w:p>
    <w:tbl>
      <w:tblPr>
        <w:tblStyle w:val="11"/>
        <w:tblW w:w="14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152"/>
        <w:gridCol w:w="2592"/>
        <w:gridCol w:w="5992"/>
        <w:gridCol w:w="1200"/>
        <w:gridCol w:w="677"/>
        <w:gridCol w:w="63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550" w:type="dxa"/>
            <w:vMerge w:val="restart"/>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采购需求</w:t>
            </w: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标的名称</w:t>
            </w:r>
          </w:p>
        </w:tc>
        <w:tc>
          <w:tcPr>
            <w:tcW w:w="59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参数要求</w:t>
            </w: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是否核心参数</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数量</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单位</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最高限单价（元）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宿舍学生用衣柜（一）</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（1）柜体材料，</w:t>
            </w:r>
            <w:r>
              <w:rPr>
                <w:rFonts w:hint="eastAsia" w:ascii="仿宋" w:hAnsi="仿宋" w:eastAsia="仿宋" w:cs="仿宋"/>
                <w:color w:val="auto"/>
                <w:highlight w:val="none"/>
                <w:lang w:val="en-US" w:eastAsia="zh-CN"/>
              </w:rPr>
              <w:t>采</w:t>
            </w:r>
            <w:r>
              <w:rPr>
                <w:rFonts w:ascii="仿宋" w:hAnsi="仿宋" w:eastAsia="仿宋" w:cs="仿宋"/>
                <w:color w:val="auto"/>
                <w:highlight w:val="none"/>
              </w:rPr>
              <w:t>用优质冷轧钢板，厚度1.0mm±0.1mm，符合GB/T708-2006标准。</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（2）表面喷涂材料（塑粉），</w:t>
            </w:r>
            <w:r>
              <w:rPr>
                <w:rFonts w:hint="eastAsia" w:ascii="仿宋" w:hAnsi="仿宋" w:eastAsia="仿宋" w:cs="仿宋"/>
                <w:color w:val="auto"/>
                <w:highlight w:val="none"/>
                <w:lang w:val="en-US" w:eastAsia="zh-CN"/>
              </w:rPr>
              <w:t>采</w:t>
            </w:r>
            <w:r>
              <w:rPr>
                <w:rFonts w:ascii="仿宋" w:hAnsi="仿宋" w:eastAsia="仿宋" w:cs="仿宋"/>
                <w:color w:val="auto"/>
                <w:highlight w:val="none"/>
              </w:rPr>
              <w:t>用优质塑粉，符合HG/T 2006-2006标准。</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（1）板材工艺，经高精度激光切割机下料、数控折弯、组合而成；柜门安装缝隙≤2mm。</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（2）焊接工艺，所有焊接均采用二氧化碳保护焊焊接，主要部位必须满焊，焊点部位打磨光滑，焊点无沙眼、牢固、不刺手、无脱落等安全隐患；符合GB/T13793-2016标准。</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3）喷塑工艺，经物理除油、除锈，静电喷涂环氧树脂粉末涂料，高温固化成型等工艺对钢件表面进行处理；喷塑采用桔纹亚光面，厚度70～110μm；钢件表面成型后要求耐磨、不刺手、防锈强、不掉漆，不起包等现象。</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4.五金件及其他：每个门面安置独立暗锁、把手及门牌格，保证门之间无互开，选用优质五金配件。</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5.尺寸及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1370mm*600mm*2000mm</w:t>
            </w:r>
          </w:p>
          <w:p>
            <w:pPr>
              <w:adjustRightInd w:val="0"/>
              <w:snapToGrid w:val="0"/>
              <w:spacing w:line="310" w:lineRule="exact"/>
              <w:jc w:val="left"/>
              <w:rPr>
                <w:rFonts w:ascii="仿宋" w:hAnsi="仿宋" w:eastAsia="仿宋" w:cs="仿宋"/>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745490</wp:posOffset>
                  </wp:positionH>
                  <wp:positionV relativeFrom="paragraph">
                    <wp:posOffset>14605</wp:posOffset>
                  </wp:positionV>
                  <wp:extent cx="2026920" cy="2171065"/>
                  <wp:effectExtent l="0" t="0" r="11430" b="635"/>
                  <wp:wrapSquare wrapText="bothSides"/>
                  <wp:docPr id="2" name="图片 1" descr="衣柜（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衣柜（男）"/>
                          <pic:cNvPicPr>
                            <a:picLocks noChangeAspect="1"/>
                          </pic:cNvPicPr>
                        </pic:nvPicPr>
                        <pic:blipFill>
                          <a:blip r:embed="rId5"/>
                          <a:stretch>
                            <a:fillRect/>
                          </a:stretch>
                        </pic:blipFill>
                        <pic:spPr>
                          <a:xfrm>
                            <a:off x="0" y="0"/>
                            <a:ext cx="2026920" cy="2171065"/>
                          </a:xfrm>
                          <a:prstGeom prst="rect">
                            <a:avLst/>
                          </a:prstGeom>
                        </pic:spPr>
                      </pic:pic>
                    </a:graphicData>
                  </a:graphic>
                </wp:anchor>
              </w:drawing>
            </w: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117</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组</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2</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宿舍学生用衣柜（二）</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（1）柜体材料，</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用优质冷轧钢板，厚度1.0mm±0.1mm，符合GB/T708-2006标准。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（2）表面喷涂材料（塑粉），</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用优质塑粉，符合HG/T 2006-2006标准。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（1）板材工艺，经高精度激光切割机下料、数控折弯、组合而成；柜门安装缝隙≤2mm。</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（2）焊接工艺，所有焊接均采用二氧化碳保护焊焊接，主要部位必须满焊，焊点部位打磨光滑，焊点无沙眼、牢固、不刺手、无脱落等安全隐患；符合GB/T13793-2016标准。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喷塑工艺，经物理除油、除锈，静电喷涂环氧树脂粉末涂料，高温固化成型等工艺对钢件表面进行处理；喷塑采用桔纹亚光面，厚度70～110μm；钢件表面成型后要求耐磨、不刺手、防锈强、不掉漆，不起包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4.五金件及其他：每个门面安置独立暗锁、把手及门牌格，保证门之间无互开，选用优质五金配件。</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5.尺寸及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1080mm*600mm*2000mm</w:t>
            </w:r>
          </w:p>
          <w:p>
            <w:pPr>
              <w:adjustRightInd w:val="0"/>
              <w:snapToGrid w:val="0"/>
              <w:spacing w:line="310" w:lineRule="exact"/>
              <w:jc w:val="left"/>
              <w:rPr>
                <w:rFonts w:ascii="仿宋" w:hAnsi="仿宋" w:eastAsia="仿宋" w:cs="仿宋"/>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964565</wp:posOffset>
                  </wp:positionH>
                  <wp:positionV relativeFrom="paragraph">
                    <wp:posOffset>81280</wp:posOffset>
                  </wp:positionV>
                  <wp:extent cx="1480820" cy="2059305"/>
                  <wp:effectExtent l="0" t="0" r="5080" b="17145"/>
                  <wp:wrapSquare wrapText="bothSides"/>
                  <wp:docPr id="1" name="图片 2" descr="衣柜（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衣柜（女）"/>
                          <pic:cNvPicPr>
                            <a:picLocks noChangeAspect="1"/>
                          </pic:cNvPicPr>
                        </pic:nvPicPr>
                        <pic:blipFill>
                          <a:blip r:embed="rId6"/>
                          <a:stretch>
                            <a:fillRect/>
                          </a:stretch>
                        </pic:blipFill>
                        <pic:spPr>
                          <a:xfrm>
                            <a:off x="0" y="0"/>
                            <a:ext cx="1480820" cy="2059305"/>
                          </a:xfrm>
                          <a:prstGeom prst="rect">
                            <a:avLst/>
                          </a:prstGeom>
                        </pic:spPr>
                      </pic:pic>
                    </a:graphicData>
                  </a:graphic>
                </wp:anchor>
              </w:drawing>
            </w: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46</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组</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3</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宿舍学生用书柜</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（1）板面材料</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采用优质</w:t>
            </w:r>
            <w:r>
              <w:rPr>
                <w:rFonts w:ascii="仿宋" w:hAnsi="仿宋" w:eastAsia="仿宋" w:cs="仿宋"/>
                <w:color w:val="auto"/>
                <w:highlight w:val="none"/>
              </w:rPr>
              <w:t>刨花板（实木颗粒板），厚度18mm±0.1mm，符合GB/T4897-2015标准；饰面采用三聚氰胺浸渍胶膜纸；材料均符合GB18580-2017。</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（2）封边材料，采用PVC材料，厚度1mm±0.1mm，符合QB/T4463-2013标准。</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（1）板面工艺，板面平整，无龟裂，无鼓泡，拼接紧密，转角自然；柜门安装缝隙≤2mm。</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（2）封边工艺，采用修边同色PVC封边条，符合QB/T4463-2013家具用封边条技术要求；修边颜色与板面无明显色差；封边表面平整.光滑.棱角弧度一致，无缺口、脱胶，破边等现象。</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4.五金及其他要求：</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（1）每个门面安置独立暗锁、把手，保证门之间无互开，选用优质五金配件，符合GB/T3325-2017金属家具通用技术条件。</w:t>
            </w:r>
          </w:p>
          <w:p>
            <w:pPr>
              <w:adjustRightInd w:val="0"/>
              <w:snapToGrid w:val="0"/>
              <w:spacing w:line="310" w:lineRule="exact"/>
              <w:jc w:val="left"/>
              <w:rPr>
                <w:rFonts w:hint="eastAsia" w:ascii="仿宋" w:hAnsi="仿宋" w:eastAsia="仿宋" w:cs="仿宋"/>
                <w:color w:val="auto"/>
                <w:highlight w:val="none"/>
              </w:rPr>
            </w:pPr>
            <w:r>
              <w:rPr>
                <w:rFonts w:ascii="仿宋" w:hAnsi="仿宋" w:eastAsia="仿宋" w:cs="仿宋"/>
                <w:color w:val="auto"/>
                <w:highlight w:val="none"/>
              </w:rPr>
              <w:t>（2）铰链，采用二段力液压阻尼或二段力弹簧设计，门板安装缝隙小于1mm，开启角度≥110度；</w:t>
            </w:r>
            <w:r>
              <w:rPr>
                <w:rFonts w:hint="eastAsia" w:ascii="仿宋" w:hAnsi="仿宋" w:eastAsia="仿宋" w:cs="仿宋"/>
                <w:color w:val="auto"/>
                <w:highlight w:val="none"/>
              </w:rPr>
              <w:t>供应商送货时</w:t>
            </w:r>
            <w:r>
              <w:rPr>
                <w:rFonts w:ascii="仿宋" w:hAnsi="仿宋" w:eastAsia="仿宋" w:cs="仿宋"/>
                <w:color w:val="auto"/>
                <w:highlight w:val="none"/>
              </w:rPr>
              <w:t>提供国家认可的第三方检测机构出具的检测报告</w:t>
            </w:r>
            <w:r>
              <w:rPr>
                <w:rFonts w:hint="eastAsia" w:ascii="仿宋" w:hAnsi="仿宋" w:eastAsia="仿宋" w:cs="仿宋"/>
                <w:color w:val="auto"/>
                <w:highlight w:val="none"/>
              </w:rPr>
              <w:t>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报告内容</w:t>
            </w:r>
            <w:r>
              <w:rPr>
                <w:rFonts w:hint="eastAsia" w:ascii="仿宋" w:hAnsi="仿宋" w:eastAsia="仿宋" w:cs="仿宋"/>
                <w:color w:val="auto"/>
                <w:highlight w:val="none"/>
              </w:rPr>
              <w:t>包含但不限于</w:t>
            </w:r>
            <w:r>
              <w:rPr>
                <w:rFonts w:ascii="仿宋" w:hAnsi="仿宋" w:eastAsia="仿宋" w:cs="仿宋"/>
                <w:color w:val="auto"/>
                <w:highlight w:val="none"/>
              </w:rPr>
              <w:t>抗锈技术</w:t>
            </w:r>
            <w:r>
              <w:rPr>
                <w:rFonts w:hint="eastAsia" w:ascii="仿宋" w:hAnsi="仿宋" w:eastAsia="仿宋" w:cs="仿宋"/>
                <w:color w:val="auto"/>
                <w:highlight w:val="none"/>
              </w:rPr>
              <w:t>要求</w:t>
            </w:r>
            <w:r>
              <w:rPr>
                <w:rFonts w:ascii="仿宋" w:hAnsi="仿宋" w:eastAsia="仿宋" w:cs="仿宋"/>
                <w:color w:val="auto"/>
                <w:highlight w:val="none"/>
              </w:rPr>
              <w:t>160小时</w:t>
            </w:r>
            <w:r>
              <w:rPr>
                <w:rFonts w:hint="eastAsia" w:ascii="仿宋" w:hAnsi="仿宋" w:eastAsia="仿宋" w:cs="仿宋"/>
                <w:color w:val="auto"/>
                <w:highlight w:val="none"/>
                <w:lang w:val="en-US" w:eastAsia="zh-CN"/>
              </w:rPr>
              <w:t>及</w:t>
            </w:r>
            <w:r>
              <w:rPr>
                <w:rFonts w:ascii="仿宋" w:hAnsi="仿宋" w:eastAsia="仿宋" w:cs="仿宋"/>
                <w:color w:val="auto"/>
                <w:highlight w:val="none"/>
              </w:rPr>
              <w:t>以上抗盐雾检测，静音开合60000次</w:t>
            </w:r>
            <w:r>
              <w:rPr>
                <w:rFonts w:hint="eastAsia" w:ascii="仿宋" w:hAnsi="仿宋" w:eastAsia="仿宋" w:cs="仿宋"/>
                <w:color w:val="auto"/>
                <w:highlight w:val="none"/>
                <w:lang w:val="en-US" w:eastAsia="zh-CN"/>
              </w:rPr>
              <w:t>及</w:t>
            </w:r>
            <w:r>
              <w:rPr>
                <w:rFonts w:ascii="仿宋" w:hAnsi="仿宋" w:eastAsia="仿宋" w:cs="仿宋"/>
                <w:color w:val="auto"/>
                <w:highlight w:val="none"/>
              </w:rPr>
              <w:t>以上</w:t>
            </w:r>
            <w:r>
              <w:rPr>
                <w:rFonts w:hint="eastAsia" w:ascii="仿宋" w:hAnsi="仿宋" w:eastAsia="仿宋" w:cs="仿宋"/>
                <w:color w:val="auto"/>
                <w:highlight w:val="none"/>
                <w:lang w:val="en-US" w:eastAsia="zh-CN"/>
              </w:rPr>
              <w:t>。</w:t>
            </w:r>
          </w:p>
          <w:p>
            <w:pPr>
              <w:adjustRightInd w:val="0"/>
              <w:snapToGrid w:val="0"/>
              <w:spacing w:line="310" w:lineRule="exact"/>
              <w:jc w:val="left"/>
              <w:rPr>
                <w:rFonts w:hint="default" w:ascii="仿宋" w:hAnsi="仿宋" w:eastAsia="仿宋" w:cs="仿宋"/>
                <w:color w:val="auto"/>
                <w:highlight w:val="none"/>
                <w:lang w:val="en-US" w:eastAsia="zh-CN"/>
              </w:rPr>
            </w:pPr>
            <w:r>
              <w:rPr>
                <w:rFonts w:ascii="仿宋" w:hAnsi="仿宋" w:eastAsia="仿宋" w:cs="仿宋"/>
                <w:color w:val="auto"/>
                <w:highlight w:val="none"/>
              </w:rPr>
              <w:t>（3）滑轨，采用普通走珠设计，安装缝隙≤13mm</w:t>
            </w:r>
            <w:r>
              <w:rPr>
                <w:rFonts w:hint="eastAsia" w:ascii="仿宋" w:hAnsi="仿宋" w:eastAsia="仿宋" w:cs="仿宋"/>
                <w:color w:val="auto"/>
                <w:highlight w:val="none"/>
              </w:rPr>
              <w:t>；供应商送货时</w:t>
            </w:r>
            <w:r>
              <w:rPr>
                <w:rFonts w:ascii="仿宋" w:hAnsi="仿宋" w:eastAsia="仿宋" w:cs="仿宋"/>
                <w:color w:val="auto"/>
                <w:highlight w:val="none"/>
              </w:rPr>
              <w:t>提供国家认可的第三方检测机构出具的检测报告</w:t>
            </w:r>
            <w:r>
              <w:rPr>
                <w:rFonts w:hint="eastAsia" w:ascii="仿宋" w:hAnsi="仿宋" w:eastAsia="仿宋" w:cs="仿宋"/>
                <w:color w:val="auto"/>
                <w:highlight w:val="none"/>
              </w:rPr>
              <w:t>复印件</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报告内容包含但不限于</w:t>
            </w:r>
            <w:r>
              <w:rPr>
                <w:rFonts w:ascii="仿宋" w:hAnsi="仿宋" w:eastAsia="仿宋" w:cs="仿宋"/>
                <w:color w:val="auto"/>
                <w:highlight w:val="none"/>
              </w:rPr>
              <w:t>开合（耐久性）40000次</w:t>
            </w:r>
            <w:r>
              <w:rPr>
                <w:rFonts w:hint="eastAsia" w:ascii="仿宋" w:hAnsi="仿宋" w:eastAsia="仿宋" w:cs="仿宋"/>
                <w:color w:val="auto"/>
                <w:highlight w:val="none"/>
                <w:lang w:val="en-US" w:eastAsia="zh-CN"/>
              </w:rPr>
              <w:t>及</w:t>
            </w:r>
            <w:r>
              <w:rPr>
                <w:rFonts w:ascii="仿宋" w:hAnsi="仿宋" w:eastAsia="仿宋" w:cs="仿宋"/>
                <w:color w:val="auto"/>
                <w:highlight w:val="none"/>
              </w:rPr>
              <w:t>以上，负重15公斤</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以上</w:t>
            </w:r>
            <w:r>
              <w:rPr>
                <w:rFonts w:hint="eastAsia" w:ascii="仿宋" w:hAnsi="仿宋" w:eastAsia="仿宋" w:cs="仿宋"/>
                <w:color w:val="auto"/>
                <w:highlight w:val="none"/>
                <w:lang w:val="en-US" w:eastAsia="zh-CN"/>
              </w:rPr>
              <w:t>。</w:t>
            </w:r>
          </w:p>
          <w:p>
            <w:pPr>
              <w:adjustRightInd w:val="0"/>
              <w:snapToGrid w:val="0"/>
              <w:spacing w:line="310" w:lineRule="exact"/>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5.尺寸及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r>
              <w:rPr>
                <w:rFonts w:hint="eastAsia" w:ascii="仿宋" w:hAnsi="仿宋" w:eastAsia="仿宋" w:cs="仿宋"/>
                <w:color w:val="auto"/>
                <w:highlight w:val="none"/>
                <w:lang w:eastAsia="zh-CN"/>
              </w:rPr>
              <w:t>：</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2000mm*</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00mm</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600mm</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*2000mm</w:t>
            </w:r>
          </w:p>
          <w:p>
            <w:pPr>
              <w:keepNext w:val="0"/>
              <w:keepLines w:val="0"/>
              <w:widowControl/>
              <w:suppressLineNumbers w:val="0"/>
              <w:jc w:val="center"/>
              <w:rPr>
                <w:rFonts w:ascii="仿宋" w:hAnsi="仿宋" w:eastAsia="仿宋" w:cs="仿宋"/>
                <w:color w:val="auto"/>
                <w:highlight w:val="none"/>
              </w:rPr>
            </w:pPr>
            <w:r>
              <w:rPr>
                <w:rFonts w:ascii="宋体" w:hAnsi="宋体" w:eastAsia="宋体" w:cs="宋体"/>
                <w:color w:val="auto"/>
                <w:kern w:val="0"/>
                <w:sz w:val="24"/>
                <w:szCs w:val="24"/>
                <w:highlight w:val="none"/>
                <w:lang w:val="en-US" w:eastAsia="zh-CN" w:bidi="ar"/>
              </w:rPr>
              <w:drawing>
                <wp:inline distT="0" distB="0" distL="114300" distR="114300">
                  <wp:extent cx="2249805" cy="1983105"/>
                  <wp:effectExtent l="0" t="0" r="17145" b="1714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2249805" cy="1983105"/>
                          </a:xfrm>
                          <a:prstGeom prst="rect">
                            <a:avLst/>
                          </a:prstGeom>
                          <a:noFill/>
                          <a:ln w="9525">
                            <a:noFill/>
                          </a:ln>
                        </pic:spPr>
                      </pic:pic>
                    </a:graphicData>
                  </a:graphic>
                </wp:inline>
              </w:drawing>
            </w: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140</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组</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4</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宿舍学生用条形桌</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（1）板面材料，采用</w:t>
            </w:r>
            <w:r>
              <w:rPr>
                <w:rFonts w:hint="eastAsia" w:ascii="仿宋" w:hAnsi="仿宋" w:eastAsia="仿宋" w:cs="仿宋"/>
                <w:color w:val="auto"/>
                <w:highlight w:val="none"/>
                <w:lang w:val="en-US" w:eastAsia="zh-CN"/>
              </w:rPr>
              <w:t>优质</w:t>
            </w:r>
            <w:r>
              <w:rPr>
                <w:rFonts w:hint="eastAsia" w:ascii="仿宋" w:hAnsi="仿宋" w:eastAsia="仿宋" w:cs="仿宋"/>
                <w:color w:val="auto"/>
                <w:highlight w:val="none"/>
              </w:rPr>
              <w:t>刨花板（实木颗粒板），厚度25mm±0.1mm，符合GB/T4897-2015标准（刨花板标准）；饰面采用三聚氰胺浸渍胶膜纸；材料均符合GB18580-2017。</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（2）支架材料：采用优质冷轧钢板，厚度1.2mm±0.1mm，符合GB/T708-2006标准。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（3）封边材料，采用PVC材料，厚度1mm±0.1mm，符合QB/T4463-2013标准。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（4）表面喷涂材料（塑粉），</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用优质塑粉，符合HG/T 2006-2006标准。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（1）板面工艺，板面平整，无龟裂，无鼓泡，拼接紧密，转角自然。</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（2）封边工艺，采用修边同色PVC封边条，符合QB/T4463-2013家具用封边条技术要求；修边颜色与板面无明显色差；封边表面平整、光滑、棱角弧度一致，无缺口、脱胶，破边等现象。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（3）焊接工艺，所有焊接均采用二氧化碳保护焊焊接，主要部位必须满焊，焊点部位打磨光滑，焊点无沙眼、牢固、不刺手、无脱落等安全隐患；符合GB/T13793-2016标准。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喷塑工艺，经物理除油、除锈，静电喷涂环氧树脂粉末涂料，高温固化成型等工艺对钢件表面进行处理；喷塑采用桔纹亚光面，厚度70～110μm；钢件表面成型后要求耐磨、不刺手、防锈强、不掉漆，不起包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（5）结构工艺，立柱采用30mm*30mm*1.2mm C型钢制作，横梁采用15mm*30mm*1.2mm P型钢制作，层板采用15mm*20mm*1.2mm方管制作。</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lang w:eastAsia="zh-CN"/>
              </w:rPr>
              <w:drawing>
                <wp:anchor distT="0" distB="0" distL="114300" distR="114300" simplePos="0" relativeHeight="251662336" behindDoc="0" locked="0" layoutInCell="1" allowOverlap="1">
                  <wp:simplePos x="0" y="0"/>
                  <wp:positionH relativeFrom="column">
                    <wp:posOffset>796290</wp:posOffset>
                  </wp:positionH>
                  <wp:positionV relativeFrom="paragraph">
                    <wp:posOffset>320675</wp:posOffset>
                  </wp:positionV>
                  <wp:extent cx="2005965" cy="1886585"/>
                  <wp:effectExtent l="0" t="0" r="13335" b="18415"/>
                  <wp:wrapSquare wrapText="bothSides"/>
                  <wp:docPr id="4" name="图片 4" descr="微信图片_2022061017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610172542"/>
                          <pic:cNvPicPr>
                            <a:picLocks noChangeAspect="1"/>
                          </pic:cNvPicPr>
                        </pic:nvPicPr>
                        <pic:blipFill>
                          <a:blip r:embed="rId8"/>
                          <a:stretch>
                            <a:fillRect/>
                          </a:stretch>
                        </pic:blipFill>
                        <pic:spPr>
                          <a:xfrm>
                            <a:off x="0" y="0"/>
                            <a:ext cx="2005965" cy="1886585"/>
                          </a:xfrm>
                          <a:prstGeom prst="rect">
                            <a:avLst/>
                          </a:prstGeom>
                        </pic:spPr>
                      </pic:pic>
                    </a:graphicData>
                  </a:graphic>
                </wp:anchor>
              </w:drawing>
            </w:r>
            <w:r>
              <w:rPr>
                <w:rFonts w:hint="eastAsia" w:ascii="仿宋" w:hAnsi="仿宋" w:eastAsia="仿宋" w:cs="仿宋"/>
                <w:color w:val="auto"/>
                <w:highlight w:val="none"/>
              </w:rPr>
              <w:t>1500mm*500mm*760mm</w:t>
            </w:r>
          </w:p>
          <w:p>
            <w:pPr>
              <w:adjustRightInd w:val="0"/>
              <w:snapToGrid w:val="0"/>
              <w:spacing w:line="310" w:lineRule="exact"/>
              <w:jc w:val="left"/>
              <w:rPr>
                <w:rFonts w:hint="eastAsia" w:ascii="仿宋" w:hAnsi="仿宋" w:eastAsia="仿宋" w:cs="仿宋"/>
                <w:color w:val="auto"/>
                <w:highlight w:val="none"/>
                <w:lang w:eastAsia="zh-CN"/>
              </w:rPr>
            </w:pP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140</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张</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5</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宿舍学生用凳子</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（1）板面材料，采用</w:t>
            </w:r>
            <w:r>
              <w:rPr>
                <w:rFonts w:hint="eastAsia" w:ascii="仿宋" w:hAnsi="仿宋" w:eastAsia="仿宋" w:cs="仿宋"/>
                <w:color w:val="auto"/>
                <w:highlight w:val="none"/>
                <w:lang w:val="en-US" w:eastAsia="zh-CN"/>
              </w:rPr>
              <w:t>优质</w:t>
            </w:r>
            <w:r>
              <w:rPr>
                <w:rFonts w:hint="eastAsia" w:ascii="仿宋" w:hAnsi="仿宋" w:eastAsia="仿宋" w:cs="仿宋"/>
                <w:color w:val="auto"/>
                <w:highlight w:val="none"/>
              </w:rPr>
              <w:t>刨花板（实木颗粒板），厚度25mm±0.1mm，符合GB/T4897-2015标准；饰面采用三聚氰胺浸渍胶膜纸；材料均符合GB18580-2017。</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（2）支架材料：采用优质冷轧钢板，厚度1.2mm±0.1mm，符合GB/T708-2006标准。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（3）封边材料，采用PVC材料，厚度1mm±0.1mm，符合QB/T4463-2013标准。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（4）表面喷涂材料（塑粉），</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用优质塑粉，符合HG/T 2006-2006标准。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（1）板面工艺，板面平整，无龟裂，无鼓泡，拼接紧密，转角自然。</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（2）封边工艺，采用修边同色PVC封边条，符合QB/T4463-2013家具用封边条技术要求；修边颜色与板面无明显色差；封边表面平整、光滑、棱角弧度一致，无缺口、脱胶，破边等现象。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（3）焊接工艺，所有焊接均采用二氧化碳保护焊焊接，主要部位必须满焊，焊点部位打磨光滑，焊点无沙眼、牢固、不刺手、无脱落等安全隐患；符合GB/T13793-2016标准。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喷塑工艺，经物理除油、除锈，静电喷涂环氧树脂粉末涂料，高温固化成型等工艺对钢件表面进行处理；喷塑采用桔纹亚光面，厚度70～110μm；钢件表面成型后要求耐磨、不刺手、防锈强、不掉漆，不起包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（5）结构工艺，立柱采用30mm*30mm*1.2mm C型钢制作，横梁采用15mm*30mm*1.2mm P型钢制作，层板采用15mm*20mm*1.2mm方管制作。</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350mm*245mm*445mm</w:t>
            </w:r>
          </w:p>
          <w:p>
            <w:pPr>
              <w:adjustRightInd w:val="0"/>
              <w:snapToGrid w:val="0"/>
              <w:spacing w:line="310" w:lineRule="exact"/>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drawing>
                <wp:anchor distT="0" distB="0" distL="114300" distR="114300" simplePos="0" relativeHeight="251663360" behindDoc="0" locked="0" layoutInCell="1" allowOverlap="1">
                  <wp:simplePos x="0" y="0"/>
                  <wp:positionH relativeFrom="column">
                    <wp:posOffset>933450</wp:posOffset>
                  </wp:positionH>
                  <wp:positionV relativeFrom="paragraph">
                    <wp:posOffset>104775</wp:posOffset>
                  </wp:positionV>
                  <wp:extent cx="1238250" cy="974725"/>
                  <wp:effectExtent l="0" t="0" r="0" b="15875"/>
                  <wp:wrapSquare wrapText="bothSides"/>
                  <wp:docPr id="5" name="图片 5" descr="微信图片_2022061017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10172551"/>
                          <pic:cNvPicPr>
                            <a:picLocks noChangeAspect="1"/>
                          </pic:cNvPicPr>
                        </pic:nvPicPr>
                        <pic:blipFill>
                          <a:blip r:embed="rId9"/>
                          <a:srcRect l="24822" t="23495" r="19607" b="20154"/>
                          <a:stretch>
                            <a:fillRect/>
                          </a:stretch>
                        </pic:blipFill>
                        <pic:spPr>
                          <a:xfrm>
                            <a:off x="0" y="0"/>
                            <a:ext cx="1238250" cy="974725"/>
                          </a:xfrm>
                          <a:prstGeom prst="rect">
                            <a:avLst/>
                          </a:prstGeom>
                        </pic:spPr>
                      </pic:pic>
                    </a:graphicData>
                  </a:graphic>
                </wp:anchor>
              </w:drawing>
            </w: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560</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个</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50" w:type="dxa"/>
            <w:vMerge w:val="continue"/>
            <w:vAlign w:val="center"/>
          </w:tcPr>
          <w:p>
            <w:pPr>
              <w:adjustRightInd w:val="0"/>
              <w:snapToGrid w:val="0"/>
              <w:spacing w:line="310" w:lineRule="exact"/>
              <w:rPr>
                <w:color w:val="auto"/>
                <w:highlight w:val="none"/>
              </w:rPr>
            </w:pPr>
          </w:p>
        </w:tc>
        <w:tc>
          <w:tcPr>
            <w:tcW w:w="115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6</w:t>
            </w:r>
          </w:p>
        </w:tc>
        <w:tc>
          <w:tcPr>
            <w:tcW w:w="2592"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宿舍学生用行李架</w:t>
            </w:r>
          </w:p>
        </w:tc>
        <w:tc>
          <w:tcPr>
            <w:tcW w:w="5992" w:type="dxa"/>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1.材料及质量：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（1）面架材料：采用优质冷轧钢板，面板材料厚度1.0mm±0.1mm，支架材料厚度1.2mm±0.1mm，符合GB/T708-2006标准。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（2）表面喷涂材料（塑粉），</w:t>
            </w:r>
            <w:r>
              <w:rPr>
                <w:rFonts w:hint="eastAsia" w:ascii="仿宋" w:hAnsi="仿宋" w:eastAsia="仿宋" w:cs="仿宋"/>
                <w:color w:val="auto"/>
                <w:highlight w:val="none"/>
                <w:lang w:val="en-US" w:eastAsia="zh-CN"/>
              </w:rPr>
              <w:t>采</w:t>
            </w:r>
            <w:r>
              <w:rPr>
                <w:rFonts w:hint="eastAsia" w:ascii="仿宋" w:hAnsi="仿宋" w:eastAsia="仿宋" w:cs="仿宋"/>
                <w:color w:val="auto"/>
                <w:highlight w:val="none"/>
              </w:rPr>
              <w:t>用优质塑粉，符合HG/T 2006-2006标准。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2.颜色：定制颜色。</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3.工艺：</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（1）焊接工艺，所有焊接均采用二氧化碳保护焊焊接，主要部位必须满焊，焊点部位打磨光滑，焊点无沙眼、牢固、不刺手、无脱落等安全隐患；符合GB/T13793-2016标准。</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喷塑工艺，经物理除油、除锈，静电喷涂环氧树脂粉末涂料，高温固化成型等工艺对钢件表面进行处理；喷塑采用桔纹亚光面，厚度70～110μm；钢件表面成型后要求耐磨、不刺手、防锈强、不掉漆，不起包等现象。</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（3）结构工艺，立柱采用35mm*75mm*1.2mm C型钢制作，横梁采用40mm*60*1.2mm P型钢制作；层板采用1mm冷轧钢板，每层层板（包含2根横梁与2张层板，)下面带4根加强筋。</w:t>
            </w:r>
          </w:p>
          <w:p>
            <w:pPr>
              <w:adjustRightInd w:val="0"/>
              <w:snapToGrid w:val="0"/>
              <w:spacing w:line="310" w:lineRule="exact"/>
              <w:jc w:val="left"/>
              <w:rPr>
                <w:rFonts w:ascii="仿宋" w:hAnsi="仿宋" w:eastAsia="仿宋" w:cs="仿宋"/>
                <w:color w:val="auto"/>
                <w:highlight w:val="none"/>
              </w:rPr>
            </w:pPr>
            <w:r>
              <w:rPr>
                <w:color w:val="auto"/>
                <w:highlight w:val="none"/>
              </w:rPr>
              <w:drawing>
                <wp:anchor distT="0" distB="0" distL="114300" distR="114300" simplePos="0" relativeHeight="251661312" behindDoc="1" locked="0" layoutInCell="1" allowOverlap="1">
                  <wp:simplePos x="0" y="0"/>
                  <wp:positionH relativeFrom="column">
                    <wp:posOffset>561975</wp:posOffset>
                  </wp:positionH>
                  <wp:positionV relativeFrom="paragraph">
                    <wp:posOffset>549275</wp:posOffset>
                  </wp:positionV>
                  <wp:extent cx="2058035" cy="2285365"/>
                  <wp:effectExtent l="0" t="0" r="18415" b="635"/>
                  <wp:wrapTight wrapText="bothSides">
                    <wp:wrapPolygon>
                      <wp:start x="0" y="0"/>
                      <wp:lineTo x="0" y="21426"/>
                      <wp:lineTo x="21393" y="21426"/>
                      <wp:lineTo x="21393" y="0"/>
                      <wp:lineTo x="0" y="0"/>
                    </wp:wrapPolygon>
                  </wp:wrapTight>
                  <wp:docPr id="7" name="图片 6" descr="行李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行李架"/>
                          <pic:cNvPicPr>
                            <a:picLocks noChangeAspect="1"/>
                          </pic:cNvPicPr>
                        </pic:nvPicPr>
                        <pic:blipFill>
                          <a:blip r:embed="rId10"/>
                          <a:stretch>
                            <a:fillRect/>
                          </a:stretch>
                        </pic:blipFill>
                        <pic:spPr>
                          <a:xfrm>
                            <a:off x="0" y="0"/>
                            <a:ext cx="2058035" cy="2285365"/>
                          </a:xfrm>
                          <a:prstGeom prst="rect">
                            <a:avLst/>
                          </a:prstGeom>
                        </pic:spPr>
                      </pic:pic>
                    </a:graphicData>
                  </a:graphic>
                </wp:anchor>
              </w:drawing>
            </w:r>
            <w:r>
              <w:rPr>
                <w:rFonts w:hint="eastAsia" w:ascii="仿宋" w:hAnsi="仿宋" w:eastAsia="仿宋" w:cs="仿宋"/>
                <w:color w:val="auto"/>
                <w:highlight w:val="none"/>
              </w:rPr>
              <w:t>4.尺寸及</w:t>
            </w:r>
            <w:r>
              <w:rPr>
                <w:rFonts w:hint="eastAsia" w:ascii="仿宋" w:hAnsi="仿宋" w:eastAsia="仿宋" w:cs="仿宋"/>
                <w:color w:val="auto"/>
                <w:highlight w:val="none"/>
                <w:lang w:val="en-US" w:eastAsia="zh-CN"/>
              </w:rPr>
              <w:t>参考</w:t>
            </w:r>
            <w:r>
              <w:rPr>
                <w:rFonts w:hint="eastAsia" w:ascii="仿宋" w:hAnsi="仿宋" w:eastAsia="仿宋" w:cs="仿宋"/>
                <w:color w:val="auto"/>
                <w:highlight w:val="none"/>
              </w:rPr>
              <w:t>样式：</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1370mm*600mm*2000mm</w:t>
            </w:r>
          </w:p>
          <w:p>
            <w:pPr>
              <w:adjustRightInd w:val="0"/>
              <w:snapToGrid w:val="0"/>
              <w:spacing w:line="310" w:lineRule="exact"/>
              <w:jc w:val="left"/>
              <w:rPr>
                <w:rFonts w:ascii="仿宋" w:hAnsi="仿宋" w:eastAsia="仿宋" w:cs="仿宋"/>
                <w:color w:val="auto"/>
                <w:highlight w:val="none"/>
              </w:rPr>
            </w:pPr>
          </w:p>
        </w:tc>
        <w:tc>
          <w:tcPr>
            <w:tcW w:w="120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是</w:t>
            </w:r>
          </w:p>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sym w:font="Wingdings" w:char="00A8"/>
            </w:r>
            <w:r>
              <w:rPr>
                <w:rFonts w:hint="eastAsia" w:ascii="仿宋" w:hAnsi="仿宋" w:eastAsia="仿宋" w:cs="仿宋"/>
                <w:color w:val="auto"/>
                <w:highlight w:val="none"/>
              </w:rPr>
              <w:t>否</w:t>
            </w:r>
          </w:p>
        </w:tc>
        <w:tc>
          <w:tcPr>
            <w:tcW w:w="677"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117</w:t>
            </w:r>
          </w:p>
        </w:tc>
        <w:tc>
          <w:tcPr>
            <w:tcW w:w="63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组</w:t>
            </w:r>
          </w:p>
        </w:tc>
        <w:tc>
          <w:tcPr>
            <w:tcW w:w="1068"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ascii="仿宋" w:hAnsi="仿宋" w:eastAsia="仿宋" w:cs="仿宋"/>
                <w:color w:val="auto"/>
                <w:highlight w:val="none"/>
              </w:rPr>
              <w:t>送货方式</w:t>
            </w:r>
          </w:p>
        </w:tc>
        <w:tc>
          <w:tcPr>
            <w:tcW w:w="13311" w:type="dxa"/>
            <w:gridSpan w:val="7"/>
            <w:vAlign w:val="center"/>
          </w:tcPr>
          <w:p>
            <w:pPr>
              <w:adjustRightInd w:val="0"/>
              <w:snapToGrid w:val="0"/>
              <w:spacing w:line="310" w:lineRule="exact"/>
              <w:rPr>
                <w:rFonts w:ascii="仿宋" w:hAnsi="仿宋" w:eastAsia="仿宋" w:cs="仿宋"/>
                <w:color w:val="auto"/>
                <w:highlight w:val="none"/>
              </w:rPr>
            </w:pPr>
            <w:r>
              <w:rPr>
                <w:rFonts w:ascii="仿宋" w:hAnsi="仿宋" w:eastAsia="仿宋" w:cs="仿宋"/>
                <w:color w:val="auto"/>
                <w:highlight w:val="none"/>
              </w:rPr>
              <w:t>送货上门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ascii="仿宋" w:hAnsi="仿宋" w:eastAsia="仿宋" w:cs="仿宋"/>
                <w:color w:val="auto"/>
                <w:highlight w:val="none"/>
              </w:rPr>
              <w:t>送货时间</w:t>
            </w:r>
          </w:p>
        </w:tc>
        <w:tc>
          <w:tcPr>
            <w:tcW w:w="13311" w:type="dxa"/>
            <w:gridSpan w:val="7"/>
            <w:vAlign w:val="center"/>
          </w:tcPr>
          <w:p>
            <w:pPr>
              <w:adjustRightInd w:val="0"/>
              <w:snapToGrid w:val="0"/>
              <w:spacing w:line="310" w:lineRule="exact"/>
              <w:rPr>
                <w:rFonts w:ascii="仿宋" w:hAnsi="仿宋" w:eastAsia="仿宋" w:cs="仿宋"/>
                <w:color w:val="auto"/>
                <w:highlight w:val="none"/>
              </w:rPr>
            </w:pPr>
            <w:r>
              <w:rPr>
                <w:rFonts w:ascii="仿宋" w:hAnsi="仿宋" w:eastAsia="仿宋" w:cs="仿宋"/>
                <w:color w:val="auto"/>
                <w:highlight w:val="none"/>
              </w:rPr>
              <w:t>工作日09:00至17:00</w:t>
            </w:r>
            <w:r>
              <w:rPr>
                <w:rFonts w:eastAsia="仿宋"/>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ascii="仿宋" w:hAnsi="仿宋" w:eastAsia="仿宋" w:cs="仿宋"/>
                <w:color w:val="auto"/>
                <w:highlight w:val="none"/>
              </w:rPr>
              <w:t>送货期限</w:t>
            </w:r>
          </w:p>
        </w:tc>
        <w:tc>
          <w:tcPr>
            <w:tcW w:w="13311" w:type="dxa"/>
            <w:gridSpan w:val="7"/>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竞价成交后</w:t>
            </w:r>
            <w:r>
              <w:rPr>
                <w:rFonts w:hint="eastAsia" w:ascii="仿宋" w:hAnsi="仿宋" w:eastAsia="仿宋" w:cs="仿宋"/>
                <w:color w:val="auto"/>
                <w:highlight w:val="none"/>
                <w:lang w:val="en-US" w:eastAsia="zh-CN"/>
              </w:rPr>
              <w:t>36</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竞价成交后</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内在甲方指定交货地点完成送货；送货到达后，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内完成安装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调试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发票方式</w:t>
            </w:r>
          </w:p>
        </w:tc>
        <w:tc>
          <w:tcPr>
            <w:tcW w:w="13311" w:type="dxa"/>
            <w:gridSpan w:val="7"/>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 xml:space="preserve">集中开票 </w:t>
            </w:r>
            <w:r>
              <w:rPr>
                <w:rFonts w:ascii="仿宋" w:hAnsi="仿宋" w:eastAsia="仿宋" w:cs="仿宋"/>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发票类型</w:t>
            </w:r>
          </w:p>
        </w:tc>
        <w:tc>
          <w:tcPr>
            <w:tcW w:w="13311" w:type="dxa"/>
            <w:gridSpan w:val="7"/>
            <w:vAlign w:val="center"/>
          </w:tcPr>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sym w:font="Wingdings" w:char="00FE"/>
            </w:r>
            <w:r>
              <w:rPr>
                <w:rFonts w:hint="eastAsia" w:ascii="仿宋" w:hAnsi="仿宋" w:eastAsia="仿宋" w:cs="仿宋"/>
                <w:color w:val="auto"/>
                <w:highlight w:val="none"/>
              </w:rPr>
              <w:t xml:space="preserve">增值税普通发票 </w:t>
            </w:r>
            <w:r>
              <w:rPr>
                <w:rFonts w:ascii="仿宋" w:hAnsi="仿宋" w:eastAsia="仿宋" w:cs="仿宋"/>
                <w:color w:val="auto"/>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50" w:type="dxa"/>
            <w:vAlign w:val="center"/>
          </w:tcPr>
          <w:p>
            <w:pPr>
              <w:adjustRightInd w:val="0"/>
              <w:snapToGrid w:val="0"/>
              <w:spacing w:line="310" w:lineRule="exact"/>
              <w:jc w:val="center"/>
              <w:rPr>
                <w:rFonts w:ascii="仿宋" w:hAnsi="仿宋" w:eastAsia="仿宋" w:cs="仿宋"/>
                <w:color w:val="auto"/>
                <w:highlight w:val="none"/>
              </w:rPr>
            </w:pPr>
            <w:r>
              <w:rPr>
                <w:rFonts w:hint="eastAsia" w:ascii="仿宋" w:hAnsi="仿宋" w:eastAsia="仿宋" w:cs="仿宋"/>
                <w:color w:val="auto"/>
                <w:highlight w:val="none"/>
              </w:rPr>
              <w:t>其他要求</w:t>
            </w:r>
          </w:p>
        </w:tc>
        <w:tc>
          <w:tcPr>
            <w:tcW w:w="13311" w:type="dxa"/>
            <w:gridSpan w:val="7"/>
            <w:vAlign w:val="center"/>
          </w:tcPr>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rPr>
              <w:t>★</w:t>
            </w:r>
            <w:r>
              <w:rPr>
                <w:rFonts w:ascii="仿宋" w:hAnsi="仿宋" w:eastAsia="仿宋" w:cs="仿宋"/>
                <w:color w:val="auto"/>
                <w:highlight w:val="none"/>
              </w:rPr>
              <w:t>技术参数内容均为实质性要求，供应商若未满足的，将被视为无效响应。</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w:t>
            </w:r>
            <w:r>
              <w:rPr>
                <w:rFonts w:hint="eastAsia" w:ascii="仿宋" w:hAnsi="仿宋" w:eastAsia="仿宋" w:cs="仿宋"/>
                <w:color w:val="auto"/>
                <w:highlight w:val="none"/>
              </w:rPr>
              <w:t>★</w:t>
            </w:r>
            <w:r>
              <w:rPr>
                <w:rFonts w:ascii="仿宋" w:hAnsi="仿宋" w:eastAsia="仿宋" w:cs="仿宋"/>
                <w:color w:val="auto"/>
                <w:highlight w:val="none"/>
              </w:rPr>
              <w:t>供应商在</w:t>
            </w:r>
            <w:r>
              <w:rPr>
                <w:rFonts w:hint="eastAsia" w:ascii="仿宋" w:hAnsi="仿宋" w:eastAsia="仿宋" w:cs="仿宋"/>
                <w:color w:val="auto"/>
                <w:highlight w:val="none"/>
              </w:rPr>
              <w:t>送货时</w:t>
            </w:r>
            <w:r>
              <w:rPr>
                <w:rFonts w:ascii="仿宋" w:hAnsi="仿宋" w:eastAsia="仿宋" w:cs="仿宋"/>
                <w:color w:val="auto"/>
                <w:highlight w:val="none"/>
              </w:rPr>
              <w:t>，应向采购人提供以下材料：</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（1）</w:t>
            </w:r>
            <w:r>
              <w:rPr>
                <w:rFonts w:hint="eastAsia" w:ascii="仿宋" w:hAnsi="仿宋" w:eastAsia="仿宋" w:cs="仿宋"/>
                <w:color w:val="auto"/>
                <w:highlight w:val="none"/>
                <w:lang w:val="en-US" w:eastAsia="zh-CN"/>
              </w:rPr>
              <w:t>宿舍学生用书柜</w:t>
            </w:r>
            <w:r>
              <w:rPr>
                <w:rFonts w:ascii="仿宋" w:hAnsi="仿宋" w:eastAsia="仿宋" w:cs="仿宋"/>
                <w:color w:val="auto"/>
                <w:highlight w:val="none"/>
              </w:rPr>
              <w:t>提供经国家认可的第三方甲醛检测机构出具的检测报告</w:t>
            </w:r>
            <w:r>
              <w:rPr>
                <w:rFonts w:hint="eastAsia" w:ascii="仿宋" w:hAnsi="仿宋" w:eastAsia="仿宋" w:cs="仿宋"/>
                <w:color w:val="auto"/>
                <w:highlight w:val="none"/>
                <w:lang w:val="en-US" w:eastAsia="zh-CN"/>
              </w:rPr>
              <w:t>原</w:t>
            </w:r>
            <w:r>
              <w:rPr>
                <w:rFonts w:ascii="仿宋" w:hAnsi="仿宋" w:eastAsia="仿宋" w:cs="仿宋"/>
                <w:color w:val="auto"/>
                <w:highlight w:val="none"/>
              </w:rPr>
              <w:t>件</w:t>
            </w:r>
            <w:r>
              <w:rPr>
                <w:rFonts w:hint="eastAsia" w:ascii="仿宋" w:hAnsi="仿宋" w:eastAsia="仿宋" w:cs="仿宋"/>
                <w:color w:val="auto"/>
                <w:highlight w:val="none"/>
                <w:lang w:eastAsia="zh-CN"/>
              </w:rPr>
              <w:t>，</w:t>
            </w:r>
            <w:r>
              <w:rPr>
                <w:rFonts w:ascii="仿宋" w:hAnsi="仿宋" w:eastAsia="仿宋" w:cs="仿宋"/>
                <w:color w:val="auto"/>
                <w:highlight w:val="none"/>
              </w:rPr>
              <w:t>符合</w:t>
            </w:r>
            <w:r>
              <w:rPr>
                <w:rFonts w:hint="eastAsia" w:ascii="仿宋" w:hAnsi="仿宋" w:eastAsia="仿宋" w:cs="仿宋"/>
                <w:color w:val="auto"/>
                <w:highlight w:val="none"/>
                <w:lang w:val="en-US" w:eastAsia="zh-CN"/>
              </w:rPr>
              <w:t>E0级甲醛释放量</w:t>
            </w:r>
            <w:r>
              <w:rPr>
                <w:rFonts w:ascii="仿宋" w:hAnsi="仿宋" w:eastAsia="仿宋" w:cs="仿宋"/>
                <w:color w:val="auto"/>
                <w:highlight w:val="none"/>
              </w:rPr>
              <w:t>标准</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送检时间为竞价成交之日起至送货前</w:t>
            </w:r>
            <w:r>
              <w:rPr>
                <w:rFonts w:ascii="仿宋" w:hAnsi="仿宋" w:eastAsia="仿宋" w:cs="仿宋"/>
                <w:color w:val="auto"/>
                <w:highlight w:val="none"/>
              </w:rPr>
              <w:t>。</w:t>
            </w:r>
          </w:p>
          <w:p>
            <w:pPr>
              <w:adjustRightInd w:val="0"/>
              <w:snapToGrid w:val="0"/>
              <w:spacing w:line="310" w:lineRule="exact"/>
              <w:jc w:val="left"/>
              <w:rPr>
                <w:rFonts w:ascii="仿宋" w:hAnsi="仿宋" w:eastAsia="仿宋" w:cs="仿宋"/>
                <w:color w:val="auto"/>
                <w:highlight w:val="none"/>
              </w:rPr>
            </w:pPr>
            <w:r>
              <w:rPr>
                <w:rFonts w:ascii="仿宋" w:hAnsi="仿宋" w:eastAsia="仿宋" w:cs="仿宋"/>
                <w:color w:val="auto"/>
                <w:highlight w:val="none"/>
              </w:rPr>
              <w:t>（2）铰链、滑轨提供</w:t>
            </w:r>
            <w:r>
              <w:rPr>
                <w:rFonts w:hint="eastAsia" w:ascii="仿宋" w:hAnsi="仿宋" w:eastAsia="仿宋" w:cs="仿宋"/>
                <w:color w:val="auto"/>
                <w:highlight w:val="none"/>
                <w:lang w:val="en-US" w:eastAsia="zh-CN"/>
              </w:rPr>
              <w:t>经</w:t>
            </w:r>
            <w:r>
              <w:rPr>
                <w:rFonts w:ascii="仿宋" w:hAnsi="仿宋" w:eastAsia="仿宋" w:cs="仿宋"/>
                <w:color w:val="auto"/>
                <w:highlight w:val="none"/>
              </w:rPr>
              <w:t>国家认可的第三方检测机构出具的检测报告</w:t>
            </w:r>
            <w:r>
              <w:rPr>
                <w:rFonts w:hint="eastAsia" w:ascii="仿宋" w:hAnsi="仿宋" w:eastAsia="仿宋" w:cs="仿宋"/>
                <w:color w:val="auto"/>
                <w:highlight w:val="none"/>
              </w:rPr>
              <w:t>复印件</w:t>
            </w:r>
            <w:r>
              <w:rPr>
                <w:rFonts w:ascii="仿宋" w:hAnsi="仿宋" w:eastAsia="仿宋" w:cs="仿宋"/>
                <w:color w:val="auto"/>
                <w:highlight w:val="none"/>
              </w:rPr>
              <w:t>。</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3.★供应商应在竞价成交后3个日历天内，按采购人需求提供货物设计图（含具体尺寸），并按照技术参数提供样板，各类钢板（200mm*200mm）、各类实木颗粒板（200mm*200mm）、各类钢管（300mm）。</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4.★履约保证金</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（1）履约保证金为成交金额的百分之五，供应商应在</w:t>
            </w:r>
            <w:r>
              <w:rPr>
                <w:rFonts w:hint="eastAsia" w:ascii="仿宋" w:hAnsi="仿宋" w:eastAsia="仿宋" w:cs="仿宋"/>
                <w:color w:val="auto"/>
                <w:highlight w:val="none"/>
                <w:lang w:val="en-US" w:eastAsia="zh-CN"/>
              </w:rPr>
              <w:t>竞价成交</w:t>
            </w:r>
            <w:r>
              <w:rPr>
                <w:rFonts w:hint="eastAsia" w:ascii="仿宋" w:hAnsi="仿宋" w:eastAsia="仿宋" w:cs="仿宋"/>
                <w:color w:val="auto"/>
                <w:highlight w:val="none"/>
              </w:rPr>
              <w:t>之日起至合同签订前以银行转账、支票、汇票、本票或者金融机构、担保机构出具的保函等非现金形式向采购人提交履约保证金。</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2）履行合同约定（含售后服务）完毕且验收合格后，10个日历天内无息退还供应商应退部分履约保证金。因采购人原因逾期退还的，应当以未退还金额为基数，按合同订立时1年期贷款市场报价利率标准向投标人支付相应违约金，但违约金最高不得超过未退还金额的百分之十。若因供应商不及时或未提供“履约保证金的收据”、“履约保证金退还申请”的，则采购人不承担逾期退还违约责任。</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（3）履约保证金汇入的银行及账号：</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收款账号：成都市技师学院</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开户行：工行成都红光支行</w:t>
            </w:r>
          </w:p>
          <w:p>
            <w:pPr>
              <w:adjustRightInd w:val="0"/>
              <w:snapToGrid w:val="0"/>
              <w:spacing w:line="310" w:lineRule="exact"/>
              <w:jc w:val="left"/>
              <w:rPr>
                <w:rFonts w:ascii="仿宋" w:hAnsi="仿宋" w:eastAsia="仿宋" w:cs="仿宋"/>
                <w:color w:val="auto"/>
                <w:highlight w:val="none"/>
              </w:rPr>
            </w:pPr>
            <w:r>
              <w:rPr>
                <w:rFonts w:hint="eastAsia" w:ascii="仿宋" w:hAnsi="仿宋" w:eastAsia="仿宋" w:cs="仿宋"/>
                <w:color w:val="auto"/>
                <w:highlight w:val="none"/>
              </w:rPr>
              <w:t>银行账号：4402054609100031151</w:t>
            </w:r>
          </w:p>
          <w:p>
            <w:pPr>
              <w:adjustRightInd w:val="0"/>
              <w:snapToGrid w:val="0"/>
              <w:spacing w:line="310" w:lineRule="exact"/>
              <w:jc w:val="left"/>
              <w:rPr>
                <w:color w:val="auto"/>
                <w:highlight w:val="none"/>
              </w:rPr>
            </w:pPr>
            <w:r>
              <w:rPr>
                <w:rFonts w:hint="eastAsia" w:ascii="仿宋" w:hAnsi="仿宋" w:eastAsia="仿宋" w:cs="仿宋"/>
                <w:color w:val="auto"/>
                <w:highlight w:val="none"/>
              </w:rPr>
              <w:t>（4）履约保证金不予退还情形：一是供应商未按合同约定履行的，其履约保证金全部扣除。二是供应商缴纳了履约保证金，但因自身原因被取消成交资格或在成交公示期满之日起30个日历天(含法定节假日)内供应商不按合同约定事项的，其履约保证金不予退还。三是法律法规或合同约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0" w:hRule="atLeast"/>
        </w:trPr>
        <w:tc>
          <w:tcPr>
            <w:tcW w:w="14861" w:type="dxa"/>
            <w:gridSpan w:val="8"/>
            <w:vAlign w:val="center"/>
          </w:tcPr>
          <w:p>
            <w:pPr>
              <w:adjustRightInd w:val="0"/>
              <w:snapToGrid w:val="0"/>
              <w:spacing w:line="310" w:lineRule="exact"/>
              <w:jc w:val="left"/>
              <w:rPr>
                <w:rFonts w:hint="default" w:eastAsia="宋体"/>
                <w:b/>
                <w:bCs/>
                <w:color w:val="auto"/>
                <w:highlight w:val="none"/>
                <w:lang w:val="en-US" w:eastAsia="zh-CN"/>
              </w:rPr>
            </w:pPr>
            <w:r>
              <w:rPr>
                <w:rFonts w:hint="eastAsia"/>
                <w:b/>
                <w:bCs/>
                <w:color w:val="auto"/>
                <w:highlight w:val="none"/>
                <w:lang w:val="en-US" w:eastAsia="zh-CN"/>
              </w:rPr>
              <w:t>商务要求</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一、★履约时间和地点</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（一）履约时间</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1.送货时间：竞价成交后</w:t>
            </w:r>
            <w:r>
              <w:rPr>
                <w:rFonts w:hint="eastAsia" w:ascii="仿宋" w:hAnsi="仿宋" w:eastAsia="仿宋" w:cs="仿宋"/>
                <w:color w:val="auto"/>
                <w:highlight w:val="none"/>
                <w:lang w:val="en-US" w:eastAsia="zh-CN"/>
              </w:rPr>
              <w:t>36</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竞价成交后</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内在甲方指定交货地点完成送货；送货到达后，</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w:t>
            </w:r>
            <w:r>
              <w:rPr>
                <w:rFonts w:hint="eastAsia" w:ascii="仿宋" w:hAnsi="仿宋" w:eastAsia="仿宋" w:cs="仿宋"/>
                <w:color w:val="auto"/>
                <w:highlight w:val="none"/>
                <w:lang w:val="en-US" w:eastAsia="zh-CN"/>
              </w:rPr>
              <w:t>工作日</w:t>
            </w:r>
            <w:r>
              <w:rPr>
                <w:rFonts w:hint="eastAsia" w:ascii="仿宋" w:hAnsi="仿宋" w:eastAsia="仿宋" w:cs="仿宋"/>
                <w:color w:val="auto"/>
                <w:highlight w:val="none"/>
              </w:rPr>
              <w:t>内完成安装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调试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2.货物试使用时间：货物初验收合格之日起60个日历天的试使用期。</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3.售后服务时间：供应商提供</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年的售后服务，售后服务起始日期以试用期结束，且采购人验收合格之日开始计算。</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（二）履约地点</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成都市郫都区红光街道高店路1666号。</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二、★合同价款及支付方式</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（一）合同价款</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成交价为固定包干价，包括但不限于货物的供货、包装、运输、</w:t>
            </w:r>
            <w:r>
              <w:rPr>
                <w:rFonts w:hint="eastAsia" w:ascii="仿宋" w:hAnsi="仿宋" w:eastAsia="仿宋" w:cs="仿宋"/>
                <w:color w:val="auto"/>
                <w:highlight w:val="none"/>
                <w:lang w:val="en-US" w:eastAsia="zh-CN"/>
              </w:rPr>
              <w:t>检测、</w:t>
            </w:r>
            <w:r>
              <w:rPr>
                <w:rFonts w:hint="eastAsia" w:ascii="仿宋" w:hAnsi="仿宋" w:eastAsia="仿宋" w:cs="仿宋"/>
                <w:color w:val="auto"/>
                <w:highlight w:val="none"/>
              </w:rPr>
              <w:t>安装、调试、售后服务、税费等与完成本项工作有关的所有费用，以及原宿舍内140张高低床、280组铁皮柜的拆除和搬运费用（搬运地点均在成都市郫都区红光街道高店路1666号内）。本合同执行期间合同总价不变，采购人无须另外向供应商支付本合同规定之外的其他任何费用。</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（二）支付方式</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1.合同支付方式为分三次银行转账支付。</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2.双方签订合同后，自采购人收到供应商提供的符合采购人财务要求且合法有效完整的等额完税发票之日起12个日历天内，向供应商支付合同总金额的40%的合同款；</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3.供应商将货物运输到采购人指定地点，安装、调试完毕且货物经采购人初次验收合格后，自采购人收到供应商提供的符合采购人财务要求且合法有效完整的等额完税发票之日起12个日历天内，支付合同总金额的40%的合同款；若收到供应商发票之日早于货物初次验收合格之日，则自货物初次验收合格之日起12个日历天内支付。</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4.初次验收合格之日起进入60天的试使用期，试使用期内货物无质量问题且经采购人验收合格后，自采购人收到供应商提供的符合采购人财务要求且合法有效完整的等额完税发票之日起12个日历天内，支付合同总金额的20%的合同款。若收到供应商发票之日早于货物验收合格之日，则自货物验收合格之日起12个日历天内支付。</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（三）供应商未提供增值税发票，或发票经国税网验审不合格的，或者供应商提供的发票不满足采购人财务要求的，采购人有权拒付，且不承担逾期付款的责任。</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四）供应商保证提供的银行账户信息真实有效，如果供应商账户信息更改（原则上采购人不同意供应商更换账户信息），需要在采购人付款前10个日历天内告知采购人，若因供应商原因导致采购人无法付款或错误付款，后果由供应商自行承担。</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三、★包装、运输、质量要求</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（一）供应商应保证货物(含零部件、配件等)是全新、未使用过的原装合格正品，表面无划伤、无碰撞痕迹；货物权属清楚且满足采购人使用需求，不得侵害他人的知识产权。</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供应商提供的货物必须符合国家(行业)标准以及竞价约定的质量和规格要求。若供应商提供的货物质量和规格与合同约定不符，或证实货物是有缺陷的，包括潜在的缺陷或使用不符合要求的货物等，供应商应在接到采购人书面通知之日起5个日历天内完成换货，因换货产生的费用均由供应商承担，如因不合格货物给采购人造成损失，供应商还应承担赔偿责任。</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三）供应商为本项目实施涉及的货物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四、★安装调试要求</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（一）供应商将货物运达采购人指定地点后，应按照采购人确定的方案进行安装、调试等工作。</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（二）供应商应严格按照国家相关规范进行安装和调试。</w:t>
            </w:r>
          </w:p>
          <w:p>
            <w:pPr>
              <w:adjustRightInd w:val="0"/>
              <w:snapToGrid w:val="0"/>
              <w:spacing w:line="310" w:lineRule="exact"/>
              <w:ind w:firstLine="420" w:firstLineChars="200"/>
              <w:jc w:val="left"/>
              <w:rPr>
                <w:rFonts w:ascii="仿宋" w:hAnsi="仿宋" w:eastAsia="仿宋" w:cs="仿宋"/>
                <w:color w:val="auto"/>
                <w:highlight w:val="none"/>
              </w:rPr>
            </w:pPr>
            <w:bookmarkStart w:id="0" w:name="_bookmark92"/>
            <w:bookmarkEnd w:id="0"/>
            <w:r>
              <w:rPr>
                <w:rFonts w:hint="eastAsia" w:ascii="仿宋" w:hAnsi="仿宋" w:eastAsia="仿宋" w:cs="仿宋"/>
                <w:color w:val="auto"/>
                <w:highlight w:val="none"/>
              </w:rPr>
              <w:t>五、★售后服务要求</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（一）售后服务为上门服务。售后服务期内，供应商应在接到采购人故障报修后的24小时内到达现场，到达现场后4小时内排除故障（含更换）。</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（二）供应商不能在规定的时间内排除故障(含更换)或拒绝售后服务的，采购人有权聘请第三方处理，产生的费用由供应商承担。</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（三）售后服务期内，供应商在同一货物、同一问题中两次维修都不能达到正常使用需求的，供应商应提供免费更换服务。</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（四）售后服务期内产生的人工、运输、货物及辅材更换等费用均由供应商承担。</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六、★其他要求</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如因供应商的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项目实施过程中，供应商应对采购人原场地、设施进行有效保护,如有损坏的应负责修复，无法修复的设施设备，供应商应免费更换全新的设施设备，相关费用由供应商承担并对由此给采购人造成的损失承担全部赔偿损失。</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）项目实施过程中，供应商应对产生的垃圾进行清理，若供应商拒绝或延迟清理的，采购人有权聘请第三方处理，产生的费用由供应商承担。</w:t>
            </w:r>
          </w:p>
          <w:p>
            <w:pPr>
              <w:adjustRightInd w:val="0"/>
              <w:snapToGrid w:val="0"/>
              <w:spacing w:line="310" w:lineRule="exact"/>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）供应商交货时，采购人有权随机抽样检测（或破坏性检测），检测结果符合合同约定，产生的费用由采购人承担；若检测结果不符合合同约定，产生的费用由供应商承担，并按合同约定追究供应商的违约责任。</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双方</w:t>
            </w:r>
            <w:r>
              <w:rPr>
                <w:rFonts w:hint="eastAsia" w:ascii="仿宋" w:hAnsi="仿宋" w:eastAsia="仿宋" w:cs="仿宋"/>
                <w:color w:val="auto"/>
                <w:highlight w:val="none"/>
              </w:rPr>
              <w:t>严格遵守党和国家有关法律法规及党风廉政建设各项规定</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严格履行《中华人民共和国反不正当竞争法》和《关于禁止商业贿赂行为的暂行规定》，杜绝违约行为的发生。</w:t>
            </w:r>
          </w:p>
          <w:p>
            <w:pPr>
              <w:adjustRightInd w:val="0"/>
              <w:snapToGrid w:val="0"/>
              <w:spacing w:line="310" w:lineRule="exact"/>
              <w:ind w:firstLine="420" w:firstLineChars="200"/>
              <w:jc w:val="left"/>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六</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双方本着公开、公正、诚信的原则，自觉按合同办事，不得损害国家利益、集体利益和个人合法权益</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若发现对方在业务活动中有违反廉政规定和本合同约定的行为时，有及时提醒和督促对方纠正的权利和义务，并有权向对方主管部门或有关机构检举揭发。</w:t>
            </w:r>
          </w:p>
          <w:p>
            <w:pPr>
              <w:adjustRightInd w:val="0"/>
              <w:snapToGrid w:val="0"/>
              <w:spacing w:line="310" w:lineRule="exact"/>
              <w:ind w:firstLine="422" w:firstLineChars="200"/>
              <w:jc w:val="left"/>
              <w:rPr>
                <w:rFonts w:ascii="仿宋_GB2312" w:hAnsi="仿宋_GB2312" w:eastAsia="仿宋_GB2312" w:cs="仿宋_GB2312"/>
                <w:b/>
                <w:bCs/>
                <w:color w:val="auto"/>
                <w:sz w:val="28"/>
                <w:szCs w:val="28"/>
                <w:highlight w:val="none"/>
              </w:rPr>
            </w:pPr>
            <w:r>
              <w:rPr>
                <w:rFonts w:hint="eastAsia" w:ascii="仿宋" w:hAnsi="仿宋" w:eastAsia="仿宋" w:cs="仿宋"/>
                <w:b/>
                <w:bCs/>
                <w:color w:val="auto"/>
                <w:highlight w:val="none"/>
              </w:rPr>
              <w:t>注意：带“★”号条款为实质性要求，供应商若未满足的，将被视为无效响应。</w:t>
            </w:r>
          </w:p>
        </w:tc>
      </w:tr>
    </w:tbl>
    <w:p>
      <w:pPr>
        <w:widowControl/>
        <w:spacing w:after="0" w:line="360" w:lineRule="atLeast"/>
        <w:jc w:val="center"/>
        <w:outlineLvl w:val="2"/>
        <w:rPr>
          <w:rFonts w:hint="eastAsia" w:ascii="宋体" w:hAnsi="宋体"/>
          <w:b/>
          <w:sz w:val="32"/>
          <w:szCs w:val="32"/>
        </w:rPr>
      </w:pPr>
    </w:p>
    <w:p>
      <w:pPr>
        <w:widowControl/>
        <w:spacing w:after="0" w:line="360" w:lineRule="atLeast"/>
        <w:jc w:val="center"/>
        <w:outlineLvl w:val="2"/>
        <w:rPr>
          <w:rFonts w:hint="eastAsia" w:ascii="宋体" w:hAnsi="宋体"/>
          <w:b/>
          <w:sz w:val="32"/>
          <w:szCs w:val="32"/>
        </w:rPr>
      </w:pPr>
    </w:p>
    <w:p>
      <w:pPr>
        <w:widowControl/>
        <w:spacing w:after="0" w:line="360" w:lineRule="atLeast"/>
        <w:jc w:val="center"/>
        <w:outlineLvl w:val="2"/>
        <w:rPr>
          <w:rFonts w:hint="eastAsia" w:ascii="宋体" w:hAnsi="宋体"/>
          <w:b/>
          <w:sz w:val="32"/>
          <w:szCs w:val="32"/>
        </w:rPr>
      </w:pPr>
    </w:p>
    <w:p>
      <w:pPr>
        <w:widowControl/>
        <w:spacing w:after="0" w:line="360" w:lineRule="atLeast"/>
        <w:jc w:val="center"/>
        <w:outlineLvl w:val="2"/>
        <w:rPr>
          <w:rFonts w:ascii="宋体" w:hAnsi="宋体"/>
          <w:b/>
          <w:sz w:val="32"/>
          <w:szCs w:val="32"/>
        </w:rPr>
      </w:pPr>
      <w:r>
        <w:rPr>
          <w:rFonts w:hint="eastAsia" w:ascii="宋体" w:hAnsi="宋体"/>
          <w:b/>
          <w:sz w:val="32"/>
          <w:szCs w:val="32"/>
        </w:rPr>
        <w:t>中小企业声明函(货物)</w:t>
      </w:r>
    </w:p>
    <w:p>
      <w:pPr>
        <w:widowControl/>
        <w:spacing w:after="0" w:line="360" w:lineRule="atLeast"/>
        <w:jc w:val="center"/>
        <w:rPr>
          <w:rFonts w:ascii="宋体" w:hAnsi="宋体"/>
          <w:b/>
          <w:sz w:val="32"/>
          <w:szCs w:val="32"/>
        </w:rPr>
      </w:pPr>
    </w:p>
    <w:p>
      <w:pPr>
        <w:spacing w:after="0" w:line="360" w:lineRule="auto"/>
        <w:ind w:firstLine="480" w:firstLineChars="200"/>
        <w:jc w:val="left"/>
        <w:rPr>
          <w:rFonts w:ascii="宋体" w:hAnsi="宋体"/>
          <w:sz w:val="24"/>
        </w:rPr>
      </w:pPr>
      <w:r>
        <w:rPr>
          <w:rFonts w:hint="eastAsia" w:ascii="宋体" w:hAnsi="宋体"/>
          <w:sz w:val="24"/>
        </w:rPr>
        <w:t>本公司（联合体）郑重声明，根据《政府采购促进中小企业发展管理办法》（财库〔2020</w:t>
      </w:r>
      <w:r>
        <w:rPr>
          <w:rFonts w:ascii="宋体" w:hAnsi="宋体"/>
          <w:sz w:val="24"/>
        </w:rPr>
        <w:t>〕</w:t>
      </w:r>
      <w:r>
        <w:rPr>
          <w:rFonts w:hint="eastAsia" w:ascii="宋体" w:hAnsi="宋体"/>
          <w:sz w:val="24"/>
        </w:rPr>
        <w:t>46 号）</w:t>
      </w:r>
      <w:r>
        <w:rPr>
          <w:rFonts w:ascii="宋体" w:hAnsi="宋体"/>
          <w:sz w:val="24"/>
        </w:rPr>
        <w:t>的规定，</w:t>
      </w:r>
      <w:r>
        <w:rPr>
          <w:rFonts w:hint="eastAsia" w:ascii="宋体" w:hAnsi="宋体"/>
          <w:sz w:val="24"/>
        </w:rPr>
        <w:t>本公司（联合体）参加成都市技师学院（成都工贸职业技术学院）的成都市技师学院（成都工贸职业技术学院）“双高”建设教育教学环境提升宿舍家具购置项目采购活动，提供的货物全部由符合政策要求的中小企业制造。相关企业（含联合体中的中小企业、签订分包意向协议的中小企业）的具体情况如下：</w:t>
      </w:r>
      <w:r>
        <w:rPr>
          <w:rFonts w:ascii="宋体" w:hAnsi="宋体"/>
          <w:sz w:val="24"/>
        </w:rPr>
        <w:br w:type="textWrapping"/>
      </w:r>
      <w:r>
        <w:rPr>
          <w:rFonts w:hint="eastAsia" w:ascii="宋体" w:hAnsi="宋体"/>
          <w:sz w:val="24"/>
        </w:rPr>
        <w:t>　　</w:t>
      </w:r>
      <w:bookmarkStart w:id="1" w:name="_Toc413748654"/>
      <w:bookmarkStart w:id="2" w:name="_Toc387658050"/>
      <w:bookmarkStart w:id="3" w:name="_Toc417911732"/>
      <w:bookmarkStart w:id="4" w:name="_Toc419811733"/>
      <w:bookmarkStart w:id="5" w:name="_Toc387147344"/>
      <w:r>
        <w:rPr>
          <w:rFonts w:hint="eastAsia" w:ascii="宋体" w:hAnsi="宋体"/>
          <w:sz w:val="24"/>
        </w:rPr>
        <w:t>1. 宿舍学生用衣柜（一），属于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480" w:firstLineChars="200"/>
        <w:jc w:val="left"/>
        <w:rPr>
          <w:rFonts w:ascii="宋体" w:hAnsi="宋体"/>
          <w:sz w:val="24"/>
        </w:rPr>
      </w:pPr>
      <w:r>
        <w:rPr>
          <w:rFonts w:hint="eastAsia" w:ascii="宋体" w:hAnsi="宋体"/>
          <w:sz w:val="24"/>
        </w:rPr>
        <w:t>2. 宿舍学生用衣柜（</w:t>
      </w:r>
      <w:r>
        <w:rPr>
          <w:rFonts w:hint="eastAsia" w:ascii="宋体" w:hAnsi="宋体"/>
          <w:sz w:val="24"/>
          <w:lang w:val="en-US" w:eastAsia="zh-CN"/>
        </w:rPr>
        <w:t>二</w:t>
      </w:r>
      <w:r>
        <w:rPr>
          <w:rFonts w:hint="eastAsia" w:ascii="宋体" w:hAnsi="宋体"/>
          <w:sz w:val="24"/>
        </w:rPr>
        <w:t>）</w:t>
      </w:r>
      <w:r>
        <w:rPr>
          <w:rFonts w:hint="eastAsia" w:ascii="宋体" w:hAnsi="宋体"/>
          <w:sz w:val="24"/>
        </w:rPr>
        <w:t>，属于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600" w:firstLineChars="250"/>
        <w:jc w:val="left"/>
        <w:rPr>
          <w:rFonts w:ascii="宋体" w:hAnsi="宋体"/>
          <w:sz w:val="24"/>
        </w:rPr>
      </w:pPr>
      <w:r>
        <w:rPr>
          <w:rFonts w:hint="eastAsia" w:ascii="宋体" w:hAnsi="宋体"/>
          <w:sz w:val="24"/>
          <w:lang w:val="en-US" w:eastAsia="zh-CN"/>
        </w:rPr>
        <w:t>3</w:t>
      </w:r>
      <w:r>
        <w:rPr>
          <w:rFonts w:hint="eastAsia" w:ascii="宋体" w:hAnsi="宋体"/>
          <w:sz w:val="24"/>
        </w:rPr>
        <w:t>. 宿舍学生用书柜</w:t>
      </w:r>
      <w:r>
        <w:rPr>
          <w:rFonts w:hint="eastAsia" w:ascii="宋体" w:hAnsi="宋体"/>
          <w:sz w:val="24"/>
        </w:rPr>
        <w:t>，属于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600" w:firstLineChars="250"/>
        <w:jc w:val="left"/>
        <w:rPr>
          <w:rFonts w:ascii="宋体" w:hAnsi="宋体"/>
          <w:sz w:val="24"/>
        </w:rPr>
      </w:pPr>
      <w:r>
        <w:rPr>
          <w:rFonts w:hint="eastAsia" w:ascii="宋体" w:hAnsi="宋体"/>
          <w:sz w:val="24"/>
          <w:lang w:val="en-US" w:eastAsia="zh-CN"/>
        </w:rPr>
        <w:t>4</w:t>
      </w:r>
      <w:r>
        <w:rPr>
          <w:rFonts w:hint="eastAsia" w:ascii="宋体" w:hAnsi="宋体"/>
          <w:sz w:val="24"/>
        </w:rPr>
        <w:t>. 宿舍学生用条形桌</w:t>
      </w:r>
      <w:r>
        <w:rPr>
          <w:rFonts w:hint="eastAsia" w:ascii="宋体" w:hAnsi="宋体"/>
          <w:sz w:val="24"/>
        </w:rPr>
        <w:t>，属于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600" w:firstLineChars="250"/>
        <w:jc w:val="left"/>
        <w:rPr>
          <w:rFonts w:ascii="宋体" w:hAnsi="宋体"/>
          <w:sz w:val="24"/>
        </w:rPr>
      </w:pPr>
      <w:r>
        <w:rPr>
          <w:rFonts w:hint="eastAsia" w:ascii="宋体" w:hAnsi="宋体"/>
          <w:sz w:val="24"/>
          <w:lang w:val="en-US" w:eastAsia="zh-CN"/>
        </w:rPr>
        <w:t>5</w:t>
      </w:r>
      <w:r>
        <w:rPr>
          <w:rFonts w:hint="eastAsia" w:ascii="宋体" w:hAnsi="宋体"/>
          <w:sz w:val="24"/>
        </w:rPr>
        <w:t>.宿舍学生用凳子</w:t>
      </w:r>
      <w:r>
        <w:rPr>
          <w:rFonts w:hint="eastAsia" w:ascii="宋体" w:hAnsi="宋体"/>
          <w:sz w:val="24"/>
        </w:rPr>
        <w:t>，属于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600" w:firstLineChars="250"/>
        <w:jc w:val="left"/>
        <w:rPr>
          <w:rFonts w:ascii="宋体" w:hAnsi="宋体"/>
          <w:sz w:val="24"/>
        </w:rPr>
      </w:pPr>
      <w:r>
        <w:rPr>
          <w:rFonts w:hint="eastAsia" w:ascii="宋体" w:hAnsi="宋体"/>
          <w:sz w:val="24"/>
          <w:lang w:val="en-US" w:eastAsia="zh-CN"/>
        </w:rPr>
        <w:t>6</w:t>
      </w:r>
      <w:r>
        <w:rPr>
          <w:rFonts w:hint="eastAsia" w:ascii="宋体" w:hAnsi="宋体"/>
          <w:sz w:val="24"/>
        </w:rPr>
        <w:t>. 宿舍学生用行李架</w:t>
      </w:r>
      <w:r>
        <w:rPr>
          <w:rFonts w:hint="eastAsia" w:ascii="宋体" w:hAnsi="宋体"/>
          <w:sz w:val="24"/>
        </w:rPr>
        <w:t>，属于</w:t>
      </w:r>
      <w:r>
        <w:rPr>
          <w:rFonts w:hint="eastAsia" w:ascii="宋体" w:hAnsi="宋体"/>
          <w:sz w:val="24"/>
          <w:u w:val="single"/>
          <w:lang w:val="en-US" w:eastAsia="zh-CN"/>
        </w:rPr>
        <w:t>工业</w:t>
      </w:r>
      <w:r>
        <w:rPr>
          <w:rFonts w:hint="eastAsia" w:ascii="宋体" w:hAnsi="宋体"/>
          <w:sz w:val="24"/>
          <w:u w:val="single"/>
        </w:rPr>
        <w:t xml:space="preserve">  </w:t>
      </w:r>
      <w:r>
        <w:rPr>
          <w:rFonts w:hint="eastAsia" w:ascii="宋体" w:hAnsi="宋体"/>
          <w:sz w:val="24"/>
        </w:rPr>
        <w:t>；制造商为</w:t>
      </w:r>
      <w:r>
        <w:rPr>
          <w:rFonts w:hint="eastAsia" w:ascii="宋体" w:hAnsi="宋体"/>
          <w:sz w:val="24"/>
          <w:u w:val="single"/>
        </w:rPr>
        <w:t xml:space="preserve"> （企业名称） </w:t>
      </w:r>
      <w:r>
        <w:rPr>
          <w:rFonts w:hint="eastAsia" w:ascii="宋体" w:hAnsi="宋体"/>
          <w:sz w:val="24"/>
        </w:rPr>
        <w:t>，从业人员</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 xml:space="preserve"> （中型企业、小型企业、微型企业） </w:t>
      </w:r>
      <w:r>
        <w:rPr>
          <w:rFonts w:hint="eastAsia" w:ascii="宋体" w:hAnsi="宋体"/>
          <w:sz w:val="24"/>
        </w:rPr>
        <w:t>；</w:t>
      </w:r>
    </w:p>
    <w:p>
      <w:pPr>
        <w:spacing w:after="0" w:line="360" w:lineRule="auto"/>
        <w:ind w:firstLine="600" w:firstLineChars="250"/>
        <w:jc w:val="left"/>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spacing w:after="0" w:line="360" w:lineRule="auto"/>
        <w:ind w:firstLine="600" w:firstLineChars="250"/>
        <w:jc w:val="left"/>
        <w:rPr>
          <w:rFonts w:ascii="宋体" w:hAnsi="宋体"/>
          <w:sz w:val="24"/>
        </w:rPr>
      </w:pPr>
      <w:r>
        <w:rPr>
          <w:rFonts w:hint="eastAsia" w:ascii="宋体" w:hAnsi="宋体"/>
          <w:sz w:val="24"/>
        </w:rPr>
        <w:t>本企业对上述声明内容的真实性负责。如有虚假，将依法承担相应责任。</w:t>
      </w:r>
    </w:p>
    <w:p>
      <w:pPr>
        <w:spacing w:after="0" w:line="360" w:lineRule="auto"/>
        <w:jc w:val="center"/>
        <w:rPr>
          <w:rFonts w:ascii="宋体" w:hAnsi="宋体"/>
          <w:sz w:val="24"/>
        </w:rPr>
      </w:pPr>
      <w:r>
        <w:rPr>
          <w:rFonts w:hint="eastAsia" w:ascii="宋体" w:hAnsi="宋体"/>
          <w:sz w:val="24"/>
        </w:rPr>
        <w:t xml:space="preserve">                                 企业名称（盖章）：</w:t>
      </w:r>
    </w:p>
    <w:p>
      <w:pPr>
        <w:spacing w:after="0" w:line="360" w:lineRule="auto"/>
        <w:jc w:val="center"/>
        <w:rPr>
          <w:rFonts w:ascii="宋体" w:hAnsi="宋体"/>
          <w:sz w:val="24"/>
        </w:rPr>
      </w:pPr>
      <w:r>
        <w:rPr>
          <w:rFonts w:hint="eastAsia" w:ascii="宋体" w:hAnsi="宋体"/>
          <w:sz w:val="24"/>
        </w:rPr>
        <w:t xml:space="preserve">                        日 期：</w:t>
      </w:r>
    </w:p>
    <w:p>
      <w:pPr>
        <w:spacing w:after="0" w:line="360" w:lineRule="auto"/>
        <w:ind w:firstLine="720" w:firstLineChars="300"/>
        <w:jc w:val="left"/>
      </w:pPr>
      <w:r>
        <w:rPr>
          <w:rFonts w:hint="eastAsia" w:ascii="宋体" w:hAnsi="宋体" w:cs="宋体"/>
          <w:sz w:val="24"/>
        </w:rPr>
        <w:t>注：</w:t>
      </w:r>
      <w:bookmarkEnd w:id="1"/>
      <w:bookmarkEnd w:id="2"/>
      <w:bookmarkEnd w:id="3"/>
      <w:bookmarkEnd w:id="4"/>
      <w:bookmarkEnd w:id="5"/>
      <w:r>
        <w:rPr>
          <w:rFonts w:hint="eastAsia" w:ascii="宋体" w:hAnsi="宋体" w:cs="宋体"/>
          <w:sz w:val="24"/>
        </w:rPr>
        <w:t>从业人员、营业收入、资产总额填报上一年度数据，无上一年度数据的新成立企业可不填报。</w:t>
      </w:r>
      <w:r>
        <w:rPr>
          <w:rFonts w:hint="eastAsia" w:ascii="宋体" w:hAnsi="宋体" w:cs="宋体"/>
          <w:sz w:val="24"/>
        </w:rPr>
        <w:br w:type="page"/>
      </w:r>
    </w:p>
    <w:sectPr>
      <w:footerReference r:id="rId3" w:type="default"/>
      <w:pgSz w:w="16838" w:h="11906" w:orient="landscape"/>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jgyNDU5Y2E2N2E2YTVlZDI2NzM4NjMwOTBkZjMifQ=="/>
  </w:docVars>
  <w:rsids>
    <w:rsidRoot w:val="0D1B7CD6"/>
    <w:rsid w:val="000E1C81"/>
    <w:rsid w:val="001A08D7"/>
    <w:rsid w:val="001E0FBB"/>
    <w:rsid w:val="00297352"/>
    <w:rsid w:val="002A1B25"/>
    <w:rsid w:val="002B435B"/>
    <w:rsid w:val="00367B7C"/>
    <w:rsid w:val="00396493"/>
    <w:rsid w:val="00477FAB"/>
    <w:rsid w:val="004A187E"/>
    <w:rsid w:val="004E06E5"/>
    <w:rsid w:val="0054698D"/>
    <w:rsid w:val="005B59AB"/>
    <w:rsid w:val="005C6EBF"/>
    <w:rsid w:val="005E4385"/>
    <w:rsid w:val="006101D2"/>
    <w:rsid w:val="0066213C"/>
    <w:rsid w:val="0067505A"/>
    <w:rsid w:val="006828D9"/>
    <w:rsid w:val="006F3501"/>
    <w:rsid w:val="00703E8B"/>
    <w:rsid w:val="008570AF"/>
    <w:rsid w:val="008944C8"/>
    <w:rsid w:val="00912996"/>
    <w:rsid w:val="00915814"/>
    <w:rsid w:val="00A60CE3"/>
    <w:rsid w:val="00A81009"/>
    <w:rsid w:val="00A87672"/>
    <w:rsid w:val="00B70830"/>
    <w:rsid w:val="00C03AD2"/>
    <w:rsid w:val="00C60F41"/>
    <w:rsid w:val="00C7068A"/>
    <w:rsid w:val="00C93142"/>
    <w:rsid w:val="00CA34C8"/>
    <w:rsid w:val="00CC7DB2"/>
    <w:rsid w:val="00D37A01"/>
    <w:rsid w:val="00D67C88"/>
    <w:rsid w:val="00DE579E"/>
    <w:rsid w:val="00E657D6"/>
    <w:rsid w:val="00E9113E"/>
    <w:rsid w:val="00F26527"/>
    <w:rsid w:val="00FB39A0"/>
    <w:rsid w:val="02096B66"/>
    <w:rsid w:val="03352720"/>
    <w:rsid w:val="04CA7623"/>
    <w:rsid w:val="06532CB9"/>
    <w:rsid w:val="06DD18DE"/>
    <w:rsid w:val="09DD4E49"/>
    <w:rsid w:val="0A8413F9"/>
    <w:rsid w:val="0D1B7CD6"/>
    <w:rsid w:val="0F625791"/>
    <w:rsid w:val="1055348B"/>
    <w:rsid w:val="11395847"/>
    <w:rsid w:val="12F823D8"/>
    <w:rsid w:val="142474B9"/>
    <w:rsid w:val="144D2972"/>
    <w:rsid w:val="17307D54"/>
    <w:rsid w:val="175F3CC4"/>
    <w:rsid w:val="18061366"/>
    <w:rsid w:val="1A9E554F"/>
    <w:rsid w:val="1B845246"/>
    <w:rsid w:val="1B9273FE"/>
    <w:rsid w:val="1CE562BD"/>
    <w:rsid w:val="1D7B2BD0"/>
    <w:rsid w:val="1F194E56"/>
    <w:rsid w:val="1F3C7C99"/>
    <w:rsid w:val="1F7128C4"/>
    <w:rsid w:val="206108F0"/>
    <w:rsid w:val="21043CFA"/>
    <w:rsid w:val="2250004E"/>
    <w:rsid w:val="22BE5D5D"/>
    <w:rsid w:val="24824A71"/>
    <w:rsid w:val="26031EA5"/>
    <w:rsid w:val="270D5833"/>
    <w:rsid w:val="289056B1"/>
    <w:rsid w:val="297819DB"/>
    <w:rsid w:val="2A3C732B"/>
    <w:rsid w:val="2A873607"/>
    <w:rsid w:val="30806AFC"/>
    <w:rsid w:val="30B97212"/>
    <w:rsid w:val="31460356"/>
    <w:rsid w:val="3414257F"/>
    <w:rsid w:val="36891400"/>
    <w:rsid w:val="380225E8"/>
    <w:rsid w:val="397076CA"/>
    <w:rsid w:val="39C64F75"/>
    <w:rsid w:val="3C386C55"/>
    <w:rsid w:val="3DF22A48"/>
    <w:rsid w:val="3E0F416F"/>
    <w:rsid w:val="3FD97D03"/>
    <w:rsid w:val="402A0162"/>
    <w:rsid w:val="40CD4293"/>
    <w:rsid w:val="41322852"/>
    <w:rsid w:val="41506681"/>
    <w:rsid w:val="41A626B5"/>
    <w:rsid w:val="41BB74B3"/>
    <w:rsid w:val="422C7CE9"/>
    <w:rsid w:val="43533040"/>
    <w:rsid w:val="447F511B"/>
    <w:rsid w:val="452B51EB"/>
    <w:rsid w:val="4568287F"/>
    <w:rsid w:val="468A3363"/>
    <w:rsid w:val="48687BA7"/>
    <w:rsid w:val="48A7231C"/>
    <w:rsid w:val="49815EBD"/>
    <w:rsid w:val="4B8A3D29"/>
    <w:rsid w:val="4DE755D5"/>
    <w:rsid w:val="4E8D29F1"/>
    <w:rsid w:val="4EFA64D5"/>
    <w:rsid w:val="50666C7A"/>
    <w:rsid w:val="50D45805"/>
    <w:rsid w:val="55B47996"/>
    <w:rsid w:val="562F47AA"/>
    <w:rsid w:val="565F66E5"/>
    <w:rsid w:val="56966677"/>
    <w:rsid w:val="575C0D0C"/>
    <w:rsid w:val="57F2130E"/>
    <w:rsid w:val="5F316559"/>
    <w:rsid w:val="60762418"/>
    <w:rsid w:val="61FF10F1"/>
    <w:rsid w:val="633E536C"/>
    <w:rsid w:val="64A06E94"/>
    <w:rsid w:val="653A413A"/>
    <w:rsid w:val="67797113"/>
    <w:rsid w:val="67957627"/>
    <w:rsid w:val="67CA6FAE"/>
    <w:rsid w:val="695B03FD"/>
    <w:rsid w:val="69670CE0"/>
    <w:rsid w:val="6C5F7416"/>
    <w:rsid w:val="6E467D02"/>
    <w:rsid w:val="70F1518A"/>
    <w:rsid w:val="71375BC4"/>
    <w:rsid w:val="726215E9"/>
    <w:rsid w:val="72B76043"/>
    <w:rsid w:val="73592B67"/>
    <w:rsid w:val="74116287"/>
    <w:rsid w:val="75C95D62"/>
    <w:rsid w:val="76737B4D"/>
    <w:rsid w:val="76867060"/>
    <w:rsid w:val="77AA06DA"/>
    <w:rsid w:val="7877697C"/>
    <w:rsid w:val="789469C8"/>
    <w:rsid w:val="79AC6CFF"/>
    <w:rsid w:val="79C243DE"/>
    <w:rsid w:val="79E209F6"/>
    <w:rsid w:val="7B172354"/>
    <w:rsid w:val="7B7008C9"/>
    <w:rsid w:val="7B846A8E"/>
    <w:rsid w:val="7BED0409"/>
    <w:rsid w:val="7CF33307"/>
    <w:rsid w:val="7FF61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200" w:after="200" w:line="560" w:lineRule="exact"/>
      <w:jc w:val="center"/>
      <w:outlineLvl w:val="0"/>
    </w:pPr>
    <w:rPr>
      <w:rFonts w:cs="Times New Roman"/>
      <w:b/>
      <w:kern w:val="44"/>
      <w:sz w:val="36"/>
      <w:szCs w:val="20"/>
    </w:rPr>
  </w:style>
  <w:style w:type="paragraph" w:styleId="2">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8"/>
    <w:qFormat/>
    <w:uiPriority w:val="0"/>
    <w:pPr>
      <w:jc w:val="left"/>
    </w:pPr>
  </w:style>
  <w:style w:type="paragraph" w:styleId="5">
    <w:name w:val="Body Text"/>
    <w:basedOn w:val="1"/>
    <w:next w:val="1"/>
    <w:qFormat/>
    <w:uiPriority w:val="99"/>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49"/>
    <w:qFormat/>
    <w:uiPriority w:val="0"/>
    <w:rPr>
      <w:b/>
      <w:bCs/>
    </w:rPr>
  </w:style>
  <w:style w:type="paragraph" w:styleId="9">
    <w:name w:val="Body Text First Indent 2"/>
    <w:basedOn w:val="5"/>
    <w:next w:val="1"/>
    <w:qFormat/>
    <w:uiPriority w:val="99"/>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qFormat/>
    <w:uiPriority w:val="0"/>
    <w:rPr>
      <w:color w:val="454545"/>
      <w:u w:val="none"/>
    </w:rPr>
  </w:style>
  <w:style w:type="character" w:styleId="15">
    <w:name w:val="HTML Definition"/>
    <w:basedOn w:val="12"/>
    <w:qFormat/>
    <w:uiPriority w:val="0"/>
    <w:rPr>
      <w:i/>
    </w:rPr>
  </w:style>
  <w:style w:type="character" w:styleId="16">
    <w:name w:val="Hyperlink"/>
    <w:basedOn w:val="12"/>
    <w:qFormat/>
    <w:uiPriority w:val="0"/>
    <w:rPr>
      <w:color w:val="454545"/>
      <w:u w:val="none"/>
    </w:rPr>
  </w:style>
  <w:style w:type="character" w:styleId="17">
    <w:name w:val="HTML Code"/>
    <w:basedOn w:val="12"/>
    <w:qFormat/>
    <w:uiPriority w:val="0"/>
    <w:rPr>
      <w:rFonts w:hint="default" w:ascii="Consolas" w:hAnsi="Consolas" w:eastAsia="Consolas" w:cs="Consolas"/>
      <w:color w:val="C7254E"/>
      <w:sz w:val="21"/>
      <w:szCs w:val="21"/>
      <w:shd w:val="clear" w:color="auto" w:fill="F9F2F4"/>
    </w:rPr>
  </w:style>
  <w:style w:type="character" w:styleId="18">
    <w:name w:val="annotation reference"/>
    <w:basedOn w:val="12"/>
    <w:qFormat/>
    <w:uiPriority w:val="0"/>
    <w:rPr>
      <w:sz w:val="21"/>
      <w:szCs w:val="21"/>
    </w:rPr>
  </w:style>
  <w:style w:type="character" w:styleId="19">
    <w:name w:val="HTML Keyboard"/>
    <w:basedOn w:val="12"/>
    <w:qFormat/>
    <w:uiPriority w:val="0"/>
    <w:rPr>
      <w:rFonts w:ascii="Consolas" w:hAnsi="Consolas" w:eastAsia="Consolas" w:cs="Consolas"/>
      <w:color w:val="FFFFFF"/>
      <w:sz w:val="21"/>
      <w:szCs w:val="21"/>
      <w:shd w:val="clear" w:color="auto" w:fill="333333"/>
    </w:rPr>
  </w:style>
  <w:style w:type="character" w:styleId="20">
    <w:name w:val="HTML Sample"/>
    <w:basedOn w:val="12"/>
    <w:qFormat/>
    <w:uiPriority w:val="0"/>
    <w:rPr>
      <w:rFonts w:hint="default" w:ascii="Consolas" w:hAnsi="Consolas" w:eastAsia="Consolas" w:cs="Consolas"/>
      <w:sz w:val="21"/>
      <w:szCs w:val="21"/>
    </w:rPr>
  </w:style>
  <w:style w:type="paragraph" w:customStyle="1" w:styleId="21">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l-btn-icon-right"/>
    <w:basedOn w:val="12"/>
    <w:qFormat/>
    <w:uiPriority w:val="0"/>
  </w:style>
  <w:style w:type="character" w:customStyle="1" w:styleId="23">
    <w:name w:val="layui-layer-tabnow"/>
    <w:basedOn w:val="12"/>
    <w:qFormat/>
    <w:uiPriority w:val="0"/>
    <w:rPr>
      <w:bdr w:val="single" w:color="CCCCCC" w:sz="6" w:space="0"/>
      <w:shd w:val="clear" w:color="auto" w:fill="FFFFFF"/>
    </w:rPr>
  </w:style>
  <w:style w:type="character" w:customStyle="1" w:styleId="24">
    <w:name w:val="l-btn-icon-left"/>
    <w:basedOn w:val="12"/>
    <w:qFormat/>
    <w:uiPriority w:val="0"/>
  </w:style>
  <w:style w:type="character" w:customStyle="1" w:styleId="25">
    <w:name w:val="l-btn-left2"/>
    <w:basedOn w:val="12"/>
    <w:qFormat/>
    <w:uiPriority w:val="0"/>
  </w:style>
  <w:style w:type="character" w:customStyle="1" w:styleId="26">
    <w:name w:val="l-btn-left3"/>
    <w:basedOn w:val="12"/>
    <w:qFormat/>
    <w:uiPriority w:val="0"/>
  </w:style>
  <w:style w:type="character" w:customStyle="1" w:styleId="27">
    <w:name w:val="l-btn-left4"/>
    <w:basedOn w:val="12"/>
    <w:qFormat/>
    <w:uiPriority w:val="0"/>
  </w:style>
  <w:style w:type="character" w:customStyle="1" w:styleId="28">
    <w:name w:val="l-btn-left5"/>
    <w:basedOn w:val="12"/>
    <w:qFormat/>
    <w:uiPriority w:val="0"/>
  </w:style>
  <w:style w:type="character" w:customStyle="1" w:styleId="29">
    <w:name w:val="l-btn-left6"/>
    <w:basedOn w:val="12"/>
    <w:qFormat/>
    <w:uiPriority w:val="0"/>
  </w:style>
  <w:style w:type="character" w:customStyle="1" w:styleId="30">
    <w:name w:val="ajaxtitle"/>
    <w:basedOn w:val="12"/>
    <w:qFormat/>
    <w:uiPriority w:val="0"/>
  </w:style>
  <w:style w:type="character" w:customStyle="1" w:styleId="31">
    <w:name w:val="l-btn-text"/>
    <w:basedOn w:val="12"/>
    <w:qFormat/>
    <w:uiPriority w:val="0"/>
    <w:rPr>
      <w:vertAlign w:val="baseline"/>
    </w:rPr>
  </w:style>
  <w:style w:type="character" w:customStyle="1" w:styleId="32">
    <w:name w:val="l-btn-text1"/>
    <w:basedOn w:val="12"/>
    <w:qFormat/>
    <w:uiPriority w:val="0"/>
    <w:rPr>
      <w:vertAlign w:val="baseline"/>
    </w:rPr>
  </w:style>
  <w:style w:type="character" w:customStyle="1" w:styleId="33">
    <w:name w:val="l-btn-empty"/>
    <w:basedOn w:val="12"/>
    <w:qFormat/>
    <w:uiPriority w:val="0"/>
  </w:style>
  <w:style w:type="character" w:customStyle="1" w:styleId="34">
    <w:name w:val="first-child"/>
    <w:basedOn w:val="12"/>
    <w:qFormat/>
    <w:uiPriority w:val="0"/>
  </w:style>
  <w:style w:type="character" w:customStyle="1" w:styleId="35">
    <w:name w:val="l-btn-left"/>
    <w:basedOn w:val="12"/>
    <w:qFormat/>
    <w:uiPriority w:val="0"/>
  </w:style>
  <w:style w:type="character" w:customStyle="1" w:styleId="36">
    <w:name w:val="l-btn-left1"/>
    <w:basedOn w:val="12"/>
    <w:qFormat/>
    <w:uiPriority w:val="0"/>
  </w:style>
  <w:style w:type="character" w:customStyle="1" w:styleId="37">
    <w:name w:val="l-btn-icon-left1"/>
    <w:basedOn w:val="12"/>
    <w:qFormat/>
    <w:uiPriority w:val="0"/>
  </w:style>
  <w:style w:type="paragraph" w:customStyle="1" w:styleId="38">
    <w:name w:val="_Style 28"/>
    <w:basedOn w:val="1"/>
    <w:next w:val="1"/>
    <w:qFormat/>
    <w:uiPriority w:val="0"/>
    <w:pPr>
      <w:pBdr>
        <w:bottom w:val="single" w:color="auto" w:sz="6" w:space="1"/>
      </w:pBdr>
      <w:jc w:val="center"/>
    </w:pPr>
    <w:rPr>
      <w:rFonts w:ascii="Arial"/>
      <w:vanish/>
      <w:sz w:val="16"/>
    </w:rPr>
  </w:style>
  <w:style w:type="paragraph" w:customStyle="1" w:styleId="39">
    <w:name w:val="_Style 29"/>
    <w:basedOn w:val="1"/>
    <w:next w:val="1"/>
    <w:qFormat/>
    <w:uiPriority w:val="0"/>
    <w:pPr>
      <w:pBdr>
        <w:top w:val="single" w:color="auto" w:sz="6" w:space="1"/>
      </w:pBdr>
      <w:jc w:val="center"/>
    </w:pPr>
    <w:rPr>
      <w:rFonts w:ascii="Arial"/>
      <w:vanish/>
      <w:sz w:val="16"/>
    </w:rPr>
  </w:style>
  <w:style w:type="paragraph" w:customStyle="1" w:styleId="40">
    <w:name w:val="_Style 5"/>
    <w:basedOn w:val="1"/>
    <w:next w:val="1"/>
    <w:qFormat/>
    <w:uiPriority w:val="0"/>
    <w:pPr>
      <w:pBdr>
        <w:bottom w:val="single" w:color="auto" w:sz="6" w:space="1"/>
      </w:pBdr>
      <w:jc w:val="center"/>
    </w:pPr>
    <w:rPr>
      <w:rFonts w:ascii="Arial"/>
      <w:vanish/>
      <w:sz w:val="16"/>
    </w:rPr>
  </w:style>
  <w:style w:type="paragraph" w:customStyle="1" w:styleId="41">
    <w:name w:val="_Style 4"/>
    <w:basedOn w:val="1"/>
    <w:next w:val="1"/>
    <w:qFormat/>
    <w:uiPriority w:val="0"/>
    <w:pPr>
      <w:pBdr>
        <w:bottom w:val="single" w:color="auto" w:sz="6" w:space="1"/>
      </w:pBdr>
      <w:jc w:val="center"/>
    </w:pPr>
    <w:rPr>
      <w:rFonts w:ascii="Arial"/>
      <w:vanish/>
      <w:sz w:val="16"/>
    </w:rPr>
  </w:style>
  <w:style w:type="character" w:customStyle="1" w:styleId="42">
    <w:name w:val="hour_am"/>
    <w:basedOn w:val="12"/>
    <w:qFormat/>
    <w:uiPriority w:val="0"/>
  </w:style>
  <w:style w:type="character" w:customStyle="1" w:styleId="43">
    <w:name w:val="glyphicon2"/>
    <w:basedOn w:val="12"/>
    <w:qFormat/>
    <w:uiPriority w:val="0"/>
  </w:style>
  <w:style w:type="character" w:customStyle="1" w:styleId="44">
    <w:name w:val="old"/>
    <w:basedOn w:val="12"/>
    <w:qFormat/>
    <w:uiPriority w:val="0"/>
    <w:rPr>
      <w:color w:val="999999"/>
    </w:rPr>
  </w:style>
  <w:style w:type="character" w:customStyle="1" w:styleId="45">
    <w:name w:val="hover3"/>
    <w:basedOn w:val="12"/>
    <w:qFormat/>
    <w:uiPriority w:val="0"/>
    <w:rPr>
      <w:shd w:val="clear" w:color="auto" w:fill="EEEEEE"/>
    </w:rPr>
  </w:style>
  <w:style w:type="character" w:customStyle="1" w:styleId="46">
    <w:name w:val="hour_pm"/>
    <w:basedOn w:val="12"/>
    <w:qFormat/>
    <w:uiPriority w:val="0"/>
  </w:style>
  <w:style w:type="character" w:customStyle="1" w:styleId="47">
    <w:name w:val="bookmark-item"/>
    <w:basedOn w:val="12"/>
    <w:qFormat/>
    <w:uiPriority w:val="0"/>
  </w:style>
  <w:style w:type="character" w:customStyle="1" w:styleId="48">
    <w:name w:val="批注文字 字符"/>
    <w:basedOn w:val="12"/>
    <w:link w:val="4"/>
    <w:qFormat/>
    <w:uiPriority w:val="0"/>
    <w:rPr>
      <w:rFonts w:ascii="Calibri" w:hAnsi="Calibri" w:cs="Calibri"/>
      <w:kern w:val="2"/>
      <w:sz w:val="21"/>
      <w:szCs w:val="21"/>
    </w:rPr>
  </w:style>
  <w:style w:type="character" w:customStyle="1" w:styleId="49">
    <w:name w:val="批注主题 字符"/>
    <w:basedOn w:val="48"/>
    <w:link w:val="8"/>
    <w:qFormat/>
    <w:uiPriority w:val="0"/>
    <w:rPr>
      <w:rFonts w:ascii="Calibri" w:hAnsi="Calibri" w:cs="Calibri"/>
      <w:b/>
      <w:bCs/>
      <w:kern w:val="2"/>
      <w:sz w:val="21"/>
      <w:szCs w:val="21"/>
    </w:rPr>
  </w:style>
  <w:style w:type="character" w:customStyle="1" w:styleId="50">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DEA22-EA53-4F11-84A9-62A29C9F5638}">
  <ds:schemaRefs/>
</ds:datastoreItem>
</file>

<file path=docProps/app.xml><?xml version="1.0" encoding="utf-8"?>
<Properties xmlns="http://schemas.openxmlformats.org/officeDocument/2006/extended-properties" xmlns:vt="http://schemas.openxmlformats.org/officeDocument/2006/docPropsVTypes">
  <Template>Normal</Template>
  <Pages>13</Pages>
  <Words>6382</Words>
  <Characters>7242</Characters>
  <Lines>49</Lines>
  <Paragraphs>13</Paragraphs>
  <TotalTime>1</TotalTime>
  <ScaleCrop>false</ScaleCrop>
  <LinksUpToDate>false</LinksUpToDate>
  <CharactersWithSpaces>7423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2020-09-03T08:46:00Z</dcterms:created>
  <dc:creator>lyne1403570492</dc:creator>
  <cp:lastModifiedBy>计财与招标处16</cp:lastModifiedBy>
  <dcterms:modified xsi:type="dcterms:W3CDTF">2022-06-17T15:14:24Z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5E56FF9959734DA0A06C637608A8CAD7</vt:lpwstr>
  </property>
</Properties>
</file>