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2"/>
        <w:spacing w:before="120" w:beforeLines="50" w:line="360" w:lineRule="auto"/>
        <w:rPr>
          <w:b/>
          <w:bCs/>
          <w:color w:val="auto"/>
          <w:sz w:val="40"/>
          <w:szCs w:val="40"/>
          <w:highlight w:val="none"/>
        </w:rPr>
      </w:pPr>
      <w:bookmarkStart w:id="0" w:name="_Toc578"/>
      <w:bookmarkStart w:id="1" w:name="_Toc5725"/>
      <w:bookmarkStart w:id="2" w:name="_Toc6478"/>
      <w:r>
        <w:rPr>
          <w:rFonts w:hint="eastAsia"/>
          <w:b/>
          <w:bCs/>
          <w:color w:val="auto"/>
          <w:sz w:val="40"/>
          <w:szCs w:val="40"/>
          <w:highlight w:val="none"/>
        </w:rPr>
        <w:t xml:space="preserve">项目编号：510101202200105 </w:t>
      </w:r>
    </w:p>
    <w:p>
      <w:pPr>
        <w:pStyle w:val="42"/>
        <w:spacing w:line="360" w:lineRule="auto"/>
        <w:rPr>
          <w:rFonts w:hint="default" w:eastAsia="宋体"/>
          <w:b/>
          <w:bCs/>
          <w:color w:val="auto"/>
          <w:sz w:val="40"/>
          <w:szCs w:val="40"/>
          <w:highlight w:val="none"/>
          <w:lang w:val="en-US" w:eastAsia="zh-CN"/>
        </w:rPr>
      </w:pPr>
      <w:r>
        <w:rPr>
          <w:rFonts w:hint="eastAsia"/>
          <w:b/>
          <w:bCs/>
          <w:color w:val="auto"/>
          <w:sz w:val="40"/>
          <w:szCs w:val="40"/>
          <w:highlight w:val="none"/>
        </w:rPr>
        <w:t>内部编号：</w:t>
      </w:r>
      <w:r>
        <w:rPr>
          <w:rFonts w:hint="eastAsia"/>
          <w:b/>
          <w:bCs/>
          <w:color w:val="auto"/>
          <w:sz w:val="40"/>
          <w:szCs w:val="40"/>
          <w:highlight w:val="none"/>
          <w:lang w:val="en-US" w:eastAsia="zh-CN"/>
        </w:rPr>
        <w:t>ZCQXZB-2022-01</w:t>
      </w:r>
      <w:r>
        <w:rPr>
          <w:rFonts w:hint="eastAsia"/>
          <w:b/>
          <w:bCs/>
          <w:color w:val="auto"/>
          <w:sz w:val="40"/>
          <w:szCs w:val="40"/>
          <w:highlight w:val="none"/>
          <w:lang w:val="en-US" w:eastAsia="zh-CN"/>
        </w:rPr>
        <w:tab/>
      </w:r>
      <w:r>
        <w:rPr>
          <w:rFonts w:hint="eastAsia"/>
          <w:b/>
          <w:bCs/>
          <w:color w:val="auto"/>
          <w:sz w:val="40"/>
          <w:szCs w:val="40"/>
          <w:highlight w:val="none"/>
          <w:lang w:val="en-US" w:eastAsia="zh-CN"/>
        </w:rPr>
        <w:t>49B</w:t>
      </w:r>
    </w:p>
    <w:p>
      <w:pPr>
        <w:pStyle w:val="42"/>
        <w:spacing w:line="360" w:lineRule="auto"/>
        <w:rPr>
          <w:rFonts w:hint="eastAsia" w:eastAsia="宋体"/>
          <w:b/>
          <w:bCs/>
          <w:color w:val="auto"/>
          <w:sz w:val="40"/>
          <w:szCs w:val="40"/>
          <w:highlight w:val="none"/>
          <w:lang w:eastAsia="zh-CN"/>
        </w:rPr>
      </w:pPr>
      <w:r>
        <w:rPr>
          <w:rFonts w:hint="eastAsia"/>
          <w:b/>
          <w:bCs/>
          <w:color w:val="auto"/>
          <w:sz w:val="40"/>
          <w:szCs w:val="40"/>
          <w:highlight w:val="none"/>
        </w:rPr>
        <w:t>项目名称：</w:t>
      </w:r>
      <w:r>
        <w:rPr>
          <w:rFonts w:hint="eastAsia"/>
          <w:b/>
          <w:bCs/>
          <w:color w:val="auto"/>
          <w:sz w:val="40"/>
          <w:szCs w:val="40"/>
          <w:highlight w:val="none"/>
          <w:lang w:eastAsia="zh-CN"/>
        </w:rPr>
        <w:t>成都市技师学院(成都工贸职业技术学院)医疗卫生服务采购项目(第二次)</w:t>
      </w:r>
    </w:p>
    <w:p>
      <w:pPr>
        <w:pStyle w:val="42"/>
        <w:wordWrap w:val="0"/>
        <w:topLinePunct/>
        <w:spacing w:before="3360" w:beforeLines="1400" w:after="3360" w:afterLines="1400" w:line="240" w:lineRule="auto"/>
        <w:jc w:val="center"/>
        <w:rPr>
          <w:b/>
          <w:bCs/>
          <w:color w:val="auto"/>
          <w:sz w:val="96"/>
          <w:szCs w:val="96"/>
          <w:highlight w:val="none"/>
        </w:rPr>
      </w:pPr>
      <w:r>
        <w:rPr>
          <w:rFonts w:hint="eastAsia" w:asciiTheme="minorEastAsia" w:hAnsiTheme="minorEastAsia" w:eastAsiaTheme="minorEastAsia" w:cstheme="minorEastAsia"/>
          <w:b/>
          <w:color w:val="auto"/>
          <w:sz w:val="96"/>
          <w:szCs w:val="96"/>
          <w:highlight w:val="none"/>
        </w:rPr>
        <w:t>竞争性磋商文件</w:t>
      </w:r>
    </w:p>
    <w:p>
      <w:pPr>
        <w:pStyle w:val="42"/>
        <w:spacing w:line="360" w:lineRule="auto"/>
        <w:jc w:val="center"/>
        <w:rPr>
          <w:b/>
          <w:bCs/>
          <w:color w:val="auto"/>
          <w:sz w:val="28"/>
          <w:szCs w:val="28"/>
          <w:highlight w:val="none"/>
        </w:rPr>
      </w:pPr>
      <w:r>
        <w:rPr>
          <w:rFonts w:hint="eastAsia"/>
          <w:b/>
          <w:bCs/>
          <w:color w:val="auto"/>
          <w:sz w:val="28"/>
          <w:szCs w:val="28"/>
          <w:highlight w:val="none"/>
        </w:rPr>
        <w:t>中国·四川</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42"/>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color w:val="auto"/>
          <w:sz w:val="28"/>
          <w:szCs w:val="28"/>
          <w:highlight w:val="none"/>
        </w:rPr>
        <w:t>2022年0</w:t>
      </w:r>
      <w:r>
        <w:rPr>
          <w:rFonts w:hint="eastAsia"/>
          <w:b/>
          <w:bCs/>
          <w:color w:val="auto"/>
          <w:sz w:val="28"/>
          <w:szCs w:val="28"/>
          <w:highlight w:val="none"/>
          <w:lang w:val="en-US" w:eastAsia="zh-CN"/>
        </w:rPr>
        <w:t>4</w:t>
      </w:r>
      <w:r>
        <w:rPr>
          <w:rFonts w:hint="eastAsia"/>
          <w:b/>
          <w:bCs/>
          <w:color w:val="auto"/>
          <w:sz w:val="28"/>
          <w:szCs w:val="28"/>
          <w:highlight w:val="none"/>
        </w:rPr>
        <w:t>月</w:t>
      </w:r>
    </w:p>
    <w:p>
      <w:pPr>
        <w:pStyle w:val="42"/>
        <w:spacing w:line="240" w:lineRule="auto"/>
        <w:jc w:val="center"/>
        <w:rPr>
          <w:b/>
          <w:bCs/>
          <w:color w:val="auto"/>
          <w:sz w:val="40"/>
          <w:szCs w:val="40"/>
          <w:highlight w:val="none"/>
        </w:rPr>
      </w:pPr>
      <w:bookmarkStart w:id="3" w:name="_Toc502651262"/>
      <w:bookmarkStart w:id="4" w:name="_Toc452473646"/>
      <w:bookmarkStart w:id="5" w:name="_Toc371958974"/>
      <w:bookmarkStart w:id="6" w:name="_Toc336690878"/>
      <w:bookmarkStart w:id="7" w:name="_Toc372620750"/>
      <w:bookmarkStart w:id="8" w:name="_Toc373139265"/>
      <w:r>
        <w:rPr>
          <w:rFonts w:hint="eastAsia"/>
          <w:b/>
          <w:bCs/>
          <w:color w:val="auto"/>
          <w:sz w:val="40"/>
          <w:szCs w:val="40"/>
          <w:highlight w:val="none"/>
        </w:rPr>
        <w:t>政府采购阳光宣言</w:t>
      </w:r>
      <w:bookmarkEnd w:id="3"/>
      <w:bookmarkEnd w:id="4"/>
    </w:p>
    <w:p>
      <w:pPr>
        <w:pStyle w:val="42"/>
        <w:ind w:firstLine="480" w:firstLineChars="200"/>
        <w:rPr>
          <w:color w:val="auto"/>
          <w:highlight w:val="none"/>
        </w:rPr>
      </w:pPr>
      <w:r>
        <w:rPr>
          <w:rFonts w:hint="eastAsia"/>
          <w:color w:val="auto"/>
          <w:highlight w:val="none"/>
        </w:rPr>
        <w:t>四川乾新践行公平竞争、诚信的核心价值观，诚信于股东、诚信于服务对象、诚信于员工、诚信于社会。</w:t>
      </w:r>
    </w:p>
    <w:p>
      <w:pPr>
        <w:pStyle w:val="42"/>
        <w:ind w:firstLine="480" w:firstLineChars="200"/>
        <w:rPr>
          <w:color w:val="auto"/>
          <w:highlight w:val="none"/>
        </w:rPr>
      </w:pPr>
      <w:r>
        <w:rPr>
          <w:rFonts w:hint="eastAsia"/>
          <w:color w:val="auto"/>
          <w:highlight w:val="none"/>
        </w:rPr>
        <w:t>四川乾新全体员工严格遵守《乾新十戒》和《员工廉洁从业规定》，遵纪守法，强化自律，廉洁从业，规范经营。</w:t>
      </w:r>
    </w:p>
    <w:p>
      <w:pPr>
        <w:pStyle w:val="42"/>
        <w:ind w:firstLine="480" w:firstLineChars="200"/>
        <w:rPr>
          <w:color w:val="auto"/>
          <w:highlight w:val="none"/>
        </w:rPr>
      </w:pPr>
      <w:r>
        <w:rPr>
          <w:rFonts w:hint="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2"/>
        <w:ind w:firstLine="480" w:firstLineChars="200"/>
        <w:rPr>
          <w:color w:val="auto"/>
          <w:highlight w:val="none"/>
        </w:rPr>
      </w:pPr>
      <w:r>
        <w:rPr>
          <w:rFonts w:hint="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3"/>
        <w:ind w:firstLine="480"/>
        <w:rPr>
          <w:color w:val="auto"/>
          <w:highlight w:val="none"/>
        </w:rPr>
      </w:pPr>
      <w:r>
        <w:rPr>
          <w:rFonts w:hint="eastAsia"/>
          <w:color w:val="auto"/>
          <w:highlight w:val="none"/>
        </w:rPr>
        <w:t>四川乾新不以向采购人及其亲属提供任何个人利益的方式谋求合作关系；</w:t>
      </w:r>
    </w:p>
    <w:p>
      <w:pPr>
        <w:pStyle w:val="43"/>
        <w:ind w:firstLine="480"/>
        <w:rPr>
          <w:color w:val="auto"/>
          <w:highlight w:val="none"/>
        </w:rPr>
      </w:pPr>
      <w:r>
        <w:rPr>
          <w:rFonts w:hint="eastAsia"/>
          <w:color w:val="auto"/>
          <w:highlight w:val="none"/>
        </w:rPr>
        <w:t xml:space="preserve">四川乾新不迷信任何实际存在的或虚构的所谓关系； </w:t>
      </w:r>
    </w:p>
    <w:p>
      <w:pPr>
        <w:pStyle w:val="43"/>
        <w:ind w:firstLine="480"/>
        <w:rPr>
          <w:color w:val="auto"/>
          <w:highlight w:val="none"/>
        </w:rPr>
      </w:pPr>
      <w:r>
        <w:rPr>
          <w:rFonts w:hint="eastAsia"/>
          <w:color w:val="auto"/>
          <w:highlight w:val="none"/>
        </w:rPr>
        <w:t>四川乾新不采取恶性竞争等不正当手段竞争业务；</w:t>
      </w:r>
    </w:p>
    <w:p>
      <w:pPr>
        <w:pStyle w:val="43"/>
        <w:ind w:firstLine="480"/>
        <w:rPr>
          <w:color w:val="auto"/>
          <w:highlight w:val="none"/>
        </w:rPr>
      </w:pPr>
      <w:r>
        <w:rPr>
          <w:rFonts w:hint="eastAsia"/>
          <w:color w:val="auto"/>
          <w:highlight w:val="none"/>
        </w:rPr>
        <w:t>四川乾新不向采购人提供好处费、回扣、现金及有价证券、支付凭证、贵重礼物；</w:t>
      </w:r>
    </w:p>
    <w:p>
      <w:pPr>
        <w:pStyle w:val="43"/>
        <w:ind w:firstLine="480"/>
        <w:rPr>
          <w:color w:val="auto"/>
          <w:highlight w:val="none"/>
        </w:rPr>
      </w:pPr>
      <w:r>
        <w:rPr>
          <w:rFonts w:hint="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3"/>
        <w:ind w:firstLine="480"/>
        <w:rPr>
          <w:color w:val="auto"/>
          <w:highlight w:val="none"/>
        </w:rPr>
      </w:pPr>
      <w:r>
        <w:rPr>
          <w:rFonts w:hint="eastAsia"/>
          <w:color w:val="auto"/>
          <w:highlight w:val="none"/>
        </w:rPr>
        <w:t>供应商在参与项目时公平竞争，充分发挥市场主体作用，降低采购成本，节约采购资金；</w:t>
      </w:r>
    </w:p>
    <w:p>
      <w:pPr>
        <w:pStyle w:val="43"/>
        <w:ind w:firstLine="480"/>
        <w:rPr>
          <w:color w:val="auto"/>
          <w:highlight w:val="none"/>
        </w:rPr>
      </w:pPr>
      <w:r>
        <w:rPr>
          <w:rFonts w:hint="eastAsia"/>
          <w:color w:val="auto"/>
          <w:highlight w:val="none"/>
        </w:rPr>
        <w:t>四川乾新不与采购人、供应商串通投标；</w:t>
      </w:r>
    </w:p>
    <w:p>
      <w:pPr>
        <w:pStyle w:val="43"/>
        <w:ind w:firstLine="480"/>
        <w:rPr>
          <w:color w:val="auto"/>
          <w:highlight w:val="none"/>
        </w:rPr>
      </w:pPr>
      <w:r>
        <w:rPr>
          <w:rFonts w:hint="eastAsia"/>
          <w:color w:val="auto"/>
          <w:highlight w:val="none"/>
        </w:rPr>
        <w:t>四川乾新、采购人不与供应商就标底、其他单位的投标书等商业秘密及合同中的质量、价格、验收等条款进行私下商谈或者达成默契；</w:t>
      </w:r>
    </w:p>
    <w:p>
      <w:pPr>
        <w:pStyle w:val="43"/>
        <w:ind w:firstLine="480"/>
        <w:rPr>
          <w:color w:val="auto"/>
          <w:highlight w:val="none"/>
        </w:rPr>
      </w:pPr>
      <w:r>
        <w:rPr>
          <w:rFonts w:hint="eastAsia"/>
          <w:color w:val="auto"/>
          <w:highlight w:val="none"/>
        </w:rPr>
        <w:t>四川乾新坚决杜绝以下行为：①乾新员工有行贿倾向、建议等行为；②乾新员工有索贿、受贿等行为。</w:t>
      </w:r>
    </w:p>
    <w:p>
      <w:pPr>
        <w:pStyle w:val="42"/>
        <w:ind w:firstLine="480" w:firstLineChars="200"/>
        <w:rPr>
          <w:color w:val="auto"/>
          <w:highlight w:val="none"/>
        </w:rPr>
      </w:pPr>
      <w:r>
        <w:rPr>
          <w:rFonts w:hint="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公开、公平、公正、诚实信用、讲求绩效的政采营商环境，共同推动政府采购行业健康发展。 </w:t>
      </w:r>
    </w:p>
    <w:p>
      <w:pPr>
        <w:pStyle w:val="42"/>
        <w:ind w:firstLine="480" w:firstLineChars="200"/>
        <w:rPr>
          <w:color w:val="auto"/>
          <w:highlight w:val="none"/>
        </w:rPr>
      </w:pPr>
      <w:r>
        <w:rPr>
          <w:rFonts w:hint="eastAsia"/>
          <w:color w:val="auto"/>
          <w:highlight w:val="none"/>
        </w:rPr>
        <w:t>监察部投诉及举报邮箱：scqxzb_shl@163.com</w:t>
      </w:r>
    </w:p>
    <w:p>
      <w:pPr>
        <w:pStyle w:val="42"/>
        <w:ind w:firstLine="480" w:firstLineChars="200"/>
        <w:rPr>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color w:val="auto"/>
          <w:highlight w:val="none"/>
        </w:rPr>
        <w:t>监察部投诉及举报电话：028-62630990</w:t>
      </w:r>
      <w:bookmarkEnd w:id="5"/>
      <w:bookmarkEnd w:id="6"/>
      <w:bookmarkEnd w:id="7"/>
      <w:bookmarkEnd w:id="8"/>
    </w:p>
    <w:p>
      <w:pPr>
        <w:pStyle w:val="42"/>
        <w:jc w:val="center"/>
        <w:rPr>
          <w:color w:val="auto"/>
          <w:highlight w:val="none"/>
        </w:rPr>
      </w:pPr>
      <w:r>
        <w:rPr>
          <w:rFonts w:hint="eastAsia"/>
          <w:color w:val="auto"/>
          <w:highlight w:val="none"/>
        </w:rPr>
        <w:t>目  录</w:t>
      </w:r>
      <w:bookmarkEnd w:id="0"/>
      <w:bookmarkEnd w:id="1"/>
    </w:p>
    <w:p>
      <w:pPr>
        <w:pStyle w:val="19"/>
        <w:tabs>
          <w:tab w:val="clear" w:pos="0"/>
        </w:tabs>
        <w:rPr>
          <w:color w:val="auto"/>
          <w:highlight w:val="none"/>
        </w:rPr>
      </w:pPr>
      <w:bookmarkStart w:id="9" w:name="_Toc26242"/>
      <w:bookmarkStart w:id="10" w:name="_Toc28748"/>
      <w:bookmarkStart w:id="11" w:name="_Toc15794"/>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"_Toc29899" </w:instrText>
      </w:r>
      <w:r>
        <w:rPr>
          <w:color w:val="auto"/>
          <w:highlight w:val="none"/>
        </w:rPr>
        <w:fldChar w:fldCharType="separate"/>
      </w:r>
      <w:r>
        <w:rPr>
          <w:rFonts w:hint="eastAsia" w:cs="宋体"/>
          <w:color w:val="auto"/>
          <w:highlight w:val="none"/>
        </w:rPr>
        <w:t xml:space="preserve">第一章 </w:t>
      </w:r>
      <w:r>
        <w:rPr>
          <w:rFonts w:hint="eastAsia"/>
          <w:color w:val="auto"/>
          <w:highlight w:val="none"/>
        </w:rPr>
        <w:t>竞争性磋商邀请公告</w:t>
      </w:r>
      <w:r>
        <w:rPr>
          <w:color w:val="auto"/>
          <w:highlight w:val="none"/>
        </w:rPr>
        <w:tab/>
      </w:r>
      <w:r>
        <w:rPr>
          <w:color w:val="auto"/>
          <w:highlight w:val="none"/>
        </w:rPr>
        <w:fldChar w:fldCharType="begin"/>
      </w:r>
      <w:r>
        <w:rPr>
          <w:color w:val="auto"/>
          <w:highlight w:val="none"/>
        </w:rPr>
        <w:instrText xml:space="preserve"> PAGEREF _Toc29899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"_Toc13724" </w:instrText>
      </w:r>
      <w:r>
        <w:rPr>
          <w:color w:val="auto"/>
          <w:highlight w:val="none"/>
        </w:rPr>
        <w:fldChar w:fldCharType="separate"/>
      </w:r>
      <w:r>
        <w:rPr>
          <w:rFonts w:hint="eastAsia" w:cs="宋体"/>
          <w:color w:val="auto"/>
          <w:highlight w:val="none"/>
        </w:rPr>
        <w:t xml:space="preserve">第二章 </w:t>
      </w:r>
      <w:r>
        <w:rPr>
          <w:rFonts w:hint="eastAsia" w:asciiTheme="minorEastAsia" w:hAnsiTheme="minorEastAsia" w:eastAsiaTheme="minorEastAsia" w:cstheme="minorEastAsia"/>
          <w:color w:val="auto"/>
          <w:szCs w:val="36"/>
          <w:highlight w:val="none"/>
        </w:rPr>
        <w:t>磋商须知</w:t>
      </w:r>
      <w:r>
        <w:rPr>
          <w:color w:val="auto"/>
          <w:highlight w:val="none"/>
        </w:rPr>
        <w:tab/>
      </w:r>
      <w:r>
        <w:rPr>
          <w:color w:val="auto"/>
          <w:highlight w:val="none"/>
        </w:rPr>
        <w:fldChar w:fldCharType="begin"/>
      </w:r>
      <w:r>
        <w:rPr>
          <w:color w:val="auto"/>
          <w:highlight w:val="none"/>
        </w:rPr>
        <w:instrText xml:space="preserve"> PAGEREF _Toc13724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"_Toc25459" </w:instrText>
      </w:r>
      <w:r>
        <w:rPr>
          <w:color w:val="auto"/>
          <w:highlight w:val="none"/>
        </w:rPr>
        <w:fldChar w:fldCharType="separate"/>
      </w:r>
      <w:r>
        <w:rPr>
          <w:rFonts w:hint="eastAsia" w:cs="宋体"/>
          <w:color w:val="auto"/>
          <w:szCs w:val="36"/>
          <w:highlight w:val="none"/>
        </w:rPr>
        <w:t xml:space="preserve">一、 </w:t>
      </w:r>
      <w:r>
        <w:rPr>
          <w:rFonts w:hint="eastAsia"/>
          <w:color w:val="auto"/>
          <w:szCs w:val="36"/>
          <w:highlight w:val="none"/>
        </w:rPr>
        <w:t>磋商须知前附表</w:t>
      </w:r>
      <w:r>
        <w:rPr>
          <w:color w:val="auto"/>
          <w:highlight w:val="none"/>
        </w:rPr>
        <w:tab/>
      </w:r>
      <w:r>
        <w:rPr>
          <w:color w:val="auto"/>
          <w:highlight w:val="none"/>
        </w:rPr>
        <w:fldChar w:fldCharType="begin"/>
      </w:r>
      <w:r>
        <w:rPr>
          <w:color w:val="auto"/>
          <w:highlight w:val="none"/>
        </w:rPr>
        <w:instrText xml:space="preserve"> PAGEREF _Toc25459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"_Toc11900" </w:instrText>
      </w:r>
      <w:r>
        <w:rPr>
          <w:color w:val="auto"/>
          <w:highlight w:val="none"/>
        </w:rPr>
        <w:fldChar w:fldCharType="separate"/>
      </w:r>
      <w:r>
        <w:rPr>
          <w:rFonts w:hint="eastAsia" w:cs="宋体"/>
          <w:color w:val="auto"/>
          <w:szCs w:val="36"/>
          <w:highlight w:val="none"/>
        </w:rPr>
        <w:t xml:space="preserve">二、 </w:t>
      </w:r>
      <w:r>
        <w:rPr>
          <w:rFonts w:hint="eastAsia"/>
          <w:color w:val="auto"/>
          <w:szCs w:val="36"/>
          <w:highlight w:val="none"/>
        </w:rPr>
        <w:t>总则</w:t>
      </w:r>
      <w:r>
        <w:rPr>
          <w:color w:val="auto"/>
          <w:highlight w:val="none"/>
        </w:rPr>
        <w:tab/>
      </w:r>
      <w:r>
        <w:rPr>
          <w:color w:val="auto"/>
          <w:highlight w:val="none"/>
        </w:rPr>
        <w:fldChar w:fldCharType="begin"/>
      </w:r>
      <w:r>
        <w:rPr>
          <w:color w:val="auto"/>
          <w:highlight w:val="none"/>
        </w:rPr>
        <w:instrText xml:space="preserve"> PAGEREF _Toc11900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"_Toc8032" </w:instrText>
      </w:r>
      <w:r>
        <w:rPr>
          <w:color w:val="auto"/>
          <w:highlight w:val="none"/>
        </w:rPr>
        <w:fldChar w:fldCharType="separate"/>
      </w:r>
      <w:r>
        <w:rPr>
          <w:rFonts w:hint="eastAsia" w:cs="宋体"/>
          <w:color w:val="auto"/>
          <w:szCs w:val="36"/>
          <w:highlight w:val="none"/>
        </w:rPr>
        <w:t xml:space="preserve">三、 </w:t>
      </w:r>
      <w:r>
        <w:rPr>
          <w:rFonts w:hint="eastAsia"/>
          <w:color w:val="auto"/>
          <w:szCs w:val="36"/>
          <w:highlight w:val="none"/>
        </w:rPr>
        <w:t>竞争性磋商文件</w:t>
      </w:r>
      <w:r>
        <w:rPr>
          <w:color w:val="auto"/>
          <w:highlight w:val="none"/>
        </w:rPr>
        <w:tab/>
      </w:r>
      <w:r>
        <w:rPr>
          <w:color w:val="auto"/>
          <w:highlight w:val="none"/>
        </w:rPr>
        <w:fldChar w:fldCharType="begin"/>
      </w:r>
      <w:r>
        <w:rPr>
          <w:color w:val="auto"/>
          <w:highlight w:val="none"/>
        </w:rPr>
        <w:instrText xml:space="preserve"> PAGEREF _Toc8032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"_Toc10150"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竞争性磋商文件的构成(实质性要求)</w:t>
      </w:r>
      <w:r>
        <w:rPr>
          <w:color w:val="auto"/>
          <w:highlight w:val="none"/>
        </w:rPr>
        <w:tab/>
      </w:r>
      <w:r>
        <w:rPr>
          <w:color w:val="auto"/>
          <w:highlight w:val="none"/>
        </w:rPr>
        <w:fldChar w:fldCharType="begin"/>
      </w:r>
      <w:r>
        <w:rPr>
          <w:color w:val="auto"/>
          <w:highlight w:val="none"/>
        </w:rPr>
        <w:instrText xml:space="preserve"> PAGEREF _Toc10150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"_Toc19249"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竞争性磋商文件包含内容</w:t>
      </w:r>
      <w:r>
        <w:rPr>
          <w:color w:val="auto"/>
          <w:highlight w:val="none"/>
        </w:rPr>
        <w:tab/>
      </w:r>
      <w:r>
        <w:rPr>
          <w:color w:val="auto"/>
          <w:highlight w:val="none"/>
        </w:rPr>
        <w:fldChar w:fldCharType="begin"/>
      </w:r>
      <w:r>
        <w:rPr>
          <w:color w:val="auto"/>
          <w:highlight w:val="none"/>
        </w:rPr>
        <w:instrText xml:space="preserve"> PAGEREF _Toc19249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"_Toc1005"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竞争性磋商文件的澄清和修改</w:t>
      </w:r>
      <w:r>
        <w:rPr>
          <w:color w:val="auto"/>
          <w:highlight w:val="none"/>
        </w:rPr>
        <w:tab/>
      </w:r>
      <w:r>
        <w:rPr>
          <w:color w:val="auto"/>
          <w:highlight w:val="none"/>
        </w:rPr>
        <w:fldChar w:fldCharType="begin"/>
      </w:r>
      <w:r>
        <w:rPr>
          <w:color w:val="auto"/>
          <w:highlight w:val="none"/>
        </w:rPr>
        <w:instrText xml:space="preserve"> PAGEREF _Toc1005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"_Toc9809"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实质性变动</w:t>
      </w:r>
      <w:r>
        <w:rPr>
          <w:color w:val="auto"/>
          <w:highlight w:val="none"/>
        </w:rPr>
        <w:tab/>
      </w:r>
      <w:r>
        <w:rPr>
          <w:color w:val="auto"/>
          <w:highlight w:val="none"/>
        </w:rPr>
        <w:fldChar w:fldCharType="begin"/>
      </w:r>
      <w:r>
        <w:rPr>
          <w:color w:val="auto"/>
          <w:highlight w:val="none"/>
        </w:rPr>
        <w:instrText xml:space="preserve"> PAGEREF _Toc9809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"_Toc30033"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_Toc30033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"_Toc20983" </w:instrText>
      </w:r>
      <w:r>
        <w:rPr>
          <w:color w:val="auto"/>
          <w:highlight w:val="none"/>
        </w:rPr>
        <w:fldChar w:fldCharType="separate"/>
      </w:r>
      <w:r>
        <w:rPr>
          <w:rFonts w:hint="eastAsia" w:cs="宋体"/>
          <w:color w:val="auto"/>
          <w:szCs w:val="36"/>
          <w:highlight w:val="none"/>
        </w:rPr>
        <w:t xml:space="preserve">四、 </w:t>
      </w:r>
      <w:r>
        <w:rPr>
          <w:rFonts w:hint="eastAsia"/>
          <w:color w:val="auto"/>
          <w:szCs w:val="36"/>
          <w:highlight w:val="none"/>
        </w:rPr>
        <w:t>响应文件</w:t>
      </w:r>
      <w:r>
        <w:rPr>
          <w:color w:val="auto"/>
          <w:highlight w:val="none"/>
        </w:rPr>
        <w:tab/>
      </w:r>
      <w:r>
        <w:rPr>
          <w:color w:val="auto"/>
          <w:highlight w:val="none"/>
        </w:rPr>
        <w:fldChar w:fldCharType="begin"/>
      </w:r>
      <w:r>
        <w:rPr>
          <w:color w:val="auto"/>
          <w:highlight w:val="none"/>
        </w:rPr>
        <w:instrText xml:space="preserve"> PAGEREF _Toc20983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"_Toc23165"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响应文件的语言(实质性要求)</w:t>
      </w:r>
      <w:r>
        <w:rPr>
          <w:color w:val="auto"/>
          <w:highlight w:val="none"/>
        </w:rPr>
        <w:tab/>
      </w:r>
      <w:r>
        <w:rPr>
          <w:color w:val="auto"/>
          <w:highlight w:val="none"/>
        </w:rPr>
        <w:fldChar w:fldCharType="begin"/>
      </w:r>
      <w:r>
        <w:rPr>
          <w:color w:val="auto"/>
          <w:highlight w:val="none"/>
        </w:rPr>
        <w:instrText xml:space="preserve"> PAGEREF _Toc23165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"_Toc13109"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计量单位(实质性要求)</w:t>
      </w:r>
      <w:r>
        <w:rPr>
          <w:color w:val="auto"/>
          <w:highlight w:val="none"/>
        </w:rPr>
        <w:tab/>
      </w:r>
      <w:r>
        <w:rPr>
          <w:color w:val="auto"/>
          <w:highlight w:val="none"/>
        </w:rPr>
        <w:fldChar w:fldCharType="begin"/>
      </w:r>
      <w:r>
        <w:rPr>
          <w:color w:val="auto"/>
          <w:highlight w:val="none"/>
        </w:rPr>
        <w:instrText xml:space="preserve"> PAGEREF _Toc13109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"_Toc10530"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知识产权(实质性要求)</w:t>
      </w:r>
      <w:r>
        <w:rPr>
          <w:color w:val="auto"/>
          <w:highlight w:val="none"/>
        </w:rPr>
        <w:tab/>
      </w:r>
      <w:r>
        <w:rPr>
          <w:color w:val="auto"/>
          <w:highlight w:val="none"/>
        </w:rPr>
        <w:fldChar w:fldCharType="begin"/>
      </w:r>
      <w:r>
        <w:rPr>
          <w:color w:val="auto"/>
          <w:highlight w:val="none"/>
        </w:rPr>
        <w:instrText xml:space="preserve"> PAGEREF _Toc10530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"_Toc588"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响应文件格式要求</w:t>
      </w:r>
      <w:r>
        <w:rPr>
          <w:color w:val="auto"/>
          <w:highlight w:val="none"/>
        </w:rPr>
        <w:tab/>
      </w:r>
      <w:r>
        <w:rPr>
          <w:color w:val="auto"/>
          <w:highlight w:val="none"/>
        </w:rPr>
        <w:fldChar w:fldCharType="begin"/>
      </w:r>
      <w:r>
        <w:rPr>
          <w:color w:val="auto"/>
          <w:highlight w:val="none"/>
        </w:rPr>
        <w:instrText xml:space="preserve"> PAGEREF _Toc588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"_Toc21611"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磋商有效期(实质性要求)</w:t>
      </w:r>
      <w:r>
        <w:rPr>
          <w:color w:val="auto"/>
          <w:highlight w:val="none"/>
        </w:rPr>
        <w:tab/>
      </w:r>
      <w:r>
        <w:rPr>
          <w:color w:val="auto"/>
          <w:highlight w:val="none"/>
        </w:rPr>
        <w:fldChar w:fldCharType="begin"/>
      </w:r>
      <w:r>
        <w:rPr>
          <w:color w:val="auto"/>
          <w:highlight w:val="none"/>
        </w:rPr>
        <w:instrText xml:space="preserve"> PAGEREF _Toc21611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"_Toc23013"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联合体磋商</w:t>
      </w:r>
      <w:r>
        <w:rPr>
          <w:rFonts w:hint="eastAsia"/>
          <w:color w:val="auto"/>
          <w:highlight w:val="none"/>
          <w:lang w:val="zh-CN"/>
        </w:rPr>
        <w:t>(实质性要求)</w:t>
      </w:r>
      <w:r>
        <w:rPr>
          <w:color w:val="auto"/>
          <w:highlight w:val="none"/>
        </w:rPr>
        <w:tab/>
      </w:r>
      <w:r>
        <w:rPr>
          <w:color w:val="auto"/>
          <w:highlight w:val="none"/>
        </w:rPr>
        <w:fldChar w:fldCharType="begin"/>
      </w:r>
      <w:r>
        <w:rPr>
          <w:color w:val="auto"/>
          <w:highlight w:val="none"/>
        </w:rPr>
        <w:instrText xml:space="preserve"> PAGEREF _Toc23013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"_Toc22496"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响应文件组成(实质性要求)</w:t>
      </w:r>
      <w:r>
        <w:rPr>
          <w:color w:val="auto"/>
          <w:highlight w:val="none"/>
        </w:rPr>
        <w:tab/>
      </w:r>
      <w:r>
        <w:rPr>
          <w:color w:val="auto"/>
          <w:highlight w:val="none"/>
        </w:rPr>
        <w:fldChar w:fldCharType="begin"/>
      </w:r>
      <w:r>
        <w:rPr>
          <w:color w:val="auto"/>
          <w:highlight w:val="none"/>
        </w:rPr>
        <w:instrText xml:space="preserve"> PAGEREF _Toc22496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"_Toc27878"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报价要求(实质性要求)</w:t>
      </w:r>
      <w:r>
        <w:rPr>
          <w:color w:val="auto"/>
          <w:highlight w:val="none"/>
        </w:rPr>
        <w:tab/>
      </w:r>
      <w:r>
        <w:rPr>
          <w:color w:val="auto"/>
          <w:highlight w:val="none"/>
        </w:rPr>
        <w:fldChar w:fldCharType="begin"/>
      </w:r>
      <w:r>
        <w:rPr>
          <w:color w:val="auto"/>
          <w:highlight w:val="none"/>
        </w:rPr>
        <w:instrText xml:space="preserve"> PAGEREF _Toc27878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"_Toc4708"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响应文件编制要求</w:t>
      </w:r>
      <w:r>
        <w:rPr>
          <w:color w:val="auto"/>
          <w:highlight w:val="none"/>
        </w:rPr>
        <w:tab/>
      </w:r>
      <w:r>
        <w:rPr>
          <w:color w:val="auto"/>
          <w:highlight w:val="none"/>
        </w:rPr>
        <w:fldChar w:fldCharType="begin"/>
      </w:r>
      <w:r>
        <w:rPr>
          <w:color w:val="auto"/>
          <w:highlight w:val="none"/>
        </w:rPr>
        <w:instrText xml:space="preserve"> PAGEREF _Toc4708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"_Toc32748"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响应文件的密封和标注</w:t>
      </w:r>
      <w:r>
        <w:rPr>
          <w:color w:val="auto"/>
          <w:highlight w:val="none"/>
        </w:rPr>
        <w:tab/>
      </w:r>
      <w:r>
        <w:rPr>
          <w:color w:val="auto"/>
          <w:highlight w:val="none"/>
        </w:rPr>
        <w:fldChar w:fldCharType="begin"/>
      </w:r>
      <w:r>
        <w:rPr>
          <w:color w:val="auto"/>
          <w:highlight w:val="none"/>
        </w:rPr>
        <w:instrText xml:space="preserve"> PAGEREF _Toc32748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"_Toc14909"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响应文件的递交</w:t>
      </w:r>
      <w:r>
        <w:rPr>
          <w:color w:val="auto"/>
          <w:highlight w:val="none"/>
        </w:rPr>
        <w:tab/>
      </w:r>
      <w:r>
        <w:rPr>
          <w:color w:val="auto"/>
          <w:highlight w:val="none"/>
        </w:rPr>
        <w:fldChar w:fldCharType="begin"/>
      </w:r>
      <w:r>
        <w:rPr>
          <w:color w:val="auto"/>
          <w:highlight w:val="none"/>
        </w:rPr>
        <w:instrText xml:space="preserve"> PAGEREF _Toc14909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"_Toc27583"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响应文件的修改和撤回</w:t>
      </w:r>
      <w:r>
        <w:rPr>
          <w:color w:val="auto"/>
          <w:highlight w:val="none"/>
        </w:rPr>
        <w:tab/>
      </w:r>
      <w:r>
        <w:rPr>
          <w:color w:val="auto"/>
          <w:highlight w:val="none"/>
        </w:rPr>
        <w:fldChar w:fldCharType="begin"/>
      </w:r>
      <w:r>
        <w:rPr>
          <w:color w:val="auto"/>
          <w:highlight w:val="none"/>
        </w:rPr>
        <w:instrText xml:space="preserve"> PAGEREF _Toc27583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"_Toc14919"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磋商保证金</w:t>
      </w:r>
      <w:r>
        <w:rPr>
          <w:color w:val="auto"/>
          <w:highlight w:val="none"/>
        </w:rPr>
        <w:tab/>
      </w:r>
      <w:r>
        <w:rPr>
          <w:color w:val="auto"/>
          <w:highlight w:val="none"/>
        </w:rPr>
        <w:fldChar w:fldCharType="begin"/>
      </w:r>
      <w:r>
        <w:rPr>
          <w:color w:val="auto"/>
          <w:highlight w:val="none"/>
        </w:rPr>
        <w:instrText xml:space="preserve"> PAGEREF _Toc14919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"_Toc22584" </w:instrText>
      </w:r>
      <w:r>
        <w:rPr>
          <w:color w:val="auto"/>
          <w:highlight w:val="none"/>
        </w:rPr>
        <w:fldChar w:fldCharType="separate"/>
      </w:r>
      <w:r>
        <w:rPr>
          <w:rFonts w:hint="eastAsia" w:cs="宋体"/>
          <w:color w:val="auto"/>
          <w:szCs w:val="36"/>
          <w:highlight w:val="none"/>
        </w:rPr>
        <w:t xml:space="preserve">五、 </w:t>
      </w:r>
      <w:r>
        <w:rPr>
          <w:rFonts w:hint="eastAsia"/>
          <w:color w:val="auto"/>
          <w:szCs w:val="36"/>
          <w:highlight w:val="none"/>
        </w:rPr>
        <w:t>磋商会</w:t>
      </w:r>
      <w:r>
        <w:rPr>
          <w:color w:val="auto"/>
          <w:highlight w:val="none"/>
        </w:rPr>
        <w:tab/>
      </w:r>
      <w:r>
        <w:rPr>
          <w:color w:val="auto"/>
          <w:highlight w:val="none"/>
        </w:rPr>
        <w:fldChar w:fldCharType="begin"/>
      </w:r>
      <w:r>
        <w:rPr>
          <w:color w:val="auto"/>
          <w:highlight w:val="none"/>
        </w:rPr>
        <w:instrText xml:space="preserve"> PAGEREF _Toc22584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"_Toc2489" </w:instrText>
      </w:r>
      <w:r>
        <w:rPr>
          <w:color w:val="auto"/>
          <w:highlight w:val="none"/>
        </w:rPr>
        <w:fldChar w:fldCharType="separate"/>
      </w:r>
      <w:r>
        <w:rPr>
          <w:rFonts w:hint="eastAsia" w:cs="宋体"/>
          <w:bCs/>
          <w:color w:val="auto"/>
          <w:highlight w:val="none"/>
        </w:rPr>
        <w:t xml:space="preserve">(一) </w:t>
      </w:r>
      <w:r>
        <w:rPr>
          <w:rFonts w:hint="eastAsia"/>
          <w:bCs/>
          <w:color w:val="auto"/>
          <w:highlight w:val="none"/>
        </w:rPr>
        <w:t>磋商会人员</w:t>
      </w:r>
      <w:r>
        <w:rPr>
          <w:color w:val="auto"/>
          <w:highlight w:val="none"/>
        </w:rPr>
        <w:tab/>
      </w:r>
      <w:r>
        <w:rPr>
          <w:color w:val="auto"/>
          <w:highlight w:val="none"/>
        </w:rPr>
        <w:fldChar w:fldCharType="begin"/>
      </w:r>
      <w:r>
        <w:rPr>
          <w:color w:val="auto"/>
          <w:highlight w:val="none"/>
        </w:rPr>
        <w:instrText xml:space="preserve"> PAGEREF _Toc2489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"_Toc7019" </w:instrText>
      </w:r>
      <w:r>
        <w:rPr>
          <w:color w:val="auto"/>
          <w:highlight w:val="none"/>
        </w:rPr>
        <w:fldChar w:fldCharType="separate"/>
      </w:r>
      <w:r>
        <w:rPr>
          <w:rFonts w:hint="eastAsia" w:cs="宋体"/>
          <w:bCs/>
          <w:color w:val="auto"/>
          <w:highlight w:val="none"/>
        </w:rPr>
        <w:t xml:space="preserve">(二) </w:t>
      </w:r>
      <w:r>
        <w:rPr>
          <w:rFonts w:hint="eastAsia"/>
          <w:bCs/>
          <w:color w:val="auto"/>
          <w:highlight w:val="none"/>
        </w:rPr>
        <w:t>磋商会内容</w:t>
      </w:r>
      <w:r>
        <w:rPr>
          <w:color w:val="auto"/>
          <w:highlight w:val="none"/>
        </w:rPr>
        <w:tab/>
      </w:r>
      <w:r>
        <w:rPr>
          <w:color w:val="auto"/>
          <w:highlight w:val="none"/>
        </w:rPr>
        <w:fldChar w:fldCharType="begin"/>
      </w:r>
      <w:r>
        <w:rPr>
          <w:color w:val="auto"/>
          <w:highlight w:val="none"/>
        </w:rPr>
        <w:instrText xml:space="preserve"> PAGEREF _Toc7019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"_Toc23339" </w:instrText>
      </w:r>
      <w:r>
        <w:rPr>
          <w:color w:val="auto"/>
          <w:highlight w:val="none"/>
        </w:rPr>
        <w:fldChar w:fldCharType="separate"/>
      </w:r>
      <w:r>
        <w:rPr>
          <w:rFonts w:hint="eastAsia" w:cs="宋体"/>
          <w:bCs/>
          <w:color w:val="auto"/>
          <w:highlight w:val="none"/>
        </w:rPr>
        <w:t xml:space="preserve">(三) </w:t>
      </w:r>
      <w:r>
        <w:rPr>
          <w:rFonts w:hint="eastAsia"/>
          <w:bCs/>
          <w:color w:val="auto"/>
          <w:highlight w:val="none"/>
        </w:rPr>
        <w:t>电子监控档案</w:t>
      </w:r>
      <w:r>
        <w:rPr>
          <w:color w:val="auto"/>
          <w:highlight w:val="none"/>
        </w:rPr>
        <w:tab/>
      </w:r>
      <w:r>
        <w:rPr>
          <w:color w:val="auto"/>
          <w:highlight w:val="none"/>
        </w:rPr>
        <w:fldChar w:fldCharType="begin"/>
      </w:r>
      <w:r>
        <w:rPr>
          <w:color w:val="auto"/>
          <w:highlight w:val="none"/>
        </w:rPr>
        <w:instrText xml:space="preserve"> PAGEREF _Toc23339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"_Toc18198" </w:instrText>
      </w:r>
      <w:r>
        <w:rPr>
          <w:color w:val="auto"/>
          <w:highlight w:val="none"/>
        </w:rPr>
        <w:fldChar w:fldCharType="separate"/>
      </w:r>
      <w:r>
        <w:rPr>
          <w:rFonts w:hint="eastAsia" w:cs="宋体"/>
          <w:color w:val="auto"/>
          <w:szCs w:val="36"/>
          <w:highlight w:val="none"/>
        </w:rPr>
        <w:t xml:space="preserve">六、 </w:t>
      </w:r>
      <w:r>
        <w:rPr>
          <w:rFonts w:hint="eastAsia"/>
          <w:color w:val="auto"/>
          <w:szCs w:val="36"/>
          <w:highlight w:val="none"/>
        </w:rPr>
        <w:t>成交事项</w:t>
      </w:r>
      <w:r>
        <w:rPr>
          <w:color w:val="auto"/>
          <w:highlight w:val="none"/>
        </w:rPr>
        <w:tab/>
      </w:r>
      <w:r>
        <w:rPr>
          <w:color w:val="auto"/>
          <w:highlight w:val="none"/>
        </w:rPr>
        <w:fldChar w:fldCharType="begin"/>
      </w:r>
      <w:r>
        <w:rPr>
          <w:color w:val="auto"/>
          <w:highlight w:val="none"/>
        </w:rPr>
        <w:instrText xml:space="preserve"> PAGEREF _Toc18198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"_Toc9410"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确定成交供应商</w:t>
      </w:r>
      <w:r>
        <w:rPr>
          <w:color w:val="auto"/>
          <w:highlight w:val="none"/>
        </w:rPr>
        <w:tab/>
      </w:r>
      <w:r>
        <w:rPr>
          <w:color w:val="auto"/>
          <w:highlight w:val="none"/>
        </w:rPr>
        <w:fldChar w:fldCharType="begin"/>
      </w:r>
      <w:r>
        <w:rPr>
          <w:color w:val="auto"/>
          <w:highlight w:val="none"/>
        </w:rPr>
        <w:instrText xml:space="preserve"> PAGEREF _Toc9410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"_Toc32424"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成交结果</w:t>
      </w:r>
      <w:r>
        <w:rPr>
          <w:color w:val="auto"/>
          <w:highlight w:val="none"/>
        </w:rPr>
        <w:tab/>
      </w:r>
      <w:r>
        <w:rPr>
          <w:color w:val="auto"/>
          <w:highlight w:val="none"/>
        </w:rPr>
        <w:fldChar w:fldCharType="begin"/>
      </w:r>
      <w:r>
        <w:rPr>
          <w:color w:val="auto"/>
          <w:highlight w:val="none"/>
        </w:rPr>
        <w:instrText xml:space="preserve"> PAGEREF _Toc32424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"_Toc21155"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成交通知书</w:t>
      </w:r>
      <w:r>
        <w:rPr>
          <w:color w:val="auto"/>
          <w:highlight w:val="none"/>
        </w:rPr>
        <w:tab/>
      </w:r>
      <w:r>
        <w:rPr>
          <w:color w:val="auto"/>
          <w:highlight w:val="none"/>
        </w:rPr>
        <w:fldChar w:fldCharType="begin"/>
      </w:r>
      <w:r>
        <w:rPr>
          <w:color w:val="auto"/>
          <w:highlight w:val="none"/>
        </w:rPr>
        <w:instrText xml:space="preserve"> PAGEREF _Toc21155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"_Toc16989" </w:instrText>
      </w:r>
      <w:r>
        <w:rPr>
          <w:color w:val="auto"/>
          <w:highlight w:val="none"/>
        </w:rPr>
        <w:fldChar w:fldCharType="separate"/>
      </w:r>
      <w:r>
        <w:rPr>
          <w:rFonts w:hint="eastAsia" w:cs="宋体"/>
          <w:color w:val="auto"/>
          <w:szCs w:val="36"/>
          <w:highlight w:val="none"/>
        </w:rPr>
        <w:t xml:space="preserve">七、 </w:t>
      </w:r>
      <w:r>
        <w:rPr>
          <w:rFonts w:hint="eastAsia"/>
          <w:color w:val="auto"/>
          <w:szCs w:val="36"/>
          <w:highlight w:val="none"/>
        </w:rPr>
        <w:t>合同事项</w:t>
      </w:r>
      <w:r>
        <w:rPr>
          <w:color w:val="auto"/>
          <w:highlight w:val="none"/>
        </w:rPr>
        <w:tab/>
      </w:r>
      <w:r>
        <w:rPr>
          <w:color w:val="auto"/>
          <w:highlight w:val="none"/>
        </w:rPr>
        <w:fldChar w:fldCharType="begin"/>
      </w:r>
      <w:r>
        <w:rPr>
          <w:color w:val="auto"/>
          <w:highlight w:val="none"/>
        </w:rPr>
        <w:instrText xml:space="preserve"> PAGEREF _Toc16989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"_Toc15904"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_Toc15904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合同分包(实质性要求)</w:t>
      </w:r>
      <w:r>
        <w:rPr>
          <w:color w:val="auto"/>
          <w:highlight w:val="none"/>
        </w:rPr>
        <w:tab/>
      </w:r>
      <w:r>
        <w:rPr>
          <w:color w:val="auto"/>
          <w:highlight w:val="none"/>
        </w:rPr>
        <w:fldChar w:fldCharType="begin"/>
      </w:r>
      <w:r>
        <w:rPr>
          <w:color w:val="auto"/>
          <w:highlight w:val="none"/>
        </w:rPr>
        <w:instrText xml:space="preserve"> PAGEREF _Toc55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"_Toc5953"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合同转包(实质性要求)</w:t>
      </w:r>
      <w:r>
        <w:rPr>
          <w:color w:val="auto"/>
          <w:highlight w:val="none"/>
        </w:rPr>
        <w:tab/>
      </w:r>
      <w:r>
        <w:rPr>
          <w:color w:val="auto"/>
          <w:highlight w:val="none"/>
        </w:rPr>
        <w:fldChar w:fldCharType="begin"/>
      </w:r>
      <w:r>
        <w:rPr>
          <w:color w:val="auto"/>
          <w:highlight w:val="none"/>
        </w:rPr>
        <w:instrText xml:space="preserve"> PAGEREF _Toc5953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"_Toc488"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_Toc488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"_Toc7056"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合同公告</w:t>
      </w:r>
      <w:r>
        <w:rPr>
          <w:color w:val="auto"/>
          <w:highlight w:val="none"/>
        </w:rPr>
        <w:tab/>
      </w:r>
      <w:r>
        <w:rPr>
          <w:color w:val="auto"/>
          <w:highlight w:val="none"/>
        </w:rPr>
        <w:fldChar w:fldCharType="begin"/>
      </w:r>
      <w:r>
        <w:rPr>
          <w:color w:val="auto"/>
          <w:highlight w:val="none"/>
        </w:rPr>
        <w:instrText xml:space="preserve"> PAGEREF _Toc7056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"_Toc18154"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_Toc18154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"_Toc3160"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付款方式及履约验收</w:t>
      </w:r>
      <w:r>
        <w:rPr>
          <w:color w:val="auto"/>
          <w:highlight w:val="none"/>
        </w:rPr>
        <w:tab/>
      </w:r>
      <w:r>
        <w:rPr>
          <w:color w:val="auto"/>
          <w:highlight w:val="none"/>
        </w:rPr>
        <w:fldChar w:fldCharType="begin"/>
      </w:r>
      <w:r>
        <w:rPr>
          <w:color w:val="auto"/>
          <w:highlight w:val="none"/>
        </w:rPr>
        <w:instrText xml:space="preserve"> PAGEREF _Toc3160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"_Toc5194" </w:instrText>
      </w:r>
      <w:r>
        <w:rPr>
          <w:color w:val="auto"/>
          <w:highlight w:val="none"/>
        </w:rPr>
        <w:fldChar w:fldCharType="separate"/>
      </w:r>
      <w:r>
        <w:rPr>
          <w:rFonts w:hint="eastAsia" w:cs="宋体"/>
          <w:color w:val="auto"/>
          <w:szCs w:val="36"/>
          <w:highlight w:val="none"/>
        </w:rPr>
        <w:t xml:space="preserve">八、 </w:t>
      </w:r>
      <w:r>
        <w:rPr>
          <w:rFonts w:hint="eastAsia"/>
          <w:color w:val="auto"/>
          <w:szCs w:val="36"/>
          <w:highlight w:val="none"/>
        </w:rPr>
        <w:t>磋商纪律要求</w:t>
      </w:r>
      <w:r>
        <w:rPr>
          <w:color w:val="auto"/>
          <w:highlight w:val="none"/>
        </w:rPr>
        <w:tab/>
      </w:r>
      <w:r>
        <w:rPr>
          <w:color w:val="auto"/>
          <w:highlight w:val="none"/>
        </w:rPr>
        <w:fldChar w:fldCharType="begin"/>
      </w:r>
      <w:r>
        <w:rPr>
          <w:color w:val="auto"/>
          <w:highlight w:val="none"/>
        </w:rPr>
        <w:instrText xml:space="preserve"> PAGEREF _Toc5194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"_Toc10159"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供应商参加本项目采购活动不得具有的情形</w:t>
      </w:r>
      <w:r>
        <w:rPr>
          <w:color w:val="auto"/>
          <w:highlight w:val="none"/>
        </w:rPr>
        <w:tab/>
      </w:r>
      <w:r>
        <w:rPr>
          <w:color w:val="auto"/>
          <w:highlight w:val="none"/>
        </w:rPr>
        <w:fldChar w:fldCharType="begin"/>
      </w:r>
      <w:r>
        <w:rPr>
          <w:color w:val="auto"/>
          <w:highlight w:val="none"/>
        </w:rPr>
        <w:instrText xml:space="preserve"> PAGEREF _Toc10159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"_Toc4095"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磋商现场纪律要求</w:t>
      </w:r>
      <w:r>
        <w:rPr>
          <w:color w:val="auto"/>
          <w:highlight w:val="none"/>
        </w:rPr>
        <w:tab/>
      </w:r>
      <w:r>
        <w:rPr>
          <w:color w:val="auto"/>
          <w:highlight w:val="none"/>
        </w:rPr>
        <w:fldChar w:fldCharType="begin"/>
      </w:r>
      <w:r>
        <w:rPr>
          <w:color w:val="auto"/>
          <w:highlight w:val="none"/>
        </w:rPr>
        <w:instrText xml:space="preserve"> PAGEREF _Toc4095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"_Toc17158" </w:instrText>
      </w:r>
      <w:r>
        <w:rPr>
          <w:color w:val="auto"/>
          <w:highlight w:val="none"/>
        </w:rPr>
        <w:fldChar w:fldCharType="separate"/>
      </w:r>
      <w:r>
        <w:rPr>
          <w:rFonts w:hint="eastAsia" w:cs="宋体"/>
          <w:color w:val="auto"/>
          <w:szCs w:val="36"/>
          <w:highlight w:val="none"/>
        </w:rPr>
        <w:t xml:space="preserve">九、 </w:t>
      </w:r>
      <w:r>
        <w:rPr>
          <w:rFonts w:hint="eastAsia"/>
          <w:color w:val="auto"/>
          <w:szCs w:val="36"/>
          <w:highlight w:val="none"/>
        </w:rPr>
        <w:t>其他</w:t>
      </w:r>
      <w:r>
        <w:rPr>
          <w:color w:val="auto"/>
          <w:highlight w:val="none"/>
        </w:rPr>
        <w:tab/>
      </w:r>
      <w:r>
        <w:rPr>
          <w:color w:val="auto"/>
          <w:highlight w:val="none"/>
        </w:rPr>
        <w:fldChar w:fldCharType="begin"/>
      </w:r>
      <w:r>
        <w:rPr>
          <w:color w:val="auto"/>
          <w:highlight w:val="none"/>
        </w:rPr>
        <w:instrText xml:space="preserve"> PAGEREF _Toc17158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"_Toc11198"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_Toc11198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"_Toc23322"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_Toc23322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"_Toc940"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供应商信用信息查询</w:t>
      </w:r>
      <w:r>
        <w:rPr>
          <w:color w:val="auto"/>
          <w:highlight w:val="none"/>
        </w:rPr>
        <w:tab/>
      </w:r>
      <w:r>
        <w:rPr>
          <w:color w:val="auto"/>
          <w:highlight w:val="none"/>
        </w:rPr>
        <w:fldChar w:fldCharType="begin"/>
      </w:r>
      <w:r>
        <w:rPr>
          <w:color w:val="auto"/>
          <w:highlight w:val="none"/>
        </w:rPr>
        <w:instrText xml:space="preserve"> PAGEREF _Toc940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"_Toc19570"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_Toc19570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"_Toc14173"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回避</w:t>
      </w:r>
      <w:r>
        <w:rPr>
          <w:color w:val="auto"/>
          <w:highlight w:val="none"/>
        </w:rPr>
        <w:tab/>
      </w:r>
      <w:r>
        <w:rPr>
          <w:color w:val="auto"/>
          <w:highlight w:val="none"/>
        </w:rPr>
        <w:fldChar w:fldCharType="begin"/>
      </w:r>
      <w:r>
        <w:rPr>
          <w:color w:val="auto"/>
          <w:highlight w:val="none"/>
        </w:rPr>
        <w:instrText xml:space="preserve"> PAGEREF _Toc14173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"_Toc16596"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解释说明</w:t>
      </w:r>
      <w:r>
        <w:rPr>
          <w:color w:val="auto"/>
          <w:highlight w:val="none"/>
        </w:rPr>
        <w:tab/>
      </w:r>
      <w:r>
        <w:rPr>
          <w:color w:val="auto"/>
          <w:highlight w:val="none"/>
        </w:rPr>
        <w:fldChar w:fldCharType="begin"/>
      </w:r>
      <w:r>
        <w:rPr>
          <w:color w:val="auto"/>
          <w:highlight w:val="none"/>
        </w:rPr>
        <w:instrText xml:space="preserve"> PAGEREF _Toc16596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"_Toc14331" </w:instrText>
      </w:r>
      <w:r>
        <w:rPr>
          <w:color w:val="auto"/>
          <w:highlight w:val="none"/>
        </w:rPr>
        <w:fldChar w:fldCharType="separate"/>
      </w:r>
      <w:r>
        <w:rPr>
          <w:rFonts w:hint="eastAsia" w:cs="宋体"/>
          <w:color w:val="auto"/>
          <w:highlight w:val="none"/>
        </w:rPr>
        <w:t xml:space="preserve">第三章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_Toc14331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"_Toc339" </w:instrText>
      </w:r>
      <w:r>
        <w:rPr>
          <w:color w:val="auto"/>
          <w:highlight w:val="none"/>
        </w:rPr>
        <w:fldChar w:fldCharType="separate"/>
      </w:r>
      <w:r>
        <w:rPr>
          <w:rFonts w:hint="eastAsia"/>
          <w:color w:val="auto"/>
          <w:szCs w:val="32"/>
          <w:highlight w:val="none"/>
        </w:rPr>
        <w:t>第一部分 资格、资质性及其他类似效力响应文件(格式)</w:t>
      </w:r>
      <w:r>
        <w:rPr>
          <w:color w:val="auto"/>
          <w:highlight w:val="none"/>
        </w:rPr>
        <w:tab/>
      </w:r>
      <w:r>
        <w:rPr>
          <w:color w:val="auto"/>
          <w:highlight w:val="none"/>
        </w:rPr>
        <w:fldChar w:fldCharType="begin"/>
      </w:r>
      <w:r>
        <w:rPr>
          <w:color w:val="auto"/>
          <w:highlight w:val="none"/>
        </w:rPr>
        <w:instrText xml:space="preserve"> PAGEREF _Toc339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"_Toc7316" </w:instrText>
      </w:r>
      <w:r>
        <w:rPr>
          <w:color w:val="auto"/>
          <w:highlight w:val="none"/>
        </w:rPr>
        <w:fldChar w:fldCharType="separate"/>
      </w:r>
      <w:r>
        <w:rPr>
          <w:rFonts w:hint="eastAsia"/>
          <w:color w:val="auto"/>
          <w:highlight w:val="none"/>
        </w:rPr>
        <w:t>一、 法定代表人/单位负责人授权书</w:t>
      </w:r>
      <w:r>
        <w:rPr>
          <w:color w:val="auto"/>
          <w:highlight w:val="none"/>
        </w:rPr>
        <w:tab/>
      </w:r>
      <w:r>
        <w:rPr>
          <w:color w:val="auto"/>
          <w:highlight w:val="none"/>
        </w:rPr>
        <w:fldChar w:fldCharType="begin"/>
      </w:r>
      <w:r>
        <w:rPr>
          <w:color w:val="auto"/>
          <w:highlight w:val="none"/>
        </w:rPr>
        <w:instrText xml:space="preserve"> PAGEREF _Toc7316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"_Toc6632" </w:instrText>
      </w:r>
      <w:r>
        <w:rPr>
          <w:color w:val="auto"/>
          <w:highlight w:val="none"/>
        </w:rPr>
        <w:fldChar w:fldCharType="separate"/>
      </w:r>
      <w:r>
        <w:rPr>
          <w:rFonts w:hint="eastAsia"/>
          <w:color w:val="auto"/>
          <w:highlight w:val="none"/>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_Toc6632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"_Toc21976" </w:instrText>
      </w:r>
      <w:r>
        <w:rPr>
          <w:color w:val="auto"/>
          <w:highlight w:val="none"/>
        </w:rPr>
        <w:fldChar w:fldCharType="separate"/>
      </w:r>
      <w:r>
        <w:rPr>
          <w:rFonts w:hint="eastAsia"/>
          <w:color w:val="auto"/>
          <w:highlight w:val="none"/>
        </w:rPr>
        <w:t>二、 供应商具有独立承担民事责任的能力的证明材料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_Toc21976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"_Toc25266" </w:instrText>
      </w:r>
      <w:r>
        <w:rPr>
          <w:color w:val="auto"/>
          <w:highlight w:val="none"/>
        </w:rPr>
        <w:fldChar w:fldCharType="separate"/>
      </w:r>
      <w:r>
        <w:rPr>
          <w:rFonts w:hint="eastAsia"/>
          <w:color w:val="auto"/>
          <w:highlight w:val="none"/>
        </w:rPr>
        <w:t>三、 供应商具有良好的商业信誉和健全的财务会计制度的证明材料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_Toc25266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"_Toc9428" </w:instrText>
      </w:r>
      <w:r>
        <w:rPr>
          <w:color w:val="auto"/>
          <w:highlight w:val="none"/>
        </w:rPr>
        <w:fldChar w:fldCharType="separate"/>
      </w:r>
      <w:r>
        <w:rPr>
          <w:rFonts w:hint="eastAsia"/>
          <w:color w:val="auto"/>
          <w:highlight w:val="none"/>
        </w:rPr>
        <w:t>四、 供应商具有依法缴纳税收和社会保障资金的良好记录的证明材料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_Toc9428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"_Toc25679" </w:instrText>
      </w:r>
      <w:r>
        <w:rPr>
          <w:color w:val="auto"/>
          <w:highlight w:val="none"/>
        </w:rPr>
        <w:fldChar w:fldCharType="separate"/>
      </w:r>
      <w:r>
        <w:rPr>
          <w:rFonts w:hint="eastAsia"/>
          <w:color w:val="auto"/>
          <w:highlight w:val="none"/>
        </w:rPr>
        <w:t>五、 供应商具有履行合同所必需的设备和专业技术能力证明材料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_Toc25679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"_Toc5224" </w:instrText>
      </w:r>
      <w:r>
        <w:rPr>
          <w:color w:val="auto"/>
          <w:highlight w:val="none"/>
        </w:rPr>
        <w:fldChar w:fldCharType="separate"/>
      </w:r>
      <w:r>
        <w:rPr>
          <w:rFonts w:hint="eastAsia"/>
          <w:color w:val="auto"/>
          <w:highlight w:val="none"/>
        </w:rPr>
        <w:t>六、 供应商参加政府采购活动前三年内，在经营活动中没有重大违法记录的证明材料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_Toc5224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"_Toc30704" </w:instrText>
      </w:r>
      <w:r>
        <w:rPr>
          <w:color w:val="auto"/>
          <w:highlight w:val="none"/>
        </w:rPr>
        <w:fldChar w:fldCharType="separate"/>
      </w:r>
      <w:r>
        <w:rPr>
          <w:rFonts w:hint="eastAsia"/>
          <w:color w:val="auto"/>
          <w:highlight w:val="none"/>
          <w:lang w:val="zh-CN"/>
        </w:rPr>
        <w:t xml:space="preserve">七、 </w:t>
      </w:r>
      <w:r>
        <w:rPr>
          <w:rFonts w:hint="eastAsia"/>
          <w:color w:val="auto"/>
          <w:w w:val="95"/>
          <w:highlight w:val="none"/>
        </w:rPr>
        <w:t>供应商单位</w:t>
      </w:r>
      <w:r>
        <w:rPr>
          <w:rFonts w:hint="eastAsia"/>
          <w:color w:val="auto"/>
          <w:w w:val="95"/>
          <w:highlight w:val="none"/>
          <w:lang w:val="zh-CN"/>
        </w:rPr>
        <w:t>及其现任法定代表人、主要负责人不得具有行贿犯罪记录</w:t>
      </w:r>
      <w:r>
        <w:rPr>
          <w:rFonts w:hint="eastAsia"/>
          <w:color w:val="auto"/>
          <w:w w:val="95"/>
          <w:highlight w:val="none"/>
        </w:rPr>
        <w:t>的承诺函</w:t>
      </w:r>
      <w:r>
        <w:rPr>
          <w:color w:val="auto"/>
          <w:highlight w:val="none"/>
        </w:rPr>
        <w:tab/>
      </w:r>
      <w:r>
        <w:rPr>
          <w:color w:val="auto"/>
          <w:highlight w:val="none"/>
        </w:rPr>
        <w:fldChar w:fldCharType="begin"/>
      </w:r>
      <w:r>
        <w:rPr>
          <w:color w:val="auto"/>
          <w:highlight w:val="none"/>
        </w:rPr>
        <w:instrText xml:space="preserve"> PAGEREF _Toc30704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"_Toc29579" </w:instrText>
      </w:r>
      <w:r>
        <w:rPr>
          <w:color w:val="auto"/>
          <w:highlight w:val="none"/>
        </w:rPr>
        <w:fldChar w:fldCharType="separate"/>
      </w:r>
      <w:r>
        <w:rPr>
          <w:rFonts w:hint="eastAsia"/>
          <w:color w:val="auto"/>
          <w:highlight w:val="none"/>
        </w:rPr>
        <w:t>八、 根据采购项目的特殊要求，规定供应商提供的特定条件的证明材料</w:t>
      </w:r>
      <w:r>
        <w:rPr>
          <w:color w:val="auto"/>
          <w:highlight w:val="none"/>
        </w:rPr>
        <w:tab/>
      </w:r>
      <w:r>
        <w:rPr>
          <w:color w:val="auto"/>
          <w:highlight w:val="none"/>
        </w:rPr>
        <w:fldChar w:fldCharType="begin"/>
      </w:r>
      <w:r>
        <w:rPr>
          <w:color w:val="auto"/>
          <w:highlight w:val="none"/>
        </w:rPr>
        <w:instrText xml:space="preserve"> PAGEREF _Toc29579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"_Toc18707" </w:instrText>
      </w:r>
      <w:r>
        <w:rPr>
          <w:color w:val="auto"/>
          <w:highlight w:val="none"/>
        </w:rPr>
        <w:fldChar w:fldCharType="separate"/>
      </w:r>
      <w:r>
        <w:rPr>
          <w:rFonts w:hint="eastAsia"/>
          <w:color w:val="auto"/>
          <w:w w:val="95"/>
          <w:highlight w:val="none"/>
        </w:rPr>
        <w:t>九、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_Toc18707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"_Toc32413" </w:instrText>
      </w:r>
      <w:r>
        <w:rPr>
          <w:color w:val="auto"/>
          <w:highlight w:val="none"/>
        </w:rPr>
        <w:fldChar w:fldCharType="separate"/>
      </w:r>
      <w:r>
        <w:rPr>
          <w:rFonts w:hint="eastAsia"/>
          <w:color w:val="auto"/>
          <w:szCs w:val="32"/>
          <w:highlight w:val="none"/>
        </w:rPr>
        <w:t>第二部分 其他响应文件(格式)</w:t>
      </w:r>
      <w:r>
        <w:rPr>
          <w:color w:val="auto"/>
          <w:highlight w:val="none"/>
        </w:rPr>
        <w:tab/>
      </w:r>
      <w:r>
        <w:rPr>
          <w:color w:val="auto"/>
          <w:highlight w:val="none"/>
        </w:rPr>
        <w:fldChar w:fldCharType="begin"/>
      </w:r>
      <w:r>
        <w:rPr>
          <w:color w:val="auto"/>
          <w:highlight w:val="none"/>
        </w:rPr>
        <w:instrText xml:space="preserve"> PAGEREF _Toc32413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"_Toc19978" </w:instrText>
      </w:r>
      <w:r>
        <w:rPr>
          <w:color w:val="auto"/>
          <w:highlight w:val="none"/>
        </w:rPr>
        <w:fldChar w:fldCharType="separate"/>
      </w:r>
      <w:r>
        <w:rPr>
          <w:rFonts w:hint="eastAsia"/>
          <w:color w:val="auto"/>
          <w:highlight w:val="none"/>
        </w:rPr>
        <w:t>一、 磋商函</w:t>
      </w:r>
      <w:r>
        <w:rPr>
          <w:color w:val="auto"/>
          <w:highlight w:val="none"/>
        </w:rPr>
        <w:tab/>
      </w:r>
      <w:r>
        <w:rPr>
          <w:color w:val="auto"/>
          <w:highlight w:val="none"/>
        </w:rPr>
        <w:fldChar w:fldCharType="begin"/>
      </w:r>
      <w:r>
        <w:rPr>
          <w:color w:val="auto"/>
          <w:highlight w:val="none"/>
        </w:rPr>
        <w:instrText xml:space="preserve"> PAGEREF _Toc19978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"_Toc6228" </w:instrText>
      </w:r>
      <w:r>
        <w:rPr>
          <w:color w:val="auto"/>
          <w:highlight w:val="none"/>
        </w:rPr>
        <w:fldChar w:fldCharType="separate"/>
      </w:r>
      <w:r>
        <w:rPr>
          <w:rFonts w:hint="eastAsia"/>
          <w:color w:val="auto"/>
          <w:highlight w:val="none"/>
        </w:rPr>
        <w:t>二、 承诺函(实质性要求)</w:t>
      </w:r>
      <w:r>
        <w:rPr>
          <w:color w:val="auto"/>
          <w:highlight w:val="none"/>
        </w:rPr>
        <w:tab/>
      </w:r>
      <w:r>
        <w:rPr>
          <w:color w:val="auto"/>
          <w:highlight w:val="none"/>
        </w:rPr>
        <w:fldChar w:fldCharType="begin"/>
      </w:r>
      <w:r>
        <w:rPr>
          <w:color w:val="auto"/>
          <w:highlight w:val="none"/>
        </w:rPr>
        <w:instrText xml:space="preserve"> PAGEREF _Toc6228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"_Toc13749" </w:instrText>
      </w:r>
      <w:r>
        <w:rPr>
          <w:color w:val="auto"/>
          <w:highlight w:val="none"/>
        </w:rPr>
        <w:fldChar w:fldCharType="separate"/>
      </w:r>
      <w:r>
        <w:rPr>
          <w:rFonts w:hint="eastAsia"/>
          <w:color w:val="auto"/>
          <w:highlight w:val="none"/>
        </w:rPr>
        <w:t>三、 供应商基本情况表</w:t>
      </w:r>
      <w:r>
        <w:rPr>
          <w:color w:val="auto"/>
          <w:highlight w:val="none"/>
        </w:rPr>
        <w:tab/>
      </w:r>
      <w:r>
        <w:rPr>
          <w:color w:val="auto"/>
          <w:highlight w:val="none"/>
        </w:rPr>
        <w:fldChar w:fldCharType="begin"/>
      </w:r>
      <w:r>
        <w:rPr>
          <w:color w:val="auto"/>
          <w:highlight w:val="none"/>
        </w:rPr>
        <w:instrText xml:space="preserve"> PAGEREF _Toc13749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"_Toc14088" </w:instrText>
      </w:r>
      <w:r>
        <w:rPr>
          <w:color w:val="auto"/>
          <w:highlight w:val="none"/>
        </w:rPr>
        <w:fldChar w:fldCharType="separate"/>
      </w:r>
      <w:r>
        <w:rPr>
          <w:rFonts w:hint="eastAsia"/>
          <w:color w:val="auto"/>
          <w:highlight w:val="none"/>
        </w:rPr>
        <w:t>四、 商务应答表</w:t>
      </w:r>
      <w:r>
        <w:rPr>
          <w:color w:val="auto"/>
          <w:highlight w:val="none"/>
        </w:rPr>
        <w:tab/>
      </w:r>
      <w:r>
        <w:rPr>
          <w:color w:val="auto"/>
          <w:highlight w:val="none"/>
        </w:rPr>
        <w:fldChar w:fldCharType="begin"/>
      </w:r>
      <w:r>
        <w:rPr>
          <w:color w:val="auto"/>
          <w:highlight w:val="none"/>
        </w:rPr>
        <w:instrText xml:space="preserve"> PAGEREF _Toc14088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"_Toc31772" </w:instrText>
      </w:r>
      <w:r>
        <w:rPr>
          <w:color w:val="auto"/>
          <w:highlight w:val="none"/>
        </w:rPr>
        <w:fldChar w:fldCharType="separate"/>
      </w:r>
      <w:r>
        <w:rPr>
          <w:rFonts w:hint="eastAsia"/>
          <w:color w:val="auto"/>
          <w:highlight w:val="none"/>
        </w:rPr>
        <w:t>五、 服务应答表</w:t>
      </w:r>
      <w:r>
        <w:rPr>
          <w:color w:val="auto"/>
          <w:highlight w:val="none"/>
        </w:rPr>
        <w:tab/>
      </w:r>
      <w:r>
        <w:rPr>
          <w:color w:val="auto"/>
          <w:highlight w:val="none"/>
        </w:rPr>
        <w:fldChar w:fldCharType="begin"/>
      </w:r>
      <w:r>
        <w:rPr>
          <w:color w:val="auto"/>
          <w:highlight w:val="none"/>
        </w:rPr>
        <w:instrText xml:space="preserve"> PAGEREF _Toc31772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"_Toc4458" </w:instrText>
      </w:r>
      <w:r>
        <w:rPr>
          <w:color w:val="auto"/>
          <w:highlight w:val="none"/>
        </w:rPr>
        <w:fldChar w:fldCharType="separate"/>
      </w:r>
      <w:r>
        <w:rPr>
          <w:rFonts w:hint="eastAsia"/>
          <w:color w:val="auto"/>
          <w:highlight w:val="none"/>
        </w:rPr>
        <w:t>六、 供应商针对本项目人员配置情况表</w:t>
      </w:r>
      <w:r>
        <w:rPr>
          <w:color w:val="auto"/>
          <w:highlight w:val="none"/>
        </w:rPr>
        <w:tab/>
      </w:r>
      <w:r>
        <w:rPr>
          <w:color w:val="auto"/>
          <w:highlight w:val="none"/>
        </w:rPr>
        <w:fldChar w:fldCharType="begin"/>
      </w:r>
      <w:r>
        <w:rPr>
          <w:color w:val="auto"/>
          <w:highlight w:val="none"/>
        </w:rPr>
        <w:instrText xml:space="preserve"> PAGEREF _Toc4458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"_Toc9421" </w:instrText>
      </w:r>
      <w:r>
        <w:rPr>
          <w:color w:val="auto"/>
          <w:highlight w:val="none"/>
        </w:rPr>
        <w:fldChar w:fldCharType="separate"/>
      </w:r>
      <w:r>
        <w:rPr>
          <w:rFonts w:hint="eastAsia"/>
          <w:color w:val="auto"/>
          <w:highlight w:val="none"/>
        </w:rPr>
        <w:t>七、 小微企业、监狱企业、残疾人福利性单位价格扣除</w:t>
      </w:r>
      <w:r>
        <w:rPr>
          <w:color w:val="auto"/>
          <w:highlight w:val="none"/>
        </w:rPr>
        <w:tab/>
      </w:r>
      <w:r>
        <w:rPr>
          <w:color w:val="auto"/>
          <w:highlight w:val="none"/>
        </w:rPr>
        <w:fldChar w:fldCharType="begin"/>
      </w:r>
      <w:r>
        <w:rPr>
          <w:color w:val="auto"/>
          <w:highlight w:val="none"/>
        </w:rPr>
        <w:instrText xml:space="preserve"> PAGEREF _Toc9421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"_Toc11758" </w:instrText>
      </w:r>
      <w:r>
        <w:rPr>
          <w:color w:val="auto"/>
          <w:highlight w:val="none"/>
        </w:rPr>
        <w:fldChar w:fldCharType="separate"/>
      </w:r>
      <w:r>
        <w:rPr>
          <w:rFonts w:hint="eastAsia"/>
          <w:color w:val="auto"/>
          <w:highlight w:val="none"/>
        </w:rPr>
        <w:t>(一)中小企业声明函(如涉及)</w:t>
      </w:r>
      <w:r>
        <w:rPr>
          <w:color w:val="auto"/>
          <w:highlight w:val="none"/>
        </w:rPr>
        <w:tab/>
      </w:r>
      <w:r>
        <w:rPr>
          <w:color w:val="auto"/>
          <w:highlight w:val="none"/>
        </w:rPr>
        <w:fldChar w:fldCharType="begin"/>
      </w:r>
      <w:r>
        <w:rPr>
          <w:color w:val="auto"/>
          <w:highlight w:val="none"/>
        </w:rPr>
        <w:instrText xml:space="preserve"> PAGEREF _Toc11758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"_Toc20772" </w:instrText>
      </w:r>
      <w:r>
        <w:rPr>
          <w:color w:val="auto"/>
          <w:highlight w:val="none"/>
        </w:rPr>
        <w:fldChar w:fldCharType="separate"/>
      </w:r>
      <w:r>
        <w:rPr>
          <w:rFonts w:hint="eastAsia"/>
          <w:color w:val="auto"/>
          <w:highlight w:val="none"/>
        </w:rPr>
        <w:t>(二)监狱企业相关证明材料(如涉及)</w:t>
      </w:r>
      <w:r>
        <w:rPr>
          <w:color w:val="auto"/>
          <w:highlight w:val="none"/>
        </w:rPr>
        <w:tab/>
      </w:r>
      <w:r>
        <w:rPr>
          <w:color w:val="auto"/>
          <w:highlight w:val="none"/>
        </w:rPr>
        <w:fldChar w:fldCharType="begin"/>
      </w:r>
      <w:r>
        <w:rPr>
          <w:color w:val="auto"/>
          <w:highlight w:val="none"/>
        </w:rPr>
        <w:instrText xml:space="preserve"> PAGEREF _Toc20772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"_Toc21091" </w:instrText>
      </w:r>
      <w:r>
        <w:rPr>
          <w:color w:val="auto"/>
          <w:highlight w:val="none"/>
        </w:rPr>
        <w:fldChar w:fldCharType="separate"/>
      </w:r>
      <w:r>
        <w:rPr>
          <w:rFonts w:hint="eastAsia"/>
          <w:color w:val="auto"/>
          <w:highlight w:val="none"/>
        </w:rPr>
        <w:t>(三)残疾人福利性单位声明函(如涉及)</w:t>
      </w:r>
      <w:r>
        <w:rPr>
          <w:color w:val="auto"/>
          <w:highlight w:val="none"/>
        </w:rPr>
        <w:tab/>
      </w:r>
      <w:r>
        <w:rPr>
          <w:color w:val="auto"/>
          <w:highlight w:val="none"/>
        </w:rPr>
        <w:fldChar w:fldCharType="begin"/>
      </w:r>
      <w:r>
        <w:rPr>
          <w:color w:val="auto"/>
          <w:highlight w:val="none"/>
        </w:rPr>
        <w:instrText xml:space="preserve"> PAGEREF _Toc21091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"_Toc23024" </w:instrText>
      </w:r>
      <w:r>
        <w:rPr>
          <w:color w:val="auto"/>
          <w:highlight w:val="none"/>
        </w:rPr>
        <w:fldChar w:fldCharType="separate"/>
      </w:r>
      <w:r>
        <w:rPr>
          <w:rFonts w:hint="eastAsia"/>
          <w:color w:val="auto"/>
          <w:highlight w:val="none"/>
        </w:rPr>
        <w:t>八、 履约能力及相关证明</w:t>
      </w:r>
      <w:r>
        <w:rPr>
          <w:color w:val="auto"/>
          <w:highlight w:val="none"/>
        </w:rPr>
        <w:tab/>
      </w:r>
      <w:r>
        <w:rPr>
          <w:color w:val="auto"/>
          <w:highlight w:val="none"/>
        </w:rPr>
        <w:fldChar w:fldCharType="begin"/>
      </w:r>
      <w:r>
        <w:rPr>
          <w:color w:val="auto"/>
          <w:highlight w:val="none"/>
        </w:rPr>
        <w:instrText xml:space="preserve"> PAGEREF _Toc23024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"_Toc32157" </w:instrText>
      </w:r>
      <w:r>
        <w:rPr>
          <w:color w:val="auto"/>
          <w:highlight w:val="none"/>
        </w:rPr>
        <w:fldChar w:fldCharType="separate"/>
      </w:r>
      <w:r>
        <w:rPr>
          <w:rFonts w:hint="eastAsia"/>
          <w:color w:val="auto"/>
          <w:highlight w:val="none"/>
        </w:rPr>
        <w:t xml:space="preserve">九、 </w:t>
      </w:r>
      <w:r>
        <w:rPr>
          <w:rFonts w:hint="eastAsia" w:ascii="仿宋" w:hAnsi="仿宋" w:eastAsia="仿宋" w:cs="仿宋"/>
          <w:color w:val="auto"/>
          <w:kern w:val="0"/>
          <w:szCs w:val="32"/>
          <w:highlight w:val="none"/>
          <w:lang w:bidi="ar"/>
        </w:rPr>
        <w:t>医疗卫生服务</w:t>
      </w:r>
      <w:r>
        <w:rPr>
          <w:rFonts w:hint="eastAsia"/>
          <w:color w:val="auto"/>
          <w:highlight w:val="none"/>
        </w:rPr>
        <w:t>方案</w:t>
      </w:r>
      <w:r>
        <w:rPr>
          <w:color w:val="auto"/>
          <w:highlight w:val="none"/>
        </w:rPr>
        <w:tab/>
      </w:r>
      <w:r>
        <w:rPr>
          <w:color w:val="auto"/>
          <w:highlight w:val="none"/>
        </w:rPr>
        <w:fldChar w:fldCharType="begin"/>
      </w:r>
      <w:r>
        <w:rPr>
          <w:color w:val="auto"/>
          <w:highlight w:val="none"/>
        </w:rPr>
        <w:instrText xml:space="preserve"> PAGEREF _Toc32157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"_Toc3849" </w:instrText>
      </w:r>
      <w:r>
        <w:rPr>
          <w:color w:val="auto"/>
          <w:highlight w:val="none"/>
        </w:rPr>
        <w:fldChar w:fldCharType="separate"/>
      </w:r>
      <w:r>
        <w:rPr>
          <w:rFonts w:hint="eastAsia"/>
          <w:color w:val="auto"/>
          <w:highlight w:val="none"/>
        </w:rPr>
        <w:t>十、 招标代理服务费承诺函</w:t>
      </w:r>
      <w:r>
        <w:rPr>
          <w:color w:val="auto"/>
          <w:highlight w:val="none"/>
        </w:rPr>
        <w:tab/>
      </w:r>
      <w:r>
        <w:rPr>
          <w:color w:val="auto"/>
          <w:highlight w:val="none"/>
        </w:rPr>
        <w:fldChar w:fldCharType="begin"/>
      </w:r>
      <w:r>
        <w:rPr>
          <w:color w:val="auto"/>
          <w:highlight w:val="none"/>
        </w:rPr>
        <w:instrText xml:space="preserve"> PAGEREF _Toc3849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"_Toc8987" </w:instrText>
      </w:r>
      <w:r>
        <w:rPr>
          <w:color w:val="auto"/>
          <w:highlight w:val="none"/>
        </w:rPr>
        <w:fldChar w:fldCharType="separate"/>
      </w:r>
      <w:r>
        <w:rPr>
          <w:rFonts w:hint="eastAsia"/>
          <w:color w:val="auto"/>
          <w:highlight w:val="none"/>
        </w:rPr>
        <w:t>十一、 报价表</w:t>
      </w:r>
      <w:r>
        <w:rPr>
          <w:color w:val="auto"/>
          <w:highlight w:val="none"/>
        </w:rPr>
        <w:tab/>
      </w:r>
      <w:r>
        <w:rPr>
          <w:color w:val="auto"/>
          <w:highlight w:val="none"/>
        </w:rPr>
        <w:fldChar w:fldCharType="begin"/>
      </w:r>
      <w:r>
        <w:rPr>
          <w:color w:val="auto"/>
          <w:highlight w:val="none"/>
        </w:rPr>
        <w:instrText xml:space="preserve"> PAGEREF _Toc8987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"_Toc5334" </w:instrText>
      </w:r>
      <w:r>
        <w:rPr>
          <w:color w:val="auto"/>
          <w:highlight w:val="none"/>
        </w:rPr>
        <w:fldChar w:fldCharType="separate"/>
      </w:r>
      <w:r>
        <w:rPr>
          <w:rFonts w:hint="eastAsia" w:cs="宋体"/>
          <w:color w:val="auto"/>
          <w:highlight w:val="none"/>
        </w:rPr>
        <w:t xml:space="preserve">第四章 </w:t>
      </w:r>
      <w:r>
        <w:rPr>
          <w:rFonts w:hint="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_Toc5334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"_Toc24832" </w:instrText>
      </w:r>
      <w:r>
        <w:rPr>
          <w:color w:val="auto"/>
          <w:highlight w:val="none"/>
        </w:rPr>
        <w:fldChar w:fldCharType="separate"/>
      </w:r>
      <w:r>
        <w:rPr>
          <w:rFonts w:hint="eastAsia" w:cs="宋体"/>
          <w:color w:val="auto"/>
          <w:highlight w:val="none"/>
        </w:rPr>
        <w:t xml:space="preserve">第五章 </w:t>
      </w:r>
      <w:r>
        <w:rPr>
          <w:rFonts w:hint="eastAsia"/>
          <w:color w:val="auto"/>
          <w:highlight w:val="none"/>
        </w:rPr>
        <w:t>磋商内容、磋商过程中可实质性变动的内容</w:t>
      </w:r>
      <w:r>
        <w:rPr>
          <w:color w:val="auto"/>
          <w:highlight w:val="none"/>
        </w:rPr>
        <w:tab/>
      </w:r>
      <w:r>
        <w:rPr>
          <w:color w:val="auto"/>
          <w:highlight w:val="none"/>
        </w:rPr>
        <w:fldChar w:fldCharType="begin"/>
      </w:r>
      <w:r>
        <w:rPr>
          <w:color w:val="auto"/>
          <w:highlight w:val="none"/>
        </w:rPr>
        <w:instrText xml:space="preserve"> PAGEREF _Toc24832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"_Toc22236" </w:instrText>
      </w:r>
      <w:r>
        <w:rPr>
          <w:color w:val="auto"/>
          <w:highlight w:val="none"/>
        </w:rPr>
        <w:fldChar w:fldCharType="separate"/>
      </w:r>
      <w:r>
        <w:rPr>
          <w:rFonts w:hint="eastAsia" w:cs="宋体"/>
          <w:color w:val="auto"/>
          <w:highlight w:val="none"/>
        </w:rPr>
        <w:t xml:space="preserve">第六章 </w:t>
      </w:r>
      <w:r>
        <w:rPr>
          <w:rFonts w:hint="eastAsia" w:asciiTheme="minorEastAsia" w:hAnsiTheme="minorEastAsia" w:eastAsiaTheme="minorEastAsia" w:cstheme="minorEastAsia"/>
          <w:color w:val="auto"/>
          <w:szCs w:val="36"/>
          <w:highlight w:val="none"/>
        </w:rPr>
        <w:t>采购项目技术、服务、合同内容条款及商务要求</w:t>
      </w:r>
      <w:r>
        <w:rPr>
          <w:color w:val="auto"/>
          <w:highlight w:val="none"/>
        </w:rPr>
        <w:tab/>
      </w:r>
      <w:r>
        <w:rPr>
          <w:color w:val="auto"/>
          <w:highlight w:val="none"/>
        </w:rPr>
        <w:fldChar w:fldCharType="begin"/>
      </w:r>
      <w:r>
        <w:rPr>
          <w:color w:val="auto"/>
          <w:highlight w:val="none"/>
        </w:rPr>
        <w:instrText xml:space="preserve"> PAGEREF _Toc22236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"_Toc27374"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_Toc27374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"_Toc32700"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服务内容及要求</w:t>
      </w:r>
      <w:r>
        <w:rPr>
          <w:color w:val="auto"/>
          <w:highlight w:val="none"/>
        </w:rPr>
        <w:tab/>
      </w:r>
      <w:r>
        <w:rPr>
          <w:color w:val="auto"/>
          <w:highlight w:val="none"/>
        </w:rPr>
        <w:fldChar w:fldCharType="begin"/>
      </w:r>
      <w:r>
        <w:rPr>
          <w:color w:val="auto"/>
          <w:highlight w:val="none"/>
        </w:rPr>
        <w:instrText xml:space="preserve"> PAGEREF _Toc32700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"_Toc30834"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★商务要求</w:t>
      </w:r>
      <w:r>
        <w:rPr>
          <w:color w:val="auto"/>
          <w:highlight w:val="none"/>
        </w:rPr>
        <w:tab/>
      </w:r>
      <w:r>
        <w:rPr>
          <w:color w:val="auto"/>
          <w:highlight w:val="none"/>
        </w:rPr>
        <w:fldChar w:fldCharType="begin"/>
      </w:r>
      <w:r>
        <w:rPr>
          <w:color w:val="auto"/>
          <w:highlight w:val="none"/>
        </w:rPr>
        <w:instrText xml:space="preserve"> PAGEREF _Toc30834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"_Toc19452" </w:instrText>
      </w:r>
      <w:r>
        <w:rPr>
          <w:color w:val="auto"/>
          <w:highlight w:val="none"/>
        </w:rPr>
        <w:fldChar w:fldCharType="separate"/>
      </w:r>
      <w:r>
        <w:rPr>
          <w:rFonts w:hint="eastAsia" w:cs="宋体"/>
          <w:bCs/>
          <w:color w:val="auto"/>
          <w:highlight w:val="none"/>
        </w:rPr>
        <w:t xml:space="preserve">四、 </w:t>
      </w:r>
      <w:r>
        <w:rPr>
          <w:rFonts w:hint="eastAsia" w:cs="宋体"/>
          <w:color w:val="auto"/>
          <w:highlight w:val="none"/>
        </w:rPr>
        <w:t>★</w:t>
      </w:r>
      <w:r>
        <w:rPr>
          <w:rFonts w:hint="eastAsia" w:asciiTheme="minorEastAsia" w:hAnsiTheme="minorEastAsia" w:eastAsiaTheme="minorEastAsia" w:cstheme="minorEastAsia"/>
          <w:bCs/>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_Toc19452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"_Toc21614"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履约能力</w:t>
      </w:r>
      <w:r>
        <w:rPr>
          <w:color w:val="auto"/>
          <w:highlight w:val="none"/>
        </w:rPr>
        <w:tab/>
      </w:r>
      <w:r>
        <w:rPr>
          <w:color w:val="auto"/>
          <w:highlight w:val="none"/>
        </w:rPr>
        <w:fldChar w:fldCharType="begin"/>
      </w:r>
      <w:r>
        <w:rPr>
          <w:color w:val="auto"/>
          <w:highlight w:val="none"/>
        </w:rPr>
        <w:instrText xml:space="preserve"> PAGEREF _Toc21614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"_Toc14104"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其他要求</w:t>
      </w:r>
      <w:r>
        <w:rPr>
          <w:color w:val="auto"/>
          <w:highlight w:val="none"/>
        </w:rPr>
        <w:tab/>
      </w:r>
      <w:r>
        <w:rPr>
          <w:color w:val="auto"/>
          <w:highlight w:val="none"/>
        </w:rPr>
        <w:fldChar w:fldCharType="begin"/>
      </w:r>
      <w:r>
        <w:rPr>
          <w:color w:val="auto"/>
          <w:highlight w:val="none"/>
        </w:rPr>
        <w:instrText xml:space="preserve"> PAGEREF _Toc14104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"_Toc2895" </w:instrText>
      </w:r>
      <w:r>
        <w:rPr>
          <w:color w:val="auto"/>
          <w:highlight w:val="none"/>
        </w:rPr>
        <w:fldChar w:fldCharType="separate"/>
      </w:r>
      <w:r>
        <w:rPr>
          <w:rFonts w:hint="eastAsia" w:cs="宋体"/>
          <w:color w:val="auto"/>
          <w:highlight w:val="none"/>
        </w:rPr>
        <w:t xml:space="preserve">第七章 </w:t>
      </w:r>
      <w:r>
        <w:rPr>
          <w:rFonts w:hint="eastAsia"/>
          <w:color w:val="auto"/>
          <w:highlight w:val="none"/>
        </w:rPr>
        <w:t>磋商程序</w:t>
      </w:r>
      <w:r>
        <w:rPr>
          <w:color w:val="auto"/>
          <w:highlight w:val="none"/>
        </w:rPr>
        <w:tab/>
      </w:r>
      <w:r>
        <w:rPr>
          <w:color w:val="auto"/>
          <w:highlight w:val="none"/>
        </w:rPr>
        <w:fldChar w:fldCharType="begin"/>
      </w:r>
      <w:r>
        <w:rPr>
          <w:color w:val="auto"/>
          <w:highlight w:val="none"/>
        </w:rPr>
        <w:instrText xml:space="preserve"> PAGEREF _Toc2895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"_Toc2426"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磋商小组及专家组成</w:t>
      </w:r>
      <w:r>
        <w:rPr>
          <w:color w:val="auto"/>
          <w:highlight w:val="none"/>
        </w:rPr>
        <w:tab/>
      </w:r>
      <w:r>
        <w:rPr>
          <w:color w:val="auto"/>
          <w:highlight w:val="none"/>
        </w:rPr>
        <w:fldChar w:fldCharType="begin"/>
      </w:r>
      <w:r>
        <w:rPr>
          <w:color w:val="auto"/>
          <w:highlight w:val="none"/>
        </w:rPr>
        <w:instrText xml:space="preserve"> PAGEREF _Toc2426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磋商组织</w:t>
      </w:r>
      <w:r>
        <w:rPr>
          <w:color w:val="auto"/>
          <w:highlight w:val="none"/>
        </w:rPr>
        <w:tab/>
      </w:r>
      <w:r>
        <w:rPr>
          <w:color w:val="auto"/>
          <w:highlight w:val="none"/>
        </w:rPr>
        <w:fldChar w:fldCharType="begin"/>
      </w:r>
      <w:r>
        <w:rPr>
          <w:color w:val="auto"/>
          <w:highlight w:val="none"/>
        </w:rPr>
        <w:instrText xml:space="preserve"> PAGEREF _Toc4151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"_Toc25397"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评审程序</w:t>
      </w:r>
      <w:r>
        <w:rPr>
          <w:color w:val="auto"/>
          <w:highlight w:val="none"/>
        </w:rPr>
        <w:tab/>
      </w:r>
      <w:r>
        <w:rPr>
          <w:color w:val="auto"/>
          <w:highlight w:val="none"/>
        </w:rPr>
        <w:fldChar w:fldCharType="begin"/>
      </w:r>
      <w:r>
        <w:rPr>
          <w:color w:val="auto"/>
          <w:highlight w:val="none"/>
        </w:rPr>
        <w:instrText xml:space="preserve"> PAGEREF _Toc25397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"_Toc13257"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供应商资格审查</w:t>
      </w:r>
      <w:r>
        <w:rPr>
          <w:color w:val="auto"/>
          <w:highlight w:val="none"/>
        </w:rPr>
        <w:tab/>
      </w:r>
      <w:r>
        <w:rPr>
          <w:color w:val="auto"/>
          <w:highlight w:val="none"/>
        </w:rPr>
        <w:fldChar w:fldCharType="begin"/>
      </w:r>
      <w:r>
        <w:rPr>
          <w:color w:val="auto"/>
          <w:highlight w:val="none"/>
        </w:rPr>
        <w:instrText xml:space="preserve"> PAGEREF _Toc13257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"_Toc10195"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磋商</w:t>
      </w:r>
      <w:r>
        <w:rPr>
          <w:color w:val="auto"/>
          <w:highlight w:val="none"/>
        </w:rPr>
        <w:tab/>
      </w:r>
      <w:r>
        <w:rPr>
          <w:color w:val="auto"/>
          <w:highlight w:val="none"/>
        </w:rPr>
        <w:fldChar w:fldCharType="begin"/>
      </w:r>
      <w:r>
        <w:rPr>
          <w:color w:val="auto"/>
          <w:highlight w:val="none"/>
        </w:rPr>
        <w:instrText xml:space="preserve"> PAGEREF _Toc10195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"_Toc4881"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采购活动终止</w:t>
      </w:r>
      <w:r>
        <w:rPr>
          <w:color w:val="auto"/>
          <w:highlight w:val="none"/>
        </w:rPr>
        <w:tab/>
      </w:r>
      <w:r>
        <w:rPr>
          <w:color w:val="auto"/>
          <w:highlight w:val="none"/>
        </w:rPr>
        <w:fldChar w:fldCharType="begin"/>
      </w:r>
      <w:r>
        <w:rPr>
          <w:color w:val="auto"/>
          <w:highlight w:val="none"/>
        </w:rPr>
        <w:instrText xml:space="preserve"> PAGEREF _Toc4881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"_Toc20786"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报价</w:t>
      </w:r>
      <w:r>
        <w:rPr>
          <w:color w:val="auto"/>
          <w:highlight w:val="none"/>
        </w:rPr>
        <w:tab/>
      </w:r>
      <w:r>
        <w:rPr>
          <w:color w:val="auto"/>
          <w:highlight w:val="none"/>
        </w:rPr>
        <w:fldChar w:fldCharType="begin"/>
      </w:r>
      <w:r>
        <w:rPr>
          <w:color w:val="auto"/>
          <w:highlight w:val="none"/>
        </w:rPr>
        <w:instrText xml:space="preserve"> PAGEREF _Toc20786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"_Toc21874"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评审方法</w:t>
      </w:r>
      <w:r>
        <w:rPr>
          <w:color w:val="auto"/>
          <w:highlight w:val="none"/>
        </w:rPr>
        <w:tab/>
      </w:r>
      <w:r>
        <w:rPr>
          <w:color w:val="auto"/>
          <w:highlight w:val="none"/>
        </w:rPr>
        <w:fldChar w:fldCharType="begin"/>
      </w:r>
      <w:r>
        <w:rPr>
          <w:color w:val="auto"/>
          <w:highlight w:val="none"/>
        </w:rPr>
        <w:instrText xml:space="preserve"> PAGEREF _Toc21874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"_Toc4665"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_Toc4665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"_Toc12029"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_Toc12029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"_Toc4187"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评审报告</w:t>
      </w:r>
      <w:r>
        <w:rPr>
          <w:color w:val="auto"/>
          <w:highlight w:val="none"/>
        </w:rPr>
        <w:tab/>
      </w:r>
      <w:r>
        <w:rPr>
          <w:color w:val="auto"/>
          <w:highlight w:val="none"/>
        </w:rPr>
        <w:fldChar w:fldCharType="begin"/>
      </w:r>
      <w:r>
        <w:rPr>
          <w:color w:val="auto"/>
          <w:highlight w:val="none"/>
        </w:rPr>
        <w:instrText xml:space="preserve"> PAGEREF _Toc4187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"_Toc29300"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评审专家在政府采购活动中承担以下义务</w:t>
      </w:r>
      <w:r>
        <w:rPr>
          <w:color w:val="auto"/>
          <w:highlight w:val="none"/>
        </w:rPr>
        <w:tab/>
      </w:r>
      <w:r>
        <w:rPr>
          <w:color w:val="auto"/>
          <w:highlight w:val="none"/>
        </w:rPr>
        <w:fldChar w:fldCharType="begin"/>
      </w:r>
      <w:r>
        <w:rPr>
          <w:color w:val="auto"/>
          <w:highlight w:val="none"/>
        </w:rPr>
        <w:instrText xml:space="preserve"> PAGEREF _Toc29300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"_Toc29181"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评审专家在政府采购活动中应当遵守以下工作纪律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_Toc29181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5"/>
        <w:tabs>
          <w:tab w:val="right" w:leader="dot" w:pos="9746"/>
          <w:tab w:val="clear" w:pos="0"/>
        </w:tabs>
        <w:ind w:left="960"/>
        <w:rPr>
          <w:color w:val="auto"/>
          <w:highlight w:val="none"/>
        </w:rPr>
      </w:pPr>
      <w:r>
        <w:rPr>
          <w:color w:val="auto"/>
          <w:highlight w:val="none"/>
        </w:rPr>
        <w:fldChar w:fldCharType="begin"/>
      </w:r>
      <w:r>
        <w:rPr>
          <w:color w:val="auto"/>
          <w:highlight w:val="none"/>
        </w:rPr>
        <w:instrText xml:space="preserve"> HYPERLINK \l "_Toc6289"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评审委员会及其成员不得有下列违约情形</w:t>
      </w:r>
      <w:r>
        <w:rPr>
          <w:color w:val="auto"/>
          <w:highlight w:val="none"/>
        </w:rPr>
        <w:tab/>
      </w:r>
      <w:r>
        <w:rPr>
          <w:color w:val="auto"/>
          <w:highlight w:val="none"/>
        </w:rPr>
        <w:fldChar w:fldCharType="begin"/>
      </w:r>
      <w:r>
        <w:rPr>
          <w:color w:val="auto"/>
          <w:highlight w:val="none"/>
        </w:rPr>
        <w:instrText xml:space="preserve"> PAGEREF _Toc6289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"_Toc12602" </w:instrText>
      </w:r>
      <w:r>
        <w:rPr>
          <w:color w:val="auto"/>
          <w:highlight w:val="none"/>
        </w:rPr>
        <w:fldChar w:fldCharType="separate"/>
      </w:r>
      <w:r>
        <w:rPr>
          <w:rFonts w:hint="eastAsia" w:cs="宋体"/>
          <w:color w:val="auto"/>
          <w:highlight w:val="none"/>
        </w:rPr>
        <w:t xml:space="preserve">第八章 </w:t>
      </w:r>
      <w:r>
        <w:rPr>
          <w:rFonts w:hint="eastAsia"/>
          <w:color w:val="auto"/>
          <w:highlight w:val="none"/>
        </w:rPr>
        <w:t>政府采购合同</w:t>
      </w:r>
      <w:r>
        <w:rPr>
          <w:color w:val="auto"/>
          <w:highlight w:val="none"/>
        </w:rPr>
        <w:tab/>
      </w:r>
      <w:r>
        <w:rPr>
          <w:color w:val="auto"/>
          <w:highlight w:val="none"/>
        </w:rPr>
        <w:fldChar w:fldCharType="begin"/>
      </w:r>
      <w:r>
        <w:rPr>
          <w:color w:val="auto"/>
          <w:highlight w:val="none"/>
        </w:rPr>
        <w:instrText xml:space="preserve"> PAGEREF _Toc12602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clear" w:pos="0"/>
        </w:tabs>
        <w:rPr>
          <w:color w:val="auto"/>
          <w:highlight w:val="none"/>
        </w:rPr>
      </w:pPr>
      <w:r>
        <w:rPr>
          <w:color w:val="auto"/>
          <w:highlight w:val="none"/>
        </w:rPr>
        <w:fldChar w:fldCharType="begin"/>
      </w:r>
      <w:r>
        <w:rPr>
          <w:color w:val="auto"/>
          <w:highlight w:val="none"/>
        </w:rPr>
        <w:instrText xml:space="preserve"> HYPERLINK \l "_Toc3649" </w:instrText>
      </w:r>
      <w:r>
        <w:rPr>
          <w:color w:val="auto"/>
          <w:highlight w:val="none"/>
        </w:rPr>
        <w:fldChar w:fldCharType="separate"/>
      </w:r>
      <w:r>
        <w:rPr>
          <w:rFonts w:hint="eastAsia" w:cs="宋体"/>
          <w:color w:val="auto"/>
          <w:highlight w:val="none"/>
        </w:rPr>
        <w:t xml:space="preserve">第九章 </w:t>
      </w:r>
      <w:r>
        <w:rPr>
          <w:rFonts w:hint="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_Toc3649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"_Toc23962" </w:instrText>
      </w:r>
      <w:r>
        <w:rPr>
          <w:color w:val="auto"/>
          <w:highlight w:val="none"/>
        </w:rPr>
        <w:fldChar w:fldCharType="separate"/>
      </w:r>
      <w:r>
        <w:rPr>
          <w:rFonts w:hint="eastAsia"/>
          <w:color w:val="auto"/>
          <w:highlight w:val="none"/>
        </w:rPr>
        <w:t>附件一：问题的澄清、说明、更正通知</w:t>
      </w:r>
      <w:r>
        <w:rPr>
          <w:color w:val="auto"/>
          <w:highlight w:val="none"/>
        </w:rPr>
        <w:tab/>
      </w:r>
      <w:r>
        <w:rPr>
          <w:color w:val="auto"/>
          <w:highlight w:val="none"/>
        </w:rPr>
        <w:fldChar w:fldCharType="begin"/>
      </w:r>
      <w:r>
        <w:rPr>
          <w:color w:val="auto"/>
          <w:highlight w:val="none"/>
        </w:rPr>
        <w:instrText xml:space="preserve"> PAGEREF _Toc23962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"_Toc27121" </w:instrText>
      </w:r>
      <w:r>
        <w:rPr>
          <w:color w:val="auto"/>
          <w:highlight w:val="none"/>
        </w:rPr>
        <w:fldChar w:fldCharType="separate"/>
      </w:r>
      <w:r>
        <w:rPr>
          <w:rFonts w:hint="eastAsia" w:asciiTheme="minorEastAsia" w:hAnsiTheme="minorEastAsia" w:eastAsiaTheme="minorEastAsia" w:cstheme="minorEastAsia"/>
          <w:color w:val="auto"/>
          <w:highlight w:val="none"/>
        </w:rPr>
        <w:t>附件二：问题的澄清、说明、更正</w:t>
      </w:r>
      <w:r>
        <w:rPr>
          <w:color w:val="auto"/>
          <w:highlight w:val="none"/>
        </w:rPr>
        <w:tab/>
      </w:r>
      <w:r>
        <w:rPr>
          <w:color w:val="auto"/>
          <w:highlight w:val="none"/>
        </w:rPr>
        <w:fldChar w:fldCharType="begin"/>
      </w:r>
      <w:r>
        <w:rPr>
          <w:color w:val="auto"/>
          <w:highlight w:val="none"/>
        </w:rPr>
        <w:instrText xml:space="preserve"> PAGEREF _Toc27121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"_Toc3258" </w:instrText>
      </w:r>
      <w:r>
        <w:rPr>
          <w:color w:val="auto"/>
          <w:highlight w:val="none"/>
        </w:rPr>
        <w:fldChar w:fldCharType="separate"/>
      </w:r>
      <w:r>
        <w:rPr>
          <w:rFonts w:hint="eastAsia"/>
          <w:color w:val="auto"/>
          <w:highlight w:val="none"/>
        </w:rPr>
        <w:t>附件三：2022年度信用评价服务效果调查表</w:t>
      </w:r>
      <w:r>
        <w:rPr>
          <w:color w:val="auto"/>
          <w:highlight w:val="none"/>
        </w:rPr>
        <w:tab/>
      </w:r>
      <w:r>
        <w:rPr>
          <w:color w:val="auto"/>
          <w:highlight w:val="none"/>
        </w:rPr>
        <w:fldChar w:fldCharType="begin"/>
      </w:r>
      <w:r>
        <w:rPr>
          <w:color w:val="auto"/>
          <w:highlight w:val="none"/>
        </w:rPr>
        <w:instrText xml:space="preserve"> PAGEREF _Toc3258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"_Toc26663" </w:instrText>
      </w:r>
      <w:r>
        <w:rPr>
          <w:color w:val="auto"/>
          <w:highlight w:val="none"/>
        </w:rPr>
        <w:fldChar w:fldCharType="separate"/>
      </w:r>
      <w:r>
        <w:rPr>
          <w:rFonts w:hint="eastAsia" w:asciiTheme="minorEastAsia" w:hAnsiTheme="minorEastAsia" w:eastAsiaTheme="minorEastAsia" w:cstheme="minorEastAsia"/>
          <w:color w:val="auto"/>
          <w:highlight w:val="none"/>
        </w:rPr>
        <w:t>附件四：统计上大中小微型企业划分标准</w:t>
      </w:r>
      <w:r>
        <w:rPr>
          <w:color w:val="auto"/>
          <w:highlight w:val="none"/>
        </w:rPr>
        <w:tab/>
      </w:r>
      <w:r>
        <w:rPr>
          <w:color w:val="auto"/>
          <w:highlight w:val="none"/>
        </w:rPr>
        <w:fldChar w:fldCharType="begin"/>
      </w:r>
      <w:r>
        <w:rPr>
          <w:color w:val="auto"/>
          <w:highlight w:val="none"/>
        </w:rPr>
        <w:instrText xml:space="preserve"> PAGEREF _Toc26663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"_Toc30965" </w:instrText>
      </w:r>
      <w:r>
        <w:rPr>
          <w:color w:val="auto"/>
          <w:highlight w:val="none"/>
        </w:rPr>
        <w:fldChar w:fldCharType="separate"/>
      </w:r>
      <w:r>
        <w:rPr>
          <w:rFonts w:hint="eastAsia" w:asciiTheme="minorEastAsia" w:hAnsiTheme="minorEastAsia" w:eastAsiaTheme="minorEastAsia" w:cstheme="minorEastAsia"/>
          <w:color w:val="auto"/>
          <w:highlight w:val="none"/>
        </w:rPr>
        <w:t>附件五：《四川省财政厅关于推进四川省政府采购供应商信用融资工作的通知》(川财采〔2018〕123号文)</w:t>
      </w:r>
      <w:r>
        <w:rPr>
          <w:color w:val="auto"/>
          <w:highlight w:val="none"/>
        </w:rPr>
        <w:tab/>
      </w:r>
      <w:r>
        <w:rPr>
          <w:color w:val="auto"/>
          <w:highlight w:val="none"/>
        </w:rPr>
        <w:fldChar w:fldCharType="begin"/>
      </w:r>
      <w:r>
        <w:rPr>
          <w:color w:val="auto"/>
          <w:highlight w:val="none"/>
        </w:rPr>
        <w:instrText xml:space="preserve"> PAGEREF _Toc30965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"_Toc20986" </w:instrText>
      </w:r>
      <w:r>
        <w:rPr>
          <w:color w:val="auto"/>
          <w:highlight w:val="none"/>
        </w:rPr>
        <w:fldChar w:fldCharType="separate"/>
      </w:r>
      <w:r>
        <w:rPr>
          <w:rFonts w:hint="eastAsia" w:asciiTheme="minorEastAsia" w:hAnsiTheme="minorEastAsia" w:eastAsiaTheme="minorEastAsia" w:cstheme="minorEastAsia"/>
          <w:color w:val="auto"/>
          <w:highlight w:val="none"/>
        </w:rPr>
        <w:t>附件六：成都市财政局  中国人民银行成都分行营业管理部关于印发《成都市中小企业政府采购信用融资暂行办法》和《成都市级支持中小企业政府采购信用融资实施方案》的通</w:t>
      </w:r>
      <w:r>
        <w:rPr>
          <w:rFonts w:hint="eastAsia"/>
          <w:color w:val="auto"/>
          <w:highlight w:val="none"/>
        </w:rPr>
        <w:t>知(成财采〔2019〕17号)</w:t>
      </w:r>
      <w:r>
        <w:rPr>
          <w:color w:val="auto"/>
          <w:highlight w:val="none"/>
        </w:rPr>
        <w:tab/>
      </w:r>
      <w:r>
        <w:rPr>
          <w:color w:val="auto"/>
          <w:highlight w:val="none"/>
        </w:rPr>
        <w:fldChar w:fldCharType="begin"/>
      </w:r>
      <w:r>
        <w:rPr>
          <w:color w:val="auto"/>
          <w:highlight w:val="none"/>
        </w:rPr>
        <w:instrText xml:space="preserve"> PAGEREF _Toc20986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"_Toc1676" </w:instrText>
      </w:r>
      <w:r>
        <w:rPr>
          <w:color w:val="auto"/>
          <w:highlight w:val="none"/>
        </w:rPr>
        <w:fldChar w:fldCharType="separate"/>
      </w:r>
      <w:r>
        <w:rPr>
          <w:rFonts w:hint="eastAsia"/>
          <w:color w:val="auto"/>
          <w:highlight w:val="none"/>
        </w:rPr>
        <w:t>附件七：《成都市财政局 中国人民银行成都分行营业管理部关于印发成都市政府采购应对新冠肺炎疫情促进中小企业发展实施细则的通知》成财制〔2020〕2号</w:t>
      </w:r>
      <w:r>
        <w:rPr>
          <w:color w:val="auto"/>
          <w:highlight w:val="none"/>
        </w:rPr>
        <w:tab/>
      </w:r>
      <w:r>
        <w:rPr>
          <w:color w:val="auto"/>
          <w:highlight w:val="none"/>
        </w:rPr>
        <w:fldChar w:fldCharType="begin"/>
      </w:r>
      <w:r>
        <w:rPr>
          <w:color w:val="auto"/>
          <w:highlight w:val="none"/>
        </w:rPr>
        <w:instrText xml:space="preserve"> PAGEREF _Toc1676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"_Toc17444" </w:instrText>
      </w:r>
      <w:r>
        <w:rPr>
          <w:color w:val="auto"/>
          <w:highlight w:val="none"/>
        </w:rPr>
        <w:fldChar w:fldCharType="separate"/>
      </w:r>
      <w:r>
        <w:rPr>
          <w:rFonts w:hint="eastAsia"/>
          <w:color w:val="auto"/>
          <w:highlight w:val="none"/>
        </w:rPr>
        <w:t>附件八：环保标志产品政府采购品目清单</w:t>
      </w:r>
      <w:r>
        <w:rPr>
          <w:color w:val="auto"/>
          <w:highlight w:val="none"/>
        </w:rPr>
        <w:tab/>
      </w:r>
      <w:r>
        <w:rPr>
          <w:color w:val="auto"/>
          <w:highlight w:val="none"/>
        </w:rPr>
        <w:fldChar w:fldCharType="begin"/>
      </w:r>
      <w:r>
        <w:rPr>
          <w:color w:val="auto"/>
          <w:highlight w:val="none"/>
        </w:rPr>
        <w:instrText xml:space="preserve"> PAGEREF _Toc17444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"_Toc19436" </w:instrText>
      </w:r>
      <w:r>
        <w:rPr>
          <w:color w:val="auto"/>
          <w:highlight w:val="none"/>
        </w:rPr>
        <w:fldChar w:fldCharType="separate"/>
      </w:r>
      <w:r>
        <w:rPr>
          <w:rFonts w:hint="eastAsia"/>
          <w:color w:val="auto"/>
          <w:highlight w:val="none"/>
        </w:rPr>
        <w:t>附件九：节能产品政府采购品目清单</w:t>
      </w:r>
      <w:r>
        <w:rPr>
          <w:color w:val="auto"/>
          <w:highlight w:val="none"/>
        </w:rPr>
        <w:tab/>
      </w:r>
      <w:r>
        <w:rPr>
          <w:color w:val="auto"/>
          <w:highlight w:val="none"/>
        </w:rPr>
        <w:fldChar w:fldCharType="begin"/>
      </w:r>
      <w:r>
        <w:rPr>
          <w:color w:val="auto"/>
          <w:highlight w:val="none"/>
        </w:rPr>
        <w:instrText xml:space="preserve"> PAGEREF _Toc19436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20"/>
        <w:tabs>
          <w:tab w:val="right" w:leader="dot" w:pos="9746"/>
          <w:tab w:val="clear" w:pos="0"/>
        </w:tabs>
        <w:ind w:left="480"/>
        <w:rPr>
          <w:color w:val="auto"/>
          <w:highlight w:val="none"/>
        </w:rPr>
      </w:pPr>
      <w:r>
        <w:rPr>
          <w:color w:val="auto"/>
          <w:highlight w:val="none"/>
        </w:rPr>
        <w:fldChar w:fldCharType="begin"/>
      </w:r>
      <w:r>
        <w:rPr>
          <w:color w:val="auto"/>
          <w:highlight w:val="none"/>
        </w:rPr>
        <w:instrText xml:space="preserve"> HYPERLINK \l "_Toc29263" </w:instrText>
      </w:r>
      <w:r>
        <w:rPr>
          <w:color w:val="auto"/>
          <w:highlight w:val="none"/>
        </w:rPr>
        <w:fldChar w:fldCharType="separate"/>
      </w:r>
      <w:r>
        <w:rPr>
          <w:rFonts w:hint="eastAsia"/>
          <w:color w:val="auto"/>
          <w:highlight w:val="none"/>
        </w:rPr>
        <w:t>附件十：质疑函和投诉书范本</w:t>
      </w:r>
      <w:r>
        <w:rPr>
          <w:color w:val="auto"/>
          <w:highlight w:val="none"/>
        </w:rPr>
        <w:tab/>
      </w:r>
      <w:r>
        <w:rPr>
          <w:color w:val="auto"/>
          <w:highlight w:val="none"/>
        </w:rPr>
        <w:fldChar w:fldCharType="begin"/>
      </w:r>
      <w:r>
        <w:rPr>
          <w:color w:val="auto"/>
          <w:highlight w:val="none"/>
        </w:rPr>
        <w:instrText xml:space="preserve"> PAGEREF _Toc29263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9"/>
        <w:spacing w:before="120" w:after="120"/>
        <w:rPr>
          <w:color w:val="auto"/>
          <w:highlight w:val="none"/>
        </w:rPr>
      </w:pPr>
      <w:r>
        <w:rPr>
          <w:rFonts w:hint="eastAsia"/>
          <w:color w:val="auto"/>
          <w:highlight w:val="none"/>
        </w:rPr>
        <w:br w:type="page"/>
      </w:r>
      <w:bookmarkEnd w:id="2"/>
      <w:bookmarkEnd w:id="9"/>
      <w:bookmarkEnd w:id="10"/>
      <w:bookmarkEnd w:id="11"/>
      <w:bookmarkStart w:id="12" w:name="_Toc29899"/>
      <w:bookmarkStart w:id="13" w:name="_Toc213496267"/>
      <w:bookmarkStart w:id="14" w:name="_Toc213397009"/>
      <w:bookmarkStart w:id="15" w:name="_Toc217446031"/>
      <w:bookmarkStart w:id="16" w:name="_Toc213396759"/>
      <w:bookmarkStart w:id="17" w:name="_Toc213396945"/>
      <w:r>
        <w:rPr>
          <w:rFonts w:hint="eastAsia"/>
          <w:color w:val="auto"/>
          <w:highlight w:val="none"/>
        </w:rPr>
        <w:t>竞争性磋商邀请公告</w:t>
      </w:r>
      <w:bookmarkEnd w:id="12"/>
    </w:p>
    <w:p>
      <w:pPr>
        <w:pStyle w:val="34"/>
        <w:keepNext w:val="0"/>
        <w:keepLines w:val="0"/>
        <w:pageBreakBefore w:val="0"/>
        <w:widowControl w:val="0"/>
        <w:kinsoku/>
        <w:overflowPunct/>
        <w:autoSpaceDE/>
        <w:autoSpaceDN/>
        <w:bidi w:val="0"/>
        <w:adjustRightInd w:val="0"/>
        <w:snapToGrid w:val="0"/>
        <w:textAlignment w:val="auto"/>
        <w:rPr>
          <w:rFonts w:cs="宋体"/>
          <w:color w:val="auto"/>
          <w:highlight w:val="none"/>
        </w:rPr>
      </w:pPr>
      <w:r>
        <w:rPr>
          <w:rFonts w:hint="eastAsia" w:cs="宋体"/>
          <w:color w:val="auto"/>
          <w:highlight w:val="none"/>
          <w:lang w:val="zh-CN"/>
        </w:rPr>
        <w:t>四川乾新招投标代理有限公司</w:t>
      </w:r>
      <w:r>
        <w:rPr>
          <w:rFonts w:hint="eastAsia" w:cs="宋体"/>
          <w:color w:val="auto"/>
          <w:highlight w:val="none"/>
        </w:rPr>
        <w:t>受成都市技师学院的委托，拟对</w:t>
      </w:r>
      <w:r>
        <w:rPr>
          <w:rFonts w:hint="eastAsia" w:cs="宋体"/>
          <w:color w:val="auto"/>
          <w:highlight w:val="none"/>
          <w:lang w:eastAsia="zh-CN"/>
        </w:rPr>
        <w:t>成都市技师学院(成都工贸职业技术学院)医疗卫生服务采购项目(第二次)</w:t>
      </w:r>
      <w:r>
        <w:rPr>
          <w:rFonts w:hint="eastAsia" w:cs="宋体"/>
          <w:color w:val="auto"/>
          <w:highlight w:val="none"/>
        </w:rPr>
        <w:t>采用竞争性磋商方式进行采购，特邀请合格的供应商参加该项目的竞争性磋商。</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项目编号：510101202200105</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项目名称：</w:t>
      </w:r>
      <w:r>
        <w:rPr>
          <w:rFonts w:hint="eastAsia" w:cs="宋体"/>
          <w:color w:val="auto"/>
          <w:highlight w:val="none"/>
          <w:lang w:eastAsia="zh-CN"/>
        </w:rPr>
        <w:t>成都市技师学院(成都工贸职业技术学院)医疗卫生服务采购项目(第二次)</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资金来源：根据成都市财政局下达的《成都市政府采购计划备案</w:t>
      </w:r>
      <w:r>
        <w:rPr>
          <w:rFonts w:hint="eastAsia" w:cs="宋体"/>
          <w:b/>
          <w:bCs/>
          <w:color w:val="auto"/>
          <w:highlight w:val="none"/>
          <w:lang w:eastAsia="zh-CN"/>
        </w:rPr>
        <w:t>(</w:t>
      </w:r>
      <w:r>
        <w:rPr>
          <w:rFonts w:hint="eastAsia" w:cs="宋体"/>
          <w:b/>
          <w:bCs/>
          <w:color w:val="auto"/>
          <w:highlight w:val="none"/>
        </w:rPr>
        <w:t>审核</w:t>
      </w:r>
      <w:r>
        <w:rPr>
          <w:rFonts w:hint="eastAsia" w:cs="宋体"/>
          <w:b/>
          <w:bCs/>
          <w:color w:val="auto"/>
          <w:highlight w:val="none"/>
          <w:lang w:eastAsia="zh-CN"/>
        </w:rPr>
        <w:t>)</w:t>
      </w:r>
      <w:r>
        <w:rPr>
          <w:rFonts w:hint="eastAsia" w:cs="宋体"/>
          <w:b/>
          <w:bCs/>
          <w:color w:val="auto"/>
          <w:highlight w:val="none"/>
        </w:rPr>
        <w:t>表》(</w:t>
      </w:r>
      <w:r>
        <w:rPr>
          <w:rFonts w:hint="eastAsia" w:cs="宋体"/>
          <w:b/>
          <w:bCs/>
          <w:color w:val="auto"/>
          <w:highlight w:val="none"/>
          <w:lang w:val="en-US" w:eastAsia="zh-CN"/>
        </w:rPr>
        <w:t>采购计划文号/</w:t>
      </w:r>
      <w:r>
        <w:rPr>
          <w:rFonts w:hint="eastAsia" w:cs="宋体"/>
          <w:b/>
          <w:bCs/>
          <w:color w:val="auto"/>
          <w:highlight w:val="none"/>
        </w:rPr>
        <w:t>计划备案</w:t>
      </w:r>
      <w:r>
        <w:rPr>
          <w:rFonts w:hint="eastAsia" w:cs="宋体"/>
          <w:b/>
          <w:bCs/>
          <w:color w:val="auto"/>
          <w:highlight w:val="none"/>
          <w:lang w:eastAsia="zh-CN"/>
        </w:rPr>
        <w:t>(</w:t>
      </w:r>
      <w:r>
        <w:rPr>
          <w:rFonts w:hint="eastAsia" w:cs="宋体"/>
          <w:b/>
          <w:bCs/>
          <w:color w:val="auto"/>
          <w:highlight w:val="none"/>
        </w:rPr>
        <w:t>审核</w:t>
      </w:r>
      <w:r>
        <w:rPr>
          <w:rFonts w:hint="eastAsia" w:cs="宋体"/>
          <w:b/>
          <w:bCs/>
          <w:color w:val="auto"/>
          <w:highlight w:val="none"/>
          <w:lang w:eastAsia="zh-CN"/>
        </w:rPr>
        <w:t>)</w:t>
      </w:r>
      <w:r>
        <w:rPr>
          <w:rFonts w:hint="eastAsia" w:cs="宋体"/>
          <w:b/>
          <w:bCs/>
          <w:color w:val="auto"/>
          <w:highlight w:val="none"/>
        </w:rPr>
        <w:t>表单号：51010022210200002826)，该项目预算资金为人民币75万元，采购品目：C1901医疗卫生服务。</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采购项目简介：</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(一)采购内容：</w:t>
      </w:r>
      <w:r>
        <w:rPr>
          <w:rFonts w:hint="eastAsia" w:cs="宋体"/>
          <w:color w:val="auto"/>
          <w:highlight w:val="none"/>
        </w:rPr>
        <w:t>医疗卫生服务，具体详见竞争性磋商文件第六章。</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(二)采购包划分：</w:t>
      </w:r>
      <w:r>
        <w:rPr>
          <w:rFonts w:hint="eastAsia" w:cs="宋体"/>
          <w:color w:val="auto"/>
          <w:highlight w:val="none"/>
        </w:rPr>
        <w:t>本项目共计1个包，设置1名成交供应商。</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(三)采购用途：</w:t>
      </w:r>
      <w:r>
        <w:rPr>
          <w:rFonts w:hint="eastAsia" w:cs="宋体"/>
          <w:color w:val="auto"/>
          <w:highlight w:val="none"/>
        </w:rPr>
        <w:t>用于保障学校医务室常规医疗就诊服务、疾病防控服务、应急服务、医学试验相关服务(PPD结核菌素试验、核酸检测等)和上级管理机构要求临时或新增的的医疗卫生相关服务。</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(四)项目性质：</w:t>
      </w:r>
      <w:r>
        <w:rPr>
          <w:rFonts w:hint="eastAsia" w:cs="宋体"/>
          <w:color w:val="auto"/>
          <w:highlight w:val="none"/>
        </w:rPr>
        <w:t>政府采购。</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(五)组织形式：</w:t>
      </w:r>
      <w:r>
        <w:rPr>
          <w:rFonts w:hint="eastAsia" w:cs="宋体"/>
          <w:color w:val="auto"/>
          <w:highlight w:val="none"/>
        </w:rPr>
        <w:t>分散采购。</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合格供应商应具备的资格条件：</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rPr>
        <w:t>(一)</w:t>
      </w:r>
      <w:r>
        <w:rPr>
          <w:rFonts w:hint="eastAsia" w:cs="宋体"/>
          <w:color w:val="auto"/>
          <w:highlight w:val="none"/>
          <w:lang w:val="zh-CN"/>
        </w:rPr>
        <w:t>符合《中华人民共和国政府采购法》第二十二条规定的条件：</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s="宋体"/>
          <w:color w:val="auto"/>
          <w:highlight w:val="none"/>
        </w:rPr>
        <w:t>民事责任</w:t>
      </w:r>
      <w:r>
        <w:rPr>
          <w:rFonts w:hint="eastAsia" w:cs="宋体"/>
          <w:color w:val="auto"/>
          <w:highlight w:val="none"/>
        </w:rPr>
        <w:fldChar w:fldCharType="end"/>
      </w:r>
      <w:r>
        <w:rPr>
          <w:rFonts w:hint="eastAsia" w:cs="宋体"/>
          <w:color w:val="auto"/>
          <w:highlight w:val="none"/>
        </w:rPr>
        <w:t>的能力；</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2.具有良好的商业信誉和健全的财务会计制度；</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3.具有履行合同所必需的设备和专业技术能力；</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s="宋体"/>
          <w:color w:val="auto"/>
          <w:highlight w:val="none"/>
        </w:rPr>
        <w:t>社会保障</w:t>
      </w:r>
      <w:r>
        <w:rPr>
          <w:rFonts w:hint="eastAsia" w:cs="宋体"/>
          <w:color w:val="auto"/>
          <w:highlight w:val="none"/>
        </w:rPr>
        <w:fldChar w:fldCharType="end"/>
      </w:r>
      <w:r>
        <w:rPr>
          <w:rFonts w:hint="eastAsia" w:cs="宋体"/>
          <w:color w:val="auto"/>
          <w:highlight w:val="none"/>
        </w:rPr>
        <w:t>资金的良好记录；</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5.参加政府采购活动前三年内，在经营活动中没有重大违法记录；</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hint="eastAsia" w:eastAsia="宋体" w:cs="宋体"/>
          <w:color w:val="auto"/>
          <w:highlight w:val="none"/>
          <w:lang w:val="zh-CN" w:eastAsia="zh-CN"/>
        </w:rPr>
      </w:pPr>
      <w:r>
        <w:rPr>
          <w:rFonts w:hint="eastAsia" w:cs="宋体"/>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s="宋体"/>
          <w:color w:val="auto"/>
          <w:highlight w:val="none"/>
        </w:rPr>
        <w:t>行政法</w:t>
      </w:r>
      <w:r>
        <w:rPr>
          <w:rFonts w:hint="eastAsia" w:cs="宋体"/>
          <w:color w:val="auto"/>
          <w:highlight w:val="none"/>
        </w:rPr>
        <w:fldChar w:fldCharType="end"/>
      </w:r>
      <w:r>
        <w:rPr>
          <w:rFonts w:hint="eastAsia" w:cs="宋体"/>
          <w:color w:val="auto"/>
          <w:highlight w:val="none"/>
        </w:rPr>
        <w:t>规规定的其他条件</w:t>
      </w:r>
      <w:r>
        <w:rPr>
          <w:rFonts w:hint="eastAsia" w:cs="宋体"/>
          <w:color w:val="auto"/>
          <w:highlight w:val="none"/>
          <w:lang w:eastAsia="zh-CN"/>
        </w:rPr>
        <w:t>。</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rPr>
        <w:t>(二)</w:t>
      </w:r>
      <w:r>
        <w:rPr>
          <w:rFonts w:hint="eastAsia" w:cs="宋体"/>
          <w:color w:val="auto"/>
          <w:highlight w:val="none"/>
          <w:lang w:val="zh-CN"/>
        </w:rPr>
        <w:t>本项目的特定资格要求：</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rPr>
        <w:t>1.具备国家行政主管部门颁发的有效期内的《医疗机构执业许可证》</w:t>
      </w:r>
      <w:r>
        <w:rPr>
          <w:rFonts w:hint="eastAsia" w:cs="宋体"/>
          <w:color w:val="auto"/>
          <w:highlight w:val="none"/>
          <w:lang w:val="zh-CN"/>
        </w:rPr>
        <w:t>；</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rPr>
        <w:t>2.本项目不接受联合体参加本次采购活动。</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禁止参加本次采购活动的供应商</w:t>
      </w:r>
    </w:p>
    <w:p>
      <w:pPr>
        <w:pStyle w:val="42"/>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bookmarkStart w:id="18" w:name="PO_默认文件内容_4"/>
      <w:r>
        <w:rPr>
          <w:rFonts w:hint="eastAsia" w:cs="宋体"/>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响应文件递交截止日前的信用记录并保存信用记录结果网页截图，拒绝列入失信被执行人名单、重大税收违法案件当事人名单、政府采购严重违法失信行为记录名单中的供应商参加本项目的采购活动。</w:t>
      </w:r>
    </w:p>
    <w:bookmarkEnd w:id="18"/>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磋商文件获取</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(一)磋商文件获取时间：2022年</w:t>
      </w:r>
      <w:r>
        <w:rPr>
          <w:rFonts w:hint="eastAsia" w:cs="宋体"/>
          <w:b/>
          <w:bCs/>
          <w:color w:val="auto"/>
          <w:highlight w:val="none"/>
          <w:lang w:val="en-US" w:eastAsia="zh-CN"/>
        </w:rPr>
        <w:t>04</w:t>
      </w:r>
      <w:r>
        <w:rPr>
          <w:rFonts w:hint="eastAsia" w:cs="宋体"/>
          <w:b/>
          <w:bCs/>
          <w:color w:val="auto"/>
          <w:highlight w:val="none"/>
        </w:rPr>
        <w:t>月</w:t>
      </w:r>
      <w:r>
        <w:rPr>
          <w:rFonts w:hint="eastAsia" w:cs="宋体"/>
          <w:b/>
          <w:bCs/>
          <w:color w:val="auto"/>
          <w:highlight w:val="none"/>
          <w:lang w:val="en-US" w:eastAsia="zh-CN"/>
        </w:rPr>
        <w:t>07</w:t>
      </w:r>
      <w:r>
        <w:rPr>
          <w:rFonts w:hint="eastAsia" w:cs="宋体"/>
          <w:b/>
          <w:bCs/>
          <w:color w:val="auto"/>
          <w:highlight w:val="none"/>
        </w:rPr>
        <w:t>日至2022年</w:t>
      </w:r>
      <w:r>
        <w:rPr>
          <w:rFonts w:hint="eastAsia" w:cs="宋体"/>
          <w:b/>
          <w:bCs/>
          <w:color w:val="auto"/>
          <w:highlight w:val="none"/>
          <w:lang w:val="en-US" w:eastAsia="zh-CN"/>
        </w:rPr>
        <w:t>04</w:t>
      </w:r>
      <w:r>
        <w:rPr>
          <w:rFonts w:hint="eastAsia" w:cs="宋体"/>
          <w:b/>
          <w:bCs/>
          <w:color w:val="auto"/>
          <w:highlight w:val="none"/>
        </w:rPr>
        <w:t>月</w:t>
      </w:r>
      <w:r>
        <w:rPr>
          <w:rFonts w:hint="eastAsia" w:cs="宋体"/>
          <w:b/>
          <w:bCs/>
          <w:color w:val="auto"/>
          <w:highlight w:val="none"/>
          <w:lang w:val="en-US" w:eastAsia="zh-CN"/>
        </w:rPr>
        <w:t>14</w:t>
      </w:r>
      <w:r>
        <w:rPr>
          <w:rFonts w:hint="eastAsia" w:cs="宋体"/>
          <w:b/>
          <w:bCs/>
          <w:color w:val="auto"/>
          <w:highlight w:val="none"/>
        </w:rPr>
        <w:t>日(北京时间，法定节假日除外)。</w:t>
      </w:r>
      <w:bookmarkStart w:id="542" w:name="_GoBack"/>
      <w:bookmarkEnd w:id="542"/>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(二)磋商文件获取方式：供应商从“政府采购云平台”获取采购文件(网址：https：//www.zcygov.cn)。登录“政府采购云平台”—项目采购—获取采购文件—申请获取采购文件。</w:t>
      </w:r>
      <w:r>
        <w:rPr>
          <w:rFonts w:hint="eastAsia" w:cs="宋体"/>
          <w:color w:val="auto"/>
          <w:highlight w:val="none"/>
          <w:lang w:val="zh-CN"/>
        </w:rPr>
        <w:t>“政府采购云平台”供应商注册地址：https://middle.zcygov.cn/v-settle-front/registry?settleCategory=1&amp;entranceType=119&amp;utm=a0017.b1347.cl50.3.c0de9400b91b11eb870ad7da87d69c97。</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提示：</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1.本项目磋商文件免费获取，磋商资格不得转让。</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2.供应商只有在“政府采购云平台”完成获取磋商文件申请并下载磋商文件后才视作依法参与本项目。如未在“政府采购云平台”内完成相关流程，引起的报名无效责任自负。</w:t>
      </w:r>
    </w:p>
    <w:p>
      <w:pPr>
        <w:pStyle w:val="30"/>
        <w:keepNext w:val="0"/>
        <w:keepLines w:val="0"/>
        <w:pageBreakBefore w:val="0"/>
        <w:widowControl w:val="0"/>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3.供应商</w:t>
      </w:r>
      <w:r>
        <w:rPr>
          <w:rFonts w:hint="eastAsia" w:cs="宋体"/>
          <w:b/>
          <w:bCs/>
          <w:color w:val="auto"/>
          <w:highlight w:val="none"/>
          <w:lang w:val="zh-CN"/>
        </w:rPr>
        <w:t>参与本项目全过程中凡涉及系统操作请详见《供应商政府采购项目电子交易操作指南》(操作指南以“政府采购云平台”网站发布为准</w:t>
      </w:r>
      <w:r>
        <w:rPr>
          <w:rFonts w:hint="eastAsia" w:cs="宋体"/>
          <w:b/>
          <w:bCs/>
          <w:color w:val="auto"/>
          <w:highlight w:val="none"/>
        </w:rPr>
        <w:t>。</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竞争性磋商响应文件递交的截止时间：2022年</w:t>
      </w:r>
      <w:r>
        <w:rPr>
          <w:rFonts w:hint="eastAsia" w:cs="宋体"/>
          <w:b/>
          <w:bCs/>
          <w:color w:val="auto"/>
          <w:highlight w:val="none"/>
          <w:lang w:val="en-US" w:eastAsia="zh-CN"/>
        </w:rPr>
        <w:t>04</w:t>
      </w:r>
      <w:r>
        <w:rPr>
          <w:rFonts w:hint="eastAsia" w:cs="宋体"/>
          <w:b/>
          <w:bCs/>
          <w:color w:val="auto"/>
          <w:highlight w:val="none"/>
        </w:rPr>
        <w:t>月</w:t>
      </w:r>
      <w:r>
        <w:rPr>
          <w:rFonts w:hint="eastAsia" w:cs="宋体"/>
          <w:b/>
          <w:bCs/>
          <w:color w:val="auto"/>
          <w:highlight w:val="none"/>
          <w:lang w:val="en-US" w:eastAsia="zh-CN"/>
        </w:rPr>
        <w:t>18</w:t>
      </w:r>
      <w:r>
        <w:rPr>
          <w:rFonts w:hint="eastAsia" w:cs="宋体"/>
          <w:b/>
          <w:bCs/>
          <w:color w:val="auto"/>
          <w:highlight w:val="none"/>
        </w:rPr>
        <w:t>日</w:t>
      </w:r>
      <w:r>
        <w:rPr>
          <w:rFonts w:hint="eastAsia" w:cs="宋体"/>
          <w:b/>
          <w:bCs/>
          <w:color w:val="auto"/>
          <w:highlight w:val="none"/>
          <w:lang w:val="en-US" w:eastAsia="zh-CN"/>
        </w:rPr>
        <w:t>11</w:t>
      </w:r>
      <w:r>
        <w:rPr>
          <w:rFonts w:hint="eastAsia" w:cs="宋体"/>
          <w:b/>
          <w:bCs/>
          <w:color w:val="auto"/>
          <w:highlight w:val="none"/>
        </w:rPr>
        <w:t>时00分(北京时间)</w:t>
      </w:r>
    </w:p>
    <w:p>
      <w:pPr>
        <w:pStyle w:val="34"/>
        <w:keepNext w:val="0"/>
        <w:keepLines w:val="0"/>
        <w:pageBreakBefore w:val="0"/>
        <w:widowControl w:val="0"/>
        <w:kinsoku/>
        <w:overflowPunct/>
        <w:autoSpaceDE/>
        <w:autoSpaceDN/>
        <w:bidi w:val="0"/>
        <w:adjustRightInd w:val="0"/>
        <w:snapToGrid w:val="0"/>
        <w:ind w:firstLine="482"/>
        <w:textAlignment w:val="auto"/>
        <w:rPr>
          <w:rFonts w:cs="宋体"/>
          <w:b/>
          <w:bCs/>
          <w:color w:val="auto"/>
          <w:highlight w:val="none"/>
        </w:rPr>
      </w:pPr>
      <w:r>
        <w:rPr>
          <w:rFonts w:hint="eastAsia" w:cs="宋体"/>
          <w:b/>
          <w:bCs/>
          <w:color w:val="auto"/>
          <w:highlight w:val="none"/>
        </w:rPr>
        <w:t>响应文件递交的起止时间：磋商当日</w:t>
      </w:r>
      <w:r>
        <w:rPr>
          <w:rFonts w:hint="eastAsia" w:cs="宋体"/>
          <w:b/>
          <w:bCs/>
          <w:color w:val="auto"/>
          <w:highlight w:val="none"/>
          <w:lang w:val="en-US" w:eastAsia="zh-CN"/>
        </w:rPr>
        <w:t>10</w:t>
      </w:r>
      <w:r>
        <w:rPr>
          <w:rFonts w:hint="eastAsia" w:cs="宋体"/>
          <w:b/>
          <w:bCs/>
          <w:color w:val="auto"/>
          <w:highlight w:val="none"/>
        </w:rPr>
        <w:t>时30分-</w:t>
      </w:r>
      <w:r>
        <w:rPr>
          <w:rFonts w:hint="eastAsia" w:cs="宋体"/>
          <w:b/>
          <w:bCs/>
          <w:color w:val="auto"/>
          <w:highlight w:val="none"/>
          <w:lang w:val="en-US" w:eastAsia="zh-CN"/>
        </w:rPr>
        <w:t>11</w:t>
      </w:r>
      <w:r>
        <w:rPr>
          <w:rFonts w:hint="eastAsia" w:cs="宋体"/>
          <w:b/>
          <w:bCs/>
          <w:color w:val="auto"/>
          <w:highlight w:val="none"/>
        </w:rPr>
        <w:t>时00分(北京时间)；</w:t>
      </w:r>
    </w:p>
    <w:p>
      <w:pPr>
        <w:pStyle w:val="34"/>
        <w:keepNext w:val="0"/>
        <w:keepLines w:val="0"/>
        <w:pageBreakBefore w:val="0"/>
        <w:widowControl w:val="0"/>
        <w:kinsoku/>
        <w:overflowPunct/>
        <w:autoSpaceDE/>
        <w:autoSpaceDN/>
        <w:bidi w:val="0"/>
        <w:adjustRightInd w:val="0"/>
        <w:snapToGrid w:val="0"/>
        <w:ind w:firstLine="482"/>
        <w:textAlignment w:val="auto"/>
        <w:rPr>
          <w:rFonts w:cs="宋体"/>
          <w:b/>
          <w:bCs/>
          <w:color w:val="auto"/>
          <w:highlight w:val="none"/>
        </w:rPr>
      </w:pPr>
      <w:r>
        <w:rPr>
          <w:rFonts w:hint="eastAsia" w:cs="宋体"/>
          <w:b/>
          <w:bCs/>
          <w:color w:val="auto"/>
          <w:highlight w:val="none"/>
        </w:rPr>
        <w:t>开启时间：磋商小组组建后立即开启；</w:t>
      </w:r>
    </w:p>
    <w:p>
      <w:pPr>
        <w:pStyle w:val="34"/>
        <w:keepNext w:val="0"/>
        <w:keepLines w:val="0"/>
        <w:pageBreakBefore w:val="0"/>
        <w:widowControl w:val="0"/>
        <w:kinsoku/>
        <w:overflowPunct/>
        <w:autoSpaceDE/>
        <w:autoSpaceDN/>
        <w:bidi w:val="0"/>
        <w:adjustRightInd w:val="0"/>
        <w:snapToGrid w:val="0"/>
        <w:ind w:firstLine="482"/>
        <w:textAlignment w:val="auto"/>
        <w:rPr>
          <w:rFonts w:cs="宋体"/>
          <w:color w:val="auto"/>
          <w:highlight w:val="none"/>
        </w:rPr>
      </w:pPr>
      <w:r>
        <w:rPr>
          <w:rFonts w:hint="eastAsia" w:cs="宋体"/>
          <w:b/>
          <w:bCs/>
          <w:color w:val="auto"/>
          <w:highlight w:val="none"/>
        </w:rPr>
        <w:t>响应文件递交的地点：</w:t>
      </w:r>
      <w:r>
        <w:rPr>
          <w:rFonts w:hint="eastAsia" w:cs="宋体"/>
          <w:color w:val="auto"/>
          <w:highlight w:val="none"/>
        </w:rPr>
        <w:t>成都市高新区吉庆三路333号蜀都中心二期一号楼一单元401号本项目会议室；</w:t>
      </w:r>
    </w:p>
    <w:p>
      <w:pPr>
        <w:pStyle w:val="34"/>
        <w:keepNext w:val="0"/>
        <w:keepLines w:val="0"/>
        <w:pageBreakBefore w:val="0"/>
        <w:widowControl w:val="0"/>
        <w:kinsoku/>
        <w:overflowPunct/>
        <w:autoSpaceDE/>
        <w:autoSpaceDN/>
        <w:bidi w:val="0"/>
        <w:adjustRightInd w:val="0"/>
        <w:snapToGrid w:val="0"/>
        <w:textAlignment w:val="auto"/>
        <w:rPr>
          <w:rFonts w:cs="宋体"/>
          <w:color w:val="auto"/>
          <w:highlight w:val="none"/>
        </w:rPr>
      </w:pPr>
      <w:r>
        <w:rPr>
          <w:rFonts w:hint="eastAsia" w:cs="宋体"/>
          <w:color w:val="auto"/>
          <w:highlight w:val="none"/>
        </w:rPr>
        <w:t>供应商应当在磋商文件要求的截止时间前，将响应文件密封送达指定地点。在截止时间后送达的响应文件为无效文件，将被采购代理机构拒收。</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磋商时间：2022年</w:t>
      </w:r>
      <w:r>
        <w:rPr>
          <w:rFonts w:hint="eastAsia" w:cs="宋体"/>
          <w:b/>
          <w:bCs/>
          <w:color w:val="auto"/>
          <w:highlight w:val="none"/>
          <w:lang w:val="en-US" w:eastAsia="zh-CN"/>
        </w:rPr>
        <w:t>04</w:t>
      </w:r>
      <w:r>
        <w:rPr>
          <w:rFonts w:hint="eastAsia" w:cs="宋体"/>
          <w:b/>
          <w:bCs/>
          <w:color w:val="auto"/>
          <w:highlight w:val="none"/>
        </w:rPr>
        <w:t>月</w:t>
      </w:r>
      <w:r>
        <w:rPr>
          <w:rFonts w:hint="eastAsia" w:cs="宋体"/>
          <w:b/>
          <w:bCs/>
          <w:color w:val="auto"/>
          <w:highlight w:val="none"/>
          <w:lang w:val="en-US" w:eastAsia="zh-CN"/>
        </w:rPr>
        <w:t>18</w:t>
      </w:r>
      <w:r>
        <w:rPr>
          <w:rFonts w:hint="eastAsia" w:cs="宋体"/>
          <w:b/>
          <w:bCs/>
          <w:color w:val="auto"/>
          <w:highlight w:val="none"/>
        </w:rPr>
        <w:t>日</w:t>
      </w:r>
      <w:r>
        <w:rPr>
          <w:rFonts w:hint="eastAsia" w:cs="宋体"/>
          <w:b/>
          <w:bCs/>
          <w:color w:val="auto"/>
          <w:highlight w:val="none"/>
          <w:lang w:val="en-US" w:eastAsia="zh-CN"/>
        </w:rPr>
        <w:t>11</w:t>
      </w:r>
      <w:r>
        <w:rPr>
          <w:rFonts w:hint="eastAsia" w:cs="宋体"/>
          <w:b/>
          <w:bCs/>
          <w:color w:val="auto"/>
          <w:highlight w:val="none"/>
        </w:rPr>
        <w:t>时00分(北京时间)。</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磋商地点：</w:t>
      </w:r>
      <w:r>
        <w:rPr>
          <w:rFonts w:hint="eastAsia" w:cs="宋体"/>
          <w:color w:val="auto"/>
          <w:highlight w:val="none"/>
        </w:rPr>
        <w:t>成都市高新区吉庆三路333号蜀都中心二期一号楼一单元401号本项目会议室。</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color w:val="auto"/>
          <w:highlight w:val="none"/>
        </w:rPr>
      </w:pPr>
      <w:r>
        <w:rPr>
          <w:rFonts w:hint="eastAsia" w:cs="宋体"/>
          <w:b/>
          <w:bCs/>
          <w:color w:val="auto"/>
          <w:highlight w:val="none"/>
        </w:rPr>
        <w:t>采购信息发布媒体：</w:t>
      </w:r>
      <w:r>
        <w:rPr>
          <w:rFonts w:hint="eastAsia" w:cs="宋体"/>
          <w:color w:val="auto"/>
          <w:highlight w:val="none"/>
        </w:rPr>
        <w:t>“四川政府采购网”。</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供应商信用融资：</w:t>
      </w:r>
    </w:p>
    <w:p>
      <w:pPr>
        <w:pStyle w:val="34"/>
        <w:keepNext w:val="0"/>
        <w:keepLines w:val="0"/>
        <w:pageBreakBefore w:val="0"/>
        <w:widowControl w:val="0"/>
        <w:kinsoku/>
        <w:overflowPunct/>
        <w:autoSpaceDE/>
        <w:autoSpaceDN/>
        <w:bidi w:val="0"/>
        <w:adjustRightInd w:val="0"/>
        <w:snapToGrid w:val="0"/>
        <w:jc w:val="both"/>
        <w:textAlignment w:val="auto"/>
        <w:rPr>
          <w:rFonts w:cs="宋体"/>
          <w:color w:val="auto"/>
          <w:highlight w:val="none"/>
        </w:rPr>
      </w:pPr>
      <w:r>
        <w:rPr>
          <w:rFonts w:hint="eastAsia" w:cs="宋体"/>
          <w:color w:val="auto"/>
          <w:highlight w:val="none"/>
        </w:rPr>
        <w:t>根据《四川省财政厅关于推进四川省政府采购供应商信用融资工作的通知》(川财采〔2018〕123号)、《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成交通知书向银行提出贷款意向申请，并按照相关规定要求和贷款流程申请信用融资贷款及执行相关采购政策。</w:t>
      </w:r>
    </w:p>
    <w:p>
      <w:pPr>
        <w:pStyle w:val="30"/>
        <w:keepNext w:val="0"/>
        <w:keepLines w:val="0"/>
        <w:pageBreakBefore w:val="0"/>
        <w:widowControl w:val="0"/>
        <w:numPr>
          <w:ilvl w:val="0"/>
          <w:numId w:val="7"/>
        </w:numPr>
        <w:kinsoku/>
        <w:overflowPunct/>
        <w:autoSpaceDE/>
        <w:autoSpaceDN/>
        <w:bidi w:val="0"/>
        <w:adjustRightInd w:val="0"/>
        <w:snapToGrid w:val="0"/>
        <w:ind w:firstLine="482" w:firstLineChars="200"/>
        <w:textAlignment w:val="auto"/>
        <w:rPr>
          <w:rFonts w:cs="宋体"/>
          <w:b/>
          <w:bCs/>
          <w:color w:val="auto"/>
          <w:highlight w:val="none"/>
        </w:rPr>
      </w:pPr>
      <w:r>
        <w:rPr>
          <w:rFonts w:hint="eastAsia" w:cs="宋体"/>
          <w:b/>
          <w:bCs/>
          <w:color w:val="auto"/>
          <w:highlight w:val="none"/>
        </w:rPr>
        <w:t>凡对本次采购提出询问，请按以下方式联系：</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(一)采购人信息</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名    称：成都市技师学院</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地    址：成都市郫都区红光街道港通北三路1899号</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 xml:space="preserve">联 系 人：何倩  </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 xml:space="preserve">联系方式：028-64907283 </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(二)采购代理机构信息</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名    称：四川乾新招投标代理有限公司</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地    址：</w:t>
      </w:r>
      <w:r>
        <w:rPr>
          <w:rFonts w:hint="eastAsia" w:cs="宋体"/>
          <w:color w:val="auto"/>
          <w:highlight w:val="none"/>
          <w:lang w:val="zh-CN"/>
        </w:rPr>
        <w:t>成都市高新区吉庆三路333号蜀都中心二期一号楼一单元401号</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rPr>
        <w:t xml:space="preserve">联 系 人：王朝钢 </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rPr>
      </w:pPr>
      <w:r>
        <w:rPr>
          <w:rFonts w:hint="eastAsia" w:cs="宋体"/>
          <w:color w:val="auto"/>
          <w:highlight w:val="none"/>
          <w:lang w:val="zh-CN"/>
        </w:rPr>
        <w:t>联系电话：028-84638556、84882960转</w:t>
      </w:r>
      <w:r>
        <w:rPr>
          <w:rFonts w:hint="eastAsia" w:cs="宋体"/>
          <w:color w:val="auto"/>
          <w:highlight w:val="none"/>
        </w:rPr>
        <w:t>663</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lang w:val="zh-CN"/>
        </w:rPr>
        <w:t>传    真：</w:t>
      </w:r>
      <w:r>
        <w:rPr>
          <w:rFonts w:hint="eastAsia" w:cs="宋体"/>
          <w:color w:val="auto"/>
          <w:highlight w:val="none"/>
        </w:rPr>
        <w:t>028-</w:t>
      </w:r>
      <w:r>
        <w:rPr>
          <w:rFonts w:hint="eastAsia" w:cs="宋体"/>
          <w:color w:val="auto"/>
          <w:highlight w:val="none"/>
          <w:lang w:val="zh-CN"/>
        </w:rPr>
        <w:t>83381</w:t>
      </w:r>
      <w:r>
        <w:rPr>
          <w:rFonts w:hint="eastAsia" w:cs="宋体"/>
          <w:color w:val="auto"/>
          <w:highlight w:val="none"/>
        </w:rPr>
        <w:t>268</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cs="宋体"/>
          <w:color w:val="auto"/>
          <w:highlight w:val="none"/>
          <w:lang w:val="zh-CN"/>
        </w:rPr>
      </w:pPr>
      <w:r>
        <w:rPr>
          <w:rFonts w:hint="eastAsia" w:cs="宋体"/>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s="宋体"/>
          <w:color w:val="auto"/>
          <w:highlight w:val="none"/>
          <w:lang w:val="zh-CN"/>
        </w:rPr>
        <w:t>scqxzb@163.com</w:t>
      </w:r>
      <w:r>
        <w:rPr>
          <w:rFonts w:hint="eastAsia" w:cs="宋体"/>
          <w:color w:val="auto"/>
          <w:highlight w:val="none"/>
          <w:lang w:val="zh-CN"/>
        </w:rPr>
        <w:fldChar w:fldCharType="end"/>
      </w:r>
    </w:p>
    <w:p>
      <w:pPr>
        <w:pStyle w:val="29"/>
        <w:spacing w:before="120" w:after="120"/>
        <w:rPr>
          <w:color w:val="auto"/>
          <w:highlight w:val="none"/>
        </w:rPr>
      </w:pPr>
      <w:r>
        <w:rPr>
          <w:rFonts w:hint="eastAsia"/>
          <w:color w:val="auto"/>
          <w:highlight w:val="none"/>
        </w:rPr>
        <w:br w:type="page"/>
      </w:r>
      <w:bookmarkEnd w:id="13"/>
      <w:bookmarkEnd w:id="14"/>
      <w:bookmarkEnd w:id="15"/>
      <w:bookmarkEnd w:id="16"/>
      <w:bookmarkEnd w:id="17"/>
      <w:bookmarkStart w:id="19" w:name="_Toc13724"/>
      <w:bookmarkStart w:id="20" w:name="_Toc8252"/>
      <w:r>
        <w:rPr>
          <w:rFonts w:hint="eastAsia" w:asciiTheme="minorEastAsia" w:hAnsiTheme="minorEastAsia" w:eastAsiaTheme="minorEastAsia" w:cstheme="minorEastAsia"/>
          <w:color w:val="auto"/>
          <w:szCs w:val="36"/>
          <w:highlight w:val="none"/>
        </w:rPr>
        <w:t>磋商须知</w:t>
      </w:r>
      <w:bookmarkEnd w:id="19"/>
      <w:bookmarkEnd w:id="20"/>
    </w:p>
    <w:p>
      <w:pPr>
        <w:pStyle w:val="31"/>
        <w:spacing w:before="120" w:beforeLines="50" w:after="120" w:afterLines="50"/>
        <w:ind w:firstLine="0" w:firstLineChars="0"/>
        <w:jc w:val="center"/>
        <w:rPr>
          <w:color w:val="auto"/>
          <w:sz w:val="36"/>
          <w:szCs w:val="36"/>
          <w:highlight w:val="none"/>
        </w:rPr>
      </w:pPr>
      <w:bookmarkStart w:id="21" w:name="_Toc25459"/>
      <w:bookmarkStart w:id="22" w:name="_Toc14542"/>
      <w:r>
        <w:rPr>
          <w:rFonts w:hint="eastAsia"/>
          <w:color w:val="auto"/>
          <w:sz w:val="36"/>
          <w:szCs w:val="36"/>
          <w:highlight w:val="none"/>
        </w:rPr>
        <w:t>磋商须知前附表</w:t>
      </w:r>
      <w:bookmarkEnd w:id="21"/>
      <w:bookmarkEnd w:id="22"/>
    </w:p>
    <w:tbl>
      <w:tblPr>
        <w:tblStyle w:val="24"/>
        <w:tblW w:w="970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22"/>
        <w:gridCol w:w="2020"/>
        <w:gridCol w:w="70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tblHeader/>
          <w:jc w:val="center"/>
        </w:trPr>
        <w:tc>
          <w:tcPr>
            <w:tcW w:w="622"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b/>
                <w:bCs/>
                <w:color w:val="auto"/>
                <w:sz w:val="21"/>
                <w:szCs w:val="21"/>
                <w:highlight w:val="none"/>
                <w:lang w:val="zh-CN"/>
              </w:rPr>
            </w:pPr>
            <w:bookmarkStart w:id="23" w:name="_Toc327196262"/>
            <w:r>
              <w:rPr>
                <w:rFonts w:hint="eastAsia" w:ascii="宋体" w:hAnsi="宋体" w:eastAsia="宋体" w:cs="宋体"/>
                <w:b/>
                <w:bCs/>
                <w:color w:val="auto"/>
                <w:sz w:val="21"/>
                <w:szCs w:val="21"/>
                <w:highlight w:val="none"/>
                <w:lang w:val="zh-CN"/>
              </w:rPr>
              <w:t>序号</w:t>
            </w: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须知事项</w:t>
            </w:r>
          </w:p>
        </w:tc>
        <w:tc>
          <w:tcPr>
            <w:tcW w:w="7061"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采购预算、报价要求</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预算为人民币</w:t>
            </w:r>
            <w:r>
              <w:rPr>
                <w:rFonts w:hint="eastAsia" w:ascii="宋体" w:hAnsi="宋体" w:eastAsia="宋体" w:cs="宋体"/>
                <w:color w:val="auto"/>
                <w:sz w:val="21"/>
                <w:szCs w:val="21"/>
                <w:highlight w:val="none"/>
              </w:rPr>
              <w:t>75万</w:t>
            </w:r>
            <w:r>
              <w:rPr>
                <w:rFonts w:hint="eastAsia" w:ascii="宋体" w:hAnsi="宋体" w:eastAsia="宋体" w:cs="宋体"/>
                <w:color w:val="auto"/>
                <w:sz w:val="21"/>
                <w:szCs w:val="21"/>
                <w:highlight w:val="none"/>
                <w:lang w:val="zh-CN"/>
              </w:rPr>
              <w:t>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磋商报价(含最后报价)</w:t>
            </w:r>
            <w:r>
              <w:rPr>
                <w:rFonts w:hint="eastAsia" w:ascii="宋体" w:hAnsi="宋体" w:eastAsia="宋体" w:cs="宋体"/>
                <w:color w:val="auto"/>
                <w:sz w:val="21"/>
                <w:szCs w:val="21"/>
                <w:highlight w:val="none"/>
                <w:lang w:val="zh-CN"/>
              </w:rPr>
              <w:t>不</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zh-CN"/>
              </w:rPr>
              <w:t>超过</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预算，</w:t>
            </w:r>
            <w:r>
              <w:rPr>
                <w:rFonts w:hint="eastAsia" w:ascii="宋体" w:hAnsi="宋体" w:eastAsia="宋体" w:cs="宋体"/>
                <w:color w:val="auto"/>
                <w:sz w:val="21"/>
                <w:szCs w:val="21"/>
                <w:highlight w:val="none"/>
              </w:rPr>
              <w:t>否则将被视为无效报价。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项目属性</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本项目属于服务类采购项目，不对其中涉及的货物的制造商是否享受中小企业扶持政策作出要求。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本项目所属行业</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本项目所属行业为其他未列明行业。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定向采购</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本项目为非专门</w:t>
            </w:r>
            <w:r>
              <w:rPr>
                <w:rFonts w:hint="eastAsia" w:ascii="宋体" w:hAnsi="宋体" w:eastAsia="宋体" w:cs="宋体"/>
                <w:color w:val="auto"/>
                <w:sz w:val="21"/>
                <w:szCs w:val="21"/>
                <w:highlight w:val="none"/>
                <w:lang w:val="zh-CN"/>
              </w:rPr>
              <w:t>面向中小企业</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的项目。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本国</w:t>
            </w:r>
            <w:r>
              <w:rPr>
                <w:rFonts w:hint="eastAsia" w:ascii="宋体" w:hAnsi="宋体" w:eastAsia="宋体" w:cs="宋体"/>
                <w:color w:val="auto"/>
                <w:sz w:val="21"/>
                <w:szCs w:val="21"/>
                <w:highlight w:val="none"/>
              </w:rPr>
              <w:t>服务</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061"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根据《中华人民共和国政府采购法》第十条的规定，本项目采购本国</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采购方式</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评标方法</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综合评分法。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topLinePunct w:val="0"/>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竞争范围</w:t>
            </w:r>
          </w:p>
        </w:tc>
        <w:tc>
          <w:tcPr>
            <w:tcW w:w="7061" w:type="dxa"/>
            <w:vAlign w:val="center"/>
          </w:tcPr>
          <w:p>
            <w:pPr>
              <w:pStyle w:val="49"/>
              <w:keepNext w:val="0"/>
              <w:keepLines w:val="0"/>
              <w:pageBreakBefore w:val="0"/>
              <w:widowControl w:val="0"/>
              <w:kinsoku/>
              <w:wordWrap w:val="0"/>
              <w:overflowPunct/>
              <w:topLinePunct w:val="0"/>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公开竞争。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合同定价方式</w:t>
            </w:r>
          </w:p>
          <w:p>
            <w:pPr>
              <w:pStyle w:val="51"/>
              <w:keepNext w:val="0"/>
              <w:keepLines w:val="0"/>
              <w:pageBreakBefore w:val="0"/>
              <w:widowControl w:val="0"/>
              <w:kinsoku/>
              <w:wordWrap w:val="0"/>
              <w:overflowPunct/>
              <w:topLinePunct w:val="0"/>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topLinePunct w:val="0"/>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固定总价。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合同分包</w:t>
            </w:r>
            <w:r>
              <w:rPr>
                <w:rFonts w:hint="eastAsia" w:ascii="宋体" w:hAnsi="宋体" w:eastAsia="宋体" w:cs="宋体"/>
                <w:color w:val="auto"/>
                <w:sz w:val="21"/>
                <w:szCs w:val="21"/>
                <w:highlight w:val="none"/>
              </w:rPr>
              <w:t>、转包</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numPr>
                <w:ilvl w:val="0"/>
                <w:numId w:val="9"/>
              </w:numPr>
              <w:tabs>
                <w:tab w:val="clear" w:pos="312"/>
              </w:tabs>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本项目不允许供应商以合同分包形式进行磋商。</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2.本项目禁止成交人将任何政府采购合同义务转包。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联合体磋商</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本项目不接受联合体参加本次采购活动。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履约验收</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详见磋商文件第</w:t>
            </w:r>
            <w:r>
              <w:rPr>
                <w:rFonts w:hint="eastAsia" w:cs="宋体"/>
                <w:color w:val="auto"/>
                <w:sz w:val="21"/>
                <w:szCs w:val="21"/>
                <w:highlight w:val="none"/>
                <w:lang w:val="en-US" w:eastAsia="zh-CN"/>
              </w:rPr>
              <w:t>八</w:t>
            </w:r>
            <w:r>
              <w:rPr>
                <w:rFonts w:hint="eastAsia" w:ascii="宋体" w:hAnsi="宋体" w:eastAsia="宋体" w:cs="宋体"/>
                <w:color w:val="auto"/>
                <w:sz w:val="21"/>
                <w:szCs w:val="21"/>
                <w:highlight w:val="none"/>
              </w:rPr>
              <w:t>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现场考察、标前</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答疑会</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采购代理机构可以视采购项目的具体情况，组织供应商进行现场考察或磋商前答疑会，但不得单独或分别组织只有一个供应商参加的现场考察和答疑会。若组织答疑会和现场考察以采购代理机构通知为准。</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2.供应商考察现场所发生的一切费用由供应商自行承担。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保证金</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本项目不收取磋商保证金。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低于成本价不正当竞争预防措施</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评审过程中，评审委员会认为供应商的报价明显低于其他有效供应商的报价，有可能影响产品质量或者不能诚信履约的，应当要求其在评审现场合理的时间内提供书面说明，必要时提交相关证明材料；供应商不能证明其报价合理性的，评审委员会应当将其作为无效处理。供应商书面说明应当按照国家财务会计制度的规定要求，逐项就供应商提供的货物、工程和服务的主营业务成本(应根据供应商企业类型予以区别)、税金及附加、销售费用、管理费用、财务费用等成本构成事项详细陈述[若响应文件未附财务报告的，则还需提供完整的财务状况报告(含三表一附注)]。</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提供书面说明后，评审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审委员会应当将其作无效响应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小微企业、监狱企业、残疾人福利性单位价格扣除以及扶持少数民族地区政策执行</w:t>
            </w:r>
          </w:p>
        </w:tc>
        <w:tc>
          <w:tcPr>
            <w:tcW w:w="7061" w:type="dxa"/>
            <w:vAlign w:val="center"/>
          </w:tcPr>
          <w:p>
            <w:pPr>
              <w:pStyle w:val="49"/>
              <w:keepNext w:val="0"/>
              <w:keepLines w:val="0"/>
              <w:pageBreakBefore w:val="0"/>
              <w:widowControl w:val="0"/>
              <w:numPr>
                <w:ilvl w:val="0"/>
                <w:numId w:val="10"/>
              </w:numPr>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政府采购促进中小企业发展政策</w:t>
            </w:r>
          </w:p>
          <w:p>
            <w:pPr>
              <w:pStyle w:val="49"/>
              <w:keepNext w:val="0"/>
              <w:keepLines w:val="0"/>
              <w:pageBreakBefore w:val="0"/>
              <w:widowControl w:val="0"/>
              <w:numPr>
                <w:ilvl w:val="0"/>
                <w:numId w:val="11"/>
              </w:numPr>
              <w:tabs>
                <w:tab w:val="clear" w:pos="312"/>
              </w:tabs>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定义：</w:t>
            </w:r>
            <w:r>
              <w:rPr>
                <w:rFonts w:hint="eastAsia" w:ascii="宋体" w:hAnsi="宋体" w:eastAsia="宋体" w:cs="宋体"/>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适用情形：</w:t>
            </w:r>
            <w:r>
              <w:rPr>
                <w:rFonts w:hint="eastAsia" w:ascii="宋体" w:hAnsi="宋体" w:eastAsia="宋体" w:cs="宋体"/>
                <w:color w:val="auto"/>
                <w:sz w:val="21"/>
                <w:szCs w:val="21"/>
                <w:highlight w:val="none"/>
              </w:rPr>
              <w:t>在服务采购项目中，服务由中小企业承接，即提供服务的人员为中小企业依照《中华人民共和国劳动合同法》 订立劳动合同的从业人员。</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注：关于中小微型企业划分标准详见附件。</w:t>
            </w:r>
          </w:p>
          <w:p>
            <w:pPr>
              <w:pStyle w:val="49"/>
              <w:keepNext w:val="0"/>
              <w:keepLines w:val="0"/>
              <w:pageBreakBefore w:val="0"/>
              <w:widowControl w:val="0"/>
              <w:numPr>
                <w:ilvl w:val="0"/>
                <w:numId w:val="11"/>
              </w:numPr>
              <w:tabs>
                <w:tab w:val="clear" w:pos="312"/>
              </w:tabs>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执行方式：</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根据关于印发《政府采购促进中小企业发展管理办法》的通知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财库〔2020〕46号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、四川省人民政府关于印发进一步规范政府采购监管和执行若干规定的通知川府发〔2018〕14号的规定，对小型和微型企业的价格给予10%的价格扣除，用扣除后的价格参与评审(适用于</w:t>
            </w:r>
            <w:r>
              <w:rPr>
                <w:rFonts w:hint="eastAsia" w:ascii="宋体" w:hAnsi="宋体" w:eastAsia="宋体" w:cs="宋体"/>
                <w:color w:val="auto"/>
                <w:spacing w:val="8"/>
                <w:sz w:val="21"/>
                <w:szCs w:val="21"/>
                <w:highlight w:val="none"/>
              </w:rPr>
              <w:t>经主管预算单位统筹后未预留份额专门</w:t>
            </w:r>
            <w:r>
              <w:rPr>
                <w:rFonts w:hint="eastAsia" w:ascii="宋体" w:hAnsi="宋体" w:eastAsia="宋体" w:cs="宋体"/>
                <w:color w:val="auto"/>
                <w:sz w:val="21"/>
                <w:szCs w:val="21"/>
                <w:highlight w:val="none"/>
              </w:rPr>
              <w:t>面向中小企业采购的采购项目，以及</w:t>
            </w:r>
            <w:r>
              <w:rPr>
                <w:rFonts w:hint="eastAsia" w:ascii="宋体" w:hAnsi="宋体" w:eastAsia="宋体" w:cs="宋体"/>
                <w:color w:val="auto"/>
                <w:spacing w:val="-8"/>
                <w:sz w:val="21"/>
                <w:szCs w:val="21"/>
                <w:highlight w:val="none"/>
              </w:rPr>
              <w:t>预留份额项目中的非预留部分采购包)。</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2</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中小企业参加政府采购活动，应当出具《中小企业声明函》</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格式详见采购文件</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，否则不得享受相关中小企业扶持政策。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3</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供应商应当对其出具的《中小企业声明函》真实性负责，供应商出具的《中小企业声明函》内容不实的，属于提供虚假材料谋取中标。在实际操作中，供应商希望获得《办法》规定政策支持的，应从制造商处获得充分、准确的信息。对相关制造商信息了解不充分，或者不能确定相关信息真实、准确的，不建议出具《中小企业声明函》。</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二、监狱企业价格扣除</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2.本项目对监狱企业参与磋商的价格给予10%的扣除，用扣除后的价格参与评审。</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3.监狱企业参加政府采购活动时，应当提供由省级以上监狱管理局、戒毒管理局(含新疆生产建设兵团)出具的属于监狱企业的证明文件。</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4.监狱企业属于小型、微型企业的，不重复享受政策。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三、残疾人福利性单位价格扣除</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2.本项目对残疾人福利性单位参与磋商的价格给予10%的扣除，用扣除后的价格参与评审。</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3.残疾人福利性单位参加政府采购活动时，应当提供本通知规定的《残疾人福利性单位声明函》。</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4.供应商提供的《残疾人福利性单位声明函》与事实不符的，依照《政府采购法》第七十七条第一款的规定追究法律责任。</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5.残疾人福利性单位属于小型、微型企业的，不重复享受政策。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四、扶持少数民族地区政策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本项目经综合评审后排名相同的情况下，优先选择供应商注册地在少数民族地区的成交候选供应商。</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注：指供应商注册地在民族自治区、自治州、自治县(含享受少数民族待遇的区县)、民族乡的供应商，以供应商营业执照注册地址为准。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节能产品、环境标志产品、无线局域网产品、商品包装、快递包装采购政策</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本项目不涉及节能产品、环境标志产品、无线局域网产品、商品包装、快递包装，故不在采购文件中体现相关政策。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其他强制性规定</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(如涉及时作为实质性要求)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国家或行业主管部门对采购产品的技术标准、质量标准和资格资质条件等有强制性规定的，必须符合其要求。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保障供应商知情权及</w:t>
            </w: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rPr>
              <w:t>审</w:t>
            </w:r>
            <w:r>
              <w:rPr>
                <w:rFonts w:hint="eastAsia" w:ascii="宋体" w:hAnsi="宋体" w:eastAsia="宋体" w:cs="宋体"/>
                <w:color w:val="auto"/>
                <w:sz w:val="21"/>
                <w:szCs w:val="21"/>
                <w:highlight w:val="none"/>
                <w:lang w:val="zh-CN"/>
              </w:rPr>
              <w:t>情况的公告</w:t>
            </w:r>
          </w:p>
        </w:tc>
        <w:tc>
          <w:tcPr>
            <w:tcW w:w="7061" w:type="dxa"/>
            <w:vAlign w:val="center"/>
          </w:tcPr>
          <w:p>
            <w:pPr>
              <w:pStyle w:val="49"/>
              <w:keepNext w:val="0"/>
              <w:keepLines w:val="0"/>
              <w:pageBreakBefore w:val="0"/>
              <w:widowControl w:val="0"/>
              <w:numPr>
                <w:ilvl w:val="0"/>
                <w:numId w:val="12"/>
              </w:numPr>
              <w:tabs>
                <w:tab w:val="clear" w:pos="312"/>
              </w:tabs>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保障供应商知情权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在政府采购活动中，对于供应商未通过资格预审或者资格审查的、对供应商的响应文件按无效响应处理的，将在磋商现场以书面告知供应商原因。采用综合评分法评审的，还应当书面告知未成交供应商的评审得分与排序。书面告知将通过邮件方式发送至各供应商的报名邮箱，请注意查收。</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rPr>
              <w:t>审</w:t>
            </w:r>
            <w:r>
              <w:rPr>
                <w:rFonts w:hint="eastAsia" w:ascii="宋体" w:hAnsi="宋体" w:eastAsia="宋体" w:cs="宋体"/>
                <w:color w:val="auto"/>
                <w:sz w:val="21"/>
                <w:szCs w:val="21"/>
                <w:highlight w:val="none"/>
                <w:lang w:val="zh-CN"/>
              </w:rPr>
              <w:t>情况的公告</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2.1所有递交了响应文件的供应商资格性审查情况、总得分和分项汇总得分情况、中小企业声明函</w:t>
            </w:r>
            <w:r>
              <w:rPr>
                <w:rFonts w:hint="eastAsia" w:cs="宋体"/>
                <w:color w:val="auto"/>
                <w:sz w:val="21"/>
                <w:szCs w:val="21"/>
                <w:highlight w:val="none"/>
                <w:lang w:val="en-US" w:eastAsia="zh-CN"/>
              </w:rPr>
              <w:t>(如涉及)</w:t>
            </w:r>
            <w:r>
              <w:rPr>
                <w:rFonts w:hint="eastAsia" w:ascii="宋体" w:hAnsi="宋体" w:eastAsia="宋体" w:cs="宋体"/>
                <w:color w:val="auto"/>
                <w:sz w:val="21"/>
                <w:szCs w:val="21"/>
                <w:highlight w:val="none"/>
              </w:rPr>
              <w:t>、评审结果等将在“四川政府采购网”采购结果公告栏中予以公告。</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val="zh-CN"/>
              </w:rPr>
              <w:t>根据《中华人民共和国政府采购法实施条例》第四十三条的规定，公告内容应当包括主要成交标的的名称、规格型号、数量、单价、服务要求以及评审专家名单。</w:t>
            </w:r>
            <w:r>
              <w:rPr>
                <w:rFonts w:hint="eastAsia" w:ascii="宋体" w:hAnsi="宋体" w:eastAsia="宋体" w:cs="宋体"/>
                <w:b/>
                <w:bCs/>
                <w:color w:val="auto"/>
                <w:sz w:val="21"/>
                <w:szCs w:val="21"/>
                <w:highlight w:val="none"/>
              </w:rPr>
              <w:t>供应商须</w:t>
            </w:r>
            <w:r>
              <w:rPr>
                <w:rFonts w:hint="eastAsia" w:ascii="宋体" w:hAnsi="宋体" w:eastAsia="宋体" w:cs="宋体"/>
                <w:b/>
                <w:bCs/>
                <w:color w:val="auto"/>
                <w:sz w:val="21"/>
                <w:szCs w:val="21"/>
                <w:highlight w:val="none"/>
                <w:lang w:val="zh-CN"/>
              </w:rPr>
              <w:t>将</w:t>
            </w:r>
            <w:r>
              <w:rPr>
                <w:rFonts w:hint="eastAsia" w:ascii="宋体" w:hAnsi="宋体" w:eastAsia="宋体" w:cs="宋体"/>
                <w:b/>
                <w:bCs/>
                <w:color w:val="auto"/>
                <w:sz w:val="21"/>
                <w:szCs w:val="21"/>
                <w:highlight w:val="none"/>
              </w:rPr>
              <w:t>响应</w:t>
            </w:r>
            <w:r>
              <w:rPr>
                <w:rFonts w:hint="eastAsia" w:ascii="宋体" w:hAnsi="宋体" w:eastAsia="宋体" w:cs="宋体"/>
                <w:b/>
                <w:bCs/>
                <w:color w:val="auto"/>
                <w:sz w:val="21"/>
                <w:szCs w:val="21"/>
                <w:highlight w:val="none"/>
                <w:lang w:val="zh-CN"/>
              </w:rPr>
              <w:t>文件中涉及商业秘密和知识产权的内容进行标注和说明，若未进行标注和说明的，视为全部内容均可公布，采购人或者采购代理机构对此不承担任何责任。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成交通知书领取</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采购代理机构在</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val="zh-CN"/>
              </w:rPr>
              <w:t>供应商确定后2个工作日内，在“四川政府采购网”发布成交公告，</w:t>
            </w:r>
            <w:r>
              <w:rPr>
                <w:rFonts w:hint="eastAsia" w:ascii="宋体" w:hAnsi="宋体" w:eastAsia="宋体" w:cs="宋体"/>
                <w:color w:val="auto"/>
                <w:sz w:val="21"/>
                <w:szCs w:val="21"/>
                <w:highlight w:val="none"/>
              </w:rPr>
              <w:t>同时采购代理机构将成交通知书快递至成交供应商</w:t>
            </w:r>
            <w:r>
              <w:rPr>
                <w:rFonts w:hint="eastAsia" w:ascii="宋体" w:hAnsi="宋体" w:eastAsia="宋体" w:cs="宋体"/>
                <w:color w:val="auto"/>
                <w:sz w:val="21"/>
                <w:szCs w:val="21"/>
                <w:highlight w:val="none"/>
                <w:lang w:val="zh-CN"/>
              </w:rPr>
              <w:t>。</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联系人：张婵媛</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联系电话：</w:t>
            </w:r>
            <w:r>
              <w:rPr>
                <w:rFonts w:hint="eastAsia" w:ascii="宋体" w:hAnsi="宋体" w:eastAsia="宋体" w:cs="宋体"/>
                <w:color w:val="auto"/>
                <w:sz w:val="21"/>
                <w:szCs w:val="21"/>
                <w:highlight w:val="none"/>
              </w:rPr>
              <w:t>028-61375575、62600820、62630990转601或602</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地址：成都市高新区吉庆三路333号蜀都中心二期一号楼一单元401</w:t>
            </w:r>
            <w:r>
              <w:rPr>
                <w:rFonts w:hint="eastAsia" w:ascii="宋体" w:hAnsi="宋体" w:eastAsia="宋体" w:cs="宋体"/>
                <w:color w:val="auto"/>
                <w:sz w:val="21"/>
                <w:szCs w:val="21"/>
                <w:highlight w:val="none"/>
              </w:rPr>
              <w:t>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90"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招标代理</w:t>
            </w:r>
            <w:r>
              <w:rPr>
                <w:rFonts w:hint="eastAsia" w:ascii="宋体" w:hAnsi="宋体" w:eastAsia="宋体" w:cs="宋体"/>
                <w:color w:val="auto"/>
                <w:sz w:val="21"/>
                <w:szCs w:val="21"/>
                <w:highlight w:val="none"/>
                <w:lang w:val="zh-CN"/>
              </w:rPr>
              <w:t>服务费</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1.招标代理服务费以成本加合理利润为原则，以实际成交金额为计费基数，按照下列收费标准计算出收费基准价格后下浮20%收取。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.代理服务费率标准和代理服务费计算方法</w:t>
            </w:r>
          </w:p>
          <w:tbl>
            <w:tblPr>
              <w:tblStyle w:val="24"/>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金额(万元)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类型</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货物类</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服务类</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100以下</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100－500</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500－1000</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0.45%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1000－5000</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5000－10000</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0.1%</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10000－100000</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1000000以上</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r>
          </w:tbl>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(1)按本表费率计算的收费为代理服务全过程的收费基准价格。</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(2)采购代理机构下浮比例为20%。</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(3)代理服务收费按差额定率累进法计算。</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例如：某工程代理业务中标金额为6000万元，计算代理服务收费额如下：</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100万元×1.00%=1万元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(500－100)万元×0.70%=2.8万元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(1000－500)万元×0.55%=2.75万元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(5000－1000)万元×0.35%=14万元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(6000－5000)万元×0.20%=2万元</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最终代理服务=(1+2.8+2.75+14+2)*(1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20%)=18.04(万元)</w:t>
            </w:r>
          </w:p>
          <w:p>
            <w:pPr>
              <w:keepNext w:val="0"/>
              <w:keepLines w:val="0"/>
              <w:pageBreakBefore w:val="0"/>
              <w:widowControl w:val="0"/>
              <w:tabs>
                <w:tab w:val="left" w:pos="2277"/>
              </w:tabs>
              <w:kinsoku/>
              <w:wordWrap w:val="0"/>
              <w:overflowPunct/>
              <w:autoSpaceDE/>
              <w:autoSpaceDN/>
              <w:bidi w:val="0"/>
              <w:adjustRightInd w:val="0"/>
              <w:snapToGrid w:val="0"/>
              <w:spacing w:line="36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收取方式：成交</w:t>
            </w:r>
            <w:r>
              <w:rPr>
                <w:rFonts w:hint="eastAsia" w:ascii="宋体" w:hAnsi="宋体" w:eastAsia="宋体" w:cs="宋体"/>
                <w:color w:val="auto"/>
                <w:sz w:val="21"/>
                <w:szCs w:val="21"/>
                <w:highlight w:val="none"/>
                <w:lang w:val="zh-CN"/>
              </w:rPr>
              <w:t>通知发出后二个工作日内由</w:t>
            </w:r>
            <w:r>
              <w:rPr>
                <w:rFonts w:hint="eastAsia" w:ascii="宋体" w:hAnsi="宋体" w:eastAsia="宋体" w:cs="宋体"/>
                <w:color w:val="auto"/>
                <w:sz w:val="21"/>
                <w:szCs w:val="21"/>
                <w:highlight w:val="none"/>
              </w:rPr>
              <w:t>成交供应商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rPr>
              <w:t>至采购代理机构。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履约保证金</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详见竞争性磋商文件第六章。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政府采购供应商信用融资</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四川省财政厅关于推进四川省政府采购供应商信用融资工作的通知》(川财采〔2018〕123号)、《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成交通知书向银行提出贷款意向申请，并按照相关规定要求和贷款流程申请信用融资贷款及执行相关采购政策。</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3.“政采贷”政策咨询电话：028-</w:t>
            </w:r>
            <w:r>
              <w:rPr>
                <w:rFonts w:hint="eastAsia" w:ascii="宋体" w:hAnsi="宋体" w:eastAsia="宋体" w:cs="宋体"/>
                <w:color w:val="auto"/>
                <w:sz w:val="21"/>
                <w:szCs w:val="21"/>
                <w:highlight w:val="none"/>
                <w:lang w:val="zh-CN"/>
              </w:rPr>
              <w:t>84638556、84882960</w:t>
            </w:r>
            <w:r>
              <w:rPr>
                <w:rFonts w:hint="eastAsia" w:ascii="宋体" w:hAnsi="宋体" w:eastAsia="宋体" w:cs="宋体"/>
                <w:color w:val="auto"/>
                <w:sz w:val="21"/>
                <w:szCs w:val="21"/>
                <w:highlight w:val="none"/>
              </w:rPr>
              <w:t>转</w:t>
            </w:r>
            <w:r>
              <w:rPr>
                <w:rFonts w:hint="eastAsia" w:ascii="宋体" w:hAnsi="宋体" w:eastAsia="宋体" w:cs="宋体"/>
                <w:color w:val="auto"/>
                <w:sz w:val="21"/>
                <w:szCs w:val="21"/>
                <w:highlight w:val="none"/>
                <w:lang w:val="zh-CN"/>
              </w:rPr>
              <w:t>6</w:t>
            </w:r>
            <w:r>
              <w:rPr>
                <w:rFonts w:hint="eastAsia" w:ascii="宋体" w:hAnsi="宋体" w:eastAsia="宋体" w:cs="宋体"/>
                <w:color w:val="auto"/>
                <w:sz w:val="21"/>
                <w:szCs w:val="21"/>
                <w:highlight w:val="none"/>
              </w:rPr>
              <w:t>0</w:t>
            </w: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或60</w:t>
            </w:r>
            <w:r>
              <w:rPr>
                <w:rFonts w:hint="eastAsia" w:cs="宋体"/>
                <w:color w:val="auto"/>
                <w:sz w:val="21"/>
                <w:szCs w:val="21"/>
                <w:highlight w:val="none"/>
                <w:lang w:val="en-US" w:eastAsia="zh-CN"/>
              </w:rPr>
              <w:t>9</w:t>
            </w:r>
            <w:r>
              <w:rPr>
                <w:rFonts w:hint="eastAsia" w:ascii="宋体" w:hAnsi="宋体" w:eastAsia="宋体" w:cs="宋体"/>
                <w:color w:val="auto"/>
                <w:sz w:val="21"/>
                <w:szCs w:val="21"/>
                <w:highlight w:val="none"/>
              </w:rPr>
              <w:t>。</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注：相关政策文件详见本磋商文件附件内容。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政府采购合同</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公告备案</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政府采购合同签订之日起2个工作日内，</w:t>
            </w:r>
            <w:r>
              <w:rPr>
                <w:rFonts w:hint="eastAsia" w:ascii="宋体" w:hAnsi="宋体" w:eastAsia="宋体" w:cs="宋体"/>
                <w:color w:val="auto"/>
                <w:sz w:val="21"/>
                <w:szCs w:val="21"/>
                <w:highlight w:val="none"/>
              </w:rPr>
              <w:t>采购人将</w:t>
            </w:r>
            <w:r>
              <w:rPr>
                <w:rFonts w:hint="eastAsia" w:ascii="宋体" w:hAnsi="宋体" w:eastAsia="宋体" w:cs="宋体"/>
                <w:color w:val="auto"/>
                <w:sz w:val="21"/>
                <w:szCs w:val="21"/>
                <w:highlight w:val="none"/>
                <w:lang w:val="zh-CN"/>
              </w:rPr>
              <w:t>政府采购合同在“四川政府采购网”公告；政府采购合同签订之日起七个工作日内，</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val="zh-CN"/>
              </w:rPr>
              <w:t>将政府采购合同向采购项目同级财政部门备案。</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违规签订政府采购合同将依法追究法律责任。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供应商询问</w:t>
            </w:r>
          </w:p>
        </w:tc>
        <w:tc>
          <w:tcPr>
            <w:tcW w:w="7061" w:type="dxa"/>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1.根据委托代理协议约定，采购人负责对磋商文件技术参数部分的询问答复，四川乾新招投标代理有限公司负责磋商文件技术参数部分以外的询问答复。</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2.询问内容不得涉及评审秘密、国家机密和商业秘密等保密内容。</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联系人：</w:t>
            </w:r>
            <w:r>
              <w:rPr>
                <w:rFonts w:hint="eastAsia" w:ascii="宋体" w:hAnsi="宋体" w:eastAsia="宋体" w:cs="宋体"/>
                <w:color w:val="auto"/>
                <w:sz w:val="21"/>
                <w:szCs w:val="21"/>
                <w:highlight w:val="none"/>
              </w:rPr>
              <w:t>王朝钢</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联系电话：</w:t>
            </w:r>
            <w:r>
              <w:rPr>
                <w:rFonts w:hint="eastAsia" w:ascii="宋体" w:hAnsi="宋体" w:eastAsia="宋体" w:cs="宋体"/>
                <w:color w:val="auto"/>
                <w:sz w:val="21"/>
                <w:szCs w:val="21"/>
                <w:highlight w:val="none"/>
              </w:rPr>
              <w:t>028-</w:t>
            </w:r>
            <w:r>
              <w:rPr>
                <w:rFonts w:hint="eastAsia" w:ascii="宋体" w:hAnsi="宋体" w:eastAsia="宋体" w:cs="宋体"/>
                <w:color w:val="auto"/>
                <w:sz w:val="21"/>
                <w:szCs w:val="21"/>
                <w:highlight w:val="none"/>
                <w:lang w:val="zh-CN"/>
              </w:rPr>
              <w:t>84638556、84882960</w:t>
            </w:r>
            <w:r>
              <w:rPr>
                <w:rFonts w:hint="eastAsia" w:ascii="宋体" w:hAnsi="宋体" w:eastAsia="宋体" w:cs="宋体"/>
                <w:color w:val="auto"/>
                <w:sz w:val="21"/>
                <w:szCs w:val="21"/>
                <w:highlight w:val="none"/>
              </w:rPr>
              <w:t>转663</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地址：成都市高新区吉庆三路333号蜀都中心二期一号楼一单元401号</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邮编</w:t>
            </w:r>
            <w:r>
              <w:rPr>
                <w:rFonts w:hint="eastAsia" w:ascii="宋体" w:hAnsi="宋体" w:eastAsia="宋体" w:cs="宋体"/>
                <w:color w:val="auto"/>
                <w:sz w:val="21"/>
                <w:szCs w:val="21"/>
                <w:highlight w:val="none"/>
              </w:rPr>
              <w:t>：610041</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询问提出的范围及主体：①磋商文件及采购信息公告环节：依法获取磋商文件的潜在供应商可以对磋商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5.为提高采购效率，降低社会成本，鼓励询问主体对于不损害国家及社会利益或自身合法权益的问题或情形采用询问方式处理解决(包含但不限于文字错误、标点符号、不影响响应文件的编制的情形)。</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6.为降低时间成本，减少不必要的干扰，四川乾新招投标代理有限公司或采购人可以不接受未按照约定时间提出的询问。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供应商质疑</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委托代理协议约定，对于磋商文件(磋商文件技术条款和除政府采购法第二十二条之外的其他资格条件、专业商务要求)的质疑由采购人负责答复；对于采购过程或采购结果由四川乾新招投标代理有限公司负责答复。</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2.供应商提出质疑应当坚持依法依规、诚实信用原则；不得超出磋商文件、采购过程、采购结果的范围，不得进行虚假、恶意质疑，不得以质疑为手段获取不当得利、实现非法目的。</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3.提出质疑函的时限要求：供应商认为磋商文件、采购过程、中标或者成交结果使其权益受到损害的，可以在知道或者应知其权益受到损害之日起7个工作日内，以书面形式向采购人、采购代理机构提出质疑。</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联系人：谢旭</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联系部门：质量控制部</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val="zh-CN"/>
              </w:rPr>
              <w:t>028-84638556、84882960</w:t>
            </w:r>
            <w:r>
              <w:rPr>
                <w:rFonts w:hint="eastAsia" w:ascii="宋体" w:hAnsi="宋体" w:eastAsia="宋体" w:cs="宋体"/>
                <w:color w:val="auto"/>
                <w:sz w:val="21"/>
                <w:szCs w:val="21"/>
                <w:highlight w:val="none"/>
              </w:rPr>
              <w:t>转616</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r>
              <w:rPr>
                <w:rFonts w:hint="eastAsia" w:ascii="宋体" w:hAnsi="宋体" w:eastAsia="宋体" w:cs="宋体"/>
                <w:color w:val="auto"/>
                <w:sz w:val="21"/>
                <w:szCs w:val="21"/>
                <w:highlight w:val="none"/>
                <w:lang w:val="zh-CN"/>
              </w:rPr>
              <w:t>成都市高新区吉庆三路333号蜀都中心二期一号楼一单元401号</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邮编：610041</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明确的请求是指：供应商对磋商文件还是对采购过程还是对中标、成交结果提出质疑；想要达到的结果，如中标成交无效、废标、重新组织采购、赔偿、追究法律责任等；</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②供应商应当在法定质疑期内一次性提出针对同一采购程序环节的质疑。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20"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供应商投诉</w:t>
            </w:r>
          </w:p>
        </w:tc>
        <w:tc>
          <w:tcPr>
            <w:tcW w:w="7061" w:type="dxa"/>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投诉受理单位：成都市财政局</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联系电话：028-61882648</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地址：成都市锦城大道366号 </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邮编：610041 </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注：①供应商投诉应当有明确的请求和必要的证明材料。供应商投诉的事项不得超出已质疑事项的范围，须符合《政府采购质疑和投诉办法》(财政部第94号令)规定，并使用财政部下发《投诉书》范本，格式详见第九章。②供应商可通过在线、现场、邮寄、邮箱等多种方式提起投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竞争性磋商费用</w:t>
            </w:r>
          </w:p>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(实质性要求)</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无论竞争性磋商的结果如何，供应商自行承担所有与参加竞争性磋商有关的全部费用。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服务质量投诉电话</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联系人：万方仪</w:t>
            </w:r>
          </w:p>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联系电话：028-61375575、62600820、62630990转603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声明承诺提醒</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供应商响应文件中提供的各种声明和承诺应当真实有效，无效声明和承诺、虚假声明和承诺将由供应商</w:t>
            </w:r>
            <w:r>
              <w:rPr>
                <w:rFonts w:hint="eastAsia" w:ascii="宋体" w:hAnsi="宋体" w:eastAsia="宋体" w:cs="宋体"/>
                <w:color w:val="auto"/>
                <w:sz w:val="21"/>
                <w:szCs w:val="21"/>
                <w:highlight w:val="none"/>
              </w:rPr>
              <w:t>自行</w:t>
            </w:r>
            <w:r>
              <w:rPr>
                <w:rFonts w:hint="eastAsia" w:ascii="宋体" w:hAnsi="宋体" w:eastAsia="宋体" w:cs="宋体"/>
                <w:color w:val="auto"/>
                <w:sz w:val="21"/>
                <w:szCs w:val="21"/>
                <w:highlight w:val="none"/>
                <w:lang w:val="zh-CN"/>
              </w:rPr>
              <w:t>承担由此带来的</w:t>
            </w:r>
            <w:r>
              <w:rPr>
                <w:rFonts w:hint="eastAsia" w:ascii="宋体" w:hAnsi="宋体" w:eastAsia="宋体" w:cs="宋体"/>
                <w:color w:val="auto"/>
                <w:sz w:val="21"/>
                <w:szCs w:val="21"/>
                <w:highlight w:val="none"/>
              </w:rPr>
              <w:t>一切</w:t>
            </w:r>
            <w:r>
              <w:rPr>
                <w:rFonts w:hint="eastAsia" w:ascii="宋体" w:hAnsi="宋体" w:eastAsia="宋体" w:cs="宋体"/>
                <w:color w:val="auto"/>
                <w:sz w:val="21"/>
                <w:szCs w:val="21"/>
                <w:highlight w:val="none"/>
                <w:lang w:val="zh-CN"/>
              </w:rPr>
              <w:t>不利后果，</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zh-CN"/>
              </w:rPr>
              <w:t>还将报告监管部门追究</w:t>
            </w:r>
            <w:r>
              <w:rPr>
                <w:rFonts w:hint="eastAsia" w:ascii="宋体" w:hAnsi="宋体" w:eastAsia="宋体" w:cs="宋体"/>
                <w:color w:val="auto"/>
                <w:sz w:val="21"/>
                <w:szCs w:val="21"/>
                <w:highlight w:val="none"/>
              </w:rPr>
              <w:t>其</w:t>
            </w:r>
            <w:r>
              <w:rPr>
                <w:rFonts w:hint="eastAsia" w:ascii="宋体" w:hAnsi="宋体" w:eastAsia="宋体" w:cs="宋体"/>
                <w:color w:val="auto"/>
                <w:sz w:val="21"/>
                <w:szCs w:val="21"/>
                <w:highlight w:val="none"/>
                <w:lang w:val="zh-CN"/>
              </w:rPr>
              <w:t>法律责任。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pPr>
              <w:pStyle w:val="51"/>
              <w:keepNext w:val="0"/>
              <w:keepLines w:val="0"/>
              <w:pageBreakBefore w:val="0"/>
              <w:widowControl w:val="0"/>
              <w:numPr>
                <w:ilvl w:val="0"/>
                <w:numId w:val="8"/>
              </w:numPr>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rPr>
            </w:pPr>
          </w:p>
        </w:tc>
        <w:tc>
          <w:tcPr>
            <w:tcW w:w="2020" w:type="dxa"/>
            <w:vAlign w:val="center"/>
          </w:tcPr>
          <w:p>
            <w:pPr>
              <w:pStyle w:val="51"/>
              <w:keepNext w:val="0"/>
              <w:keepLines w:val="0"/>
              <w:pageBreakBefore w:val="0"/>
              <w:widowControl w:val="0"/>
              <w:kinsoku/>
              <w:wordWrap w:val="0"/>
              <w:overflowPunct/>
              <w:autoSpaceDE/>
              <w:autoSpaceDN/>
              <w:bidi w:val="0"/>
              <w:adjustRightInd w:val="0"/>
              <w:snapToGrid w:val="0"/>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备注</w:t>
            </w:r>
          </w:p>
        </w:tc>
        <w:tc>
          <w:tcPr>
            <w:tcW w:w="7061" w:type="dxa"/>
            <w:vAlign w:val="center"/>
          </w:tcPr>
          <w:p>
            <w:pPr>
              <w:pStyle w:val="49"/>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若竞争性磋商文件中其他内容与磋商须知前附表内容不一致的，以磋商须知前附表为准。</w:t>
            </w:r>
          </w:p>
        </w:tc>
      </w:tr>
    </w:tbl>
    <w:p>
      <w:pPr>
        <w:pStyle w:val="31"/>
        <w:spacing w:before="120" w:beforeLines="50" w:after="120" w:afterLines="50"/>
        <w:ind w:firstLine="0" w:firstLineChars="0"/>
        <w:jc w:val="center"/>
        <w:rPr>
          <w:color w:val="auto"/>
          <w:sz w:val="36"/>
          <w:szCs w:val="36"/>
          <w:highlight w:val="none"/>
        </w:rPr>
      </w:pPr>
      <w:r>
        <w:rPr>
          <w:rFonts w:hint="eastAsia"/>
          <w:color w:val="auto"/>
          <w:highlight w:val="none"/>
        </w:rPr>
        <w:br w:type="page"/>
      </w:r>
      <w:bookmarkStart w:id="24" w:name="_Toc11900"/>
      <w:r>
        <w:rPr>
          <w:rFonts w:hint="eastAsia"/>
          <w:color w:val="auto"/>
          <w:sz w:val="36"/>
          <w:szCs w:val="36"/>
          <w:highlight w:val="none"/>
        </w:rPr>
        <w:t>总则</w:t>
      </w:r>
      <w:bookmarkEnd w:id="24"/>
    </w:p>
    <w:tbl>
      <w:tblPr>
        <w:tblStyle w:val="24"/>
        <w:tblW w:w="970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22"/>
        <w:gridCol w:w="1753"/>
        <w:gridCol w:w="73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blHeade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zh-CN"/>
              </w:rPr>
              <w:t>序号</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zh-CN"/>
              </w:rPr>
              <w:t>事项</w:t>
            </w:r>
          </w:p>
        </w:tc>
        <w:tc>
          <w:tcPr>
            <w:tcW w:w="7328"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lang w:val="zh-CN"/>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适用范围</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本竞争性磋商文件(亦</w:t>
            </w:r>
            <w:r>
              <w:rPr>
                <w:rFonts w:hint="eastAsia" w:ascii="宋体" w:hAnsi="宋体" w:eastAsia="宋体" w:cs="宋体"/>
                <w:color w:val="auto"/>
                <w:sz w:val="21"/>
                <w:szCs w:val="21"/>
                <w:highlight w:val="none"/>
              </w:rPr>
              <w:t>简称“磋商文件”或“采购文件”</w:t>
            </w:r>
            <w:r>
              <w:rPr>
                <w:rFonts w:hint="eastAsia" w:ascii="宋体" w:hAnsi="宋体" w:eastAsia="宋体" w:cs="宋体"/>
                <w:color w:val="auto"/>
                <w:sz w:val="21"/>
                <w:szCs w:val="21"/>
                <w:highlight w:val="none"/>
                <w:lang w:val="zh-CN"/>
              </w:rPr>
              <w:t>)仅适用于</w:t>
            </w:r>
            <w:r>
              <w:rPr>
                <w:rFonts w:hint="eastAsia" w:ascii="宋体" w:hAnsi="宋体" w:eastAsia="宋体" w:cs="宋体"/>
                <w:color w:val="auto"/>
                <w:sz w:val="21"/>
                <w:szCs w:val="21"/>
                <w:highlight w:val="none"/>
              </w:rPr>
              <w:t>本次磋商</w:t>
            </w:r>
            <w:r>
              <w:rPr>
                <w:rFonts w:hint="eastAsia" w:ascii="宋体" w:hAnsi="宋体" w:eastAsia="宋体" w:cs="宋体"/>
                <w:color w:val="auto"/>
                <w:sz w:val="21"/>
                <w:szCs w:val="21"/>
                <w:highlight w:val="none"/>
                <w:lang w:val="zh-CN"/>
              </w:rPr>
              <w:t>采购</w:t>
            </w:r>
            <w:r>
              <w:rPr>
                <w:rFonts w:hint="eastAsia" w:ascii="宋体" w:hAnsi="宋体" w:eastAsia="宋体" w:cs="宋体"/>
                <w:color w:val="auto"/>
                <w:sz w:val="21"/>
                <w:szCs w:val="21"/>
                <w:highlight w:val="none"/>
              </w:rPr>
              <w:t>项目。</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2.本竞争性</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文件中的</w:t>
            </w:r>
            <w:r>
              <w:rPr>
                <w:rFonts w:hint="eastAsia" w:ascii="宋体" w:hAnsi="宋体" w:eastAsia="宋体" w:cs="宋体"/>
                <w:color w:val="auto"/>
                <w:sz w:val="21"/>
                <w:szCs w:val="21"/>
                <w:highlight w:val="none"/>
              </w:rPr>
              <w:t>响应文件</w:t>
            </w:r>
            <w:r>
              <w:rPr>
                <w:rFonts w:hint="eastAsia" w:ascii="宋体" w:hAnsi="宋体" w:eastAsia="宋体" w:cs="宋体"/>
                <w:color w:val="auto"/>
                <w:sz w:val="21"/>
                <w:szCs w:val="21"/>
                <w:highlight w:val="none"/>
                <w:lang w:val="zh-CN"/>
              </w:rPr>
              <w:t>，仅适用于本采购项目。</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本竞争性</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文件中的</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小组(亦可称为“评审委员会”)，仅适用于本采购项目。</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zh-CN"/>
              </w:rPr>
              <w:t>.本</w:t>
            </w:r>
            <w:r>
              <w:rPr>
                <w:rFonts w:hint="eastAsia" w:ascii="宋体" w:hAnsi="宋体" w:eastAsia="宋体" w:cs="宋体"/>
                <w:color w:val="auto"/>
                <w:sz w:val="21"/>
                <w:szCs w:val="21"/>
                <w:highlight w:val="none"/>
              </w:rPr>
              <w:t>磋商</w:t>
            </w:r>
            <w:r>
              <w:rPr>
                <w:rFonts w:hint="eastAsia" w:ascii="宋体" w:hAnsi="宋体" w:eastAsia="宋体" w:cs="宋体"/>
                <w:color w:val="auto"/>
                <w:sz w:val="21"/>
                <w:szCs w:val="21"/>
                <w:highlight w:val="none"/>
                <w:lang w:val="zh-CN"/>
              </w:rPr>
              <w:t>文件的解释权归采购人和采购代理机构所有。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采购主体</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1.“采购人”系依法进行政府采购的国家机关、事业单位、团体组织。本次采购的采购人是成都市技师学院。</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2.“供应商”系指</w:t>
            </w:r>
            <w:r>
              <w:rPr>
                <w:rFonts w:hint="eastAsia" w:cs="宋体"/>
                <w:color w:val="auto"/>
                <w:sz w:val="21"/>
                <w:szCs w:val="21"/>
                <w:highlight w:val="none"/>
                <w:lang w:eastAsia="zh-CN"/>
              </w:rPr>
              <w:t>获取</w:t>
            </w:r>
            <w:r>
              <w:rPr>
                <w:rFonts w:hint="eastAsia" w:ascii="宋体" w:hAnsi="宋体" w:eastAsia="宋体" w:cs="宋体"/>
                <w:color w:val="auto"/>
                <w:sz w:val="21"/>
                <w:szCs w:val="21"/>
                <w:highlight w:val="none"/>
              </w:rPr>
              <w:t>了竞争性磋商文件拟参加磋商和向采购人提供相应服务的法人、其他组织或者自然人。</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3.“采购代理机构”系指根据采购人的委托依法办理采购事宜的采购机构。本次竞争性磋商的采购代理机构是四川乾新招投标代理有限公司。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合格供应商条件</w:t>
            </w:r>
          </w:p>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1.不属于禁止参加本项目采购活动的供应商。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2.遵守国家有关的法律、法规、规章和其他政策制度。</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3.向采购代理机构获取了竞争性磋商文件并登记。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充分、公平竞争保障措施</w:t>
            </w:r>
          </w:p>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关于在政府采购活动中查询及使用信用记录有关问题的通知》(财库〔2016〕125号)等文件要求，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参加本项目的采购活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2.利害关系供应商处理。单位负责人为同一人或者存在直接控股、管理关系的不同供应商不得参加同一合同项下的政府采购活动。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期参与供应商处理。为采购项目提供整体设计、规范编制或者项目管理、监理、检测等服务的供应商，不得再参加该采购项目的其他采购活动。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注：本项目符合本条规定的供应商是：成都臻熙健康体检门诊部有限公司。</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4.利害关系代理人处理。2家以上的供应商不得在同一合同项下的采购项目中，同时委托同一个自然人、同一家庭的人员、同一单位的人员作为其代理人，否则，其响应文件作为无效处理。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5.供应商实际控制人或者中高级管理人员，同时是采购代理机构工作人员，不得参与本项目政府采购活动。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6.同一母公司的两家以上的子公司只能组成联合体参加本项目同一合同项下的采购活动，不得以不同供应商身份同时参加本项目同一合同项下的采购活动。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7.供应商与采购代理机构存在关联关系，或者是采购代理机构的母公司或子公司，不得参加本项目政府采购活动。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8.回避。政府采购活动中，采购人员及相关人员与供应商有下列利害关系之一的，应当回避：</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(1)参加采购活动前3年内与供应商存在劳动关系；</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(2)参加采购活动前3年内担任供应商的董事、监事；</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(3)参加采购活动前3年内是供应商的控股股东或者实际控制人；</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(4)与供应商的法定代表人或者负责人有夫妻、直系血亲、三代以内旁系血亲或者近姻亲关系；</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(5)与供应商有其他可能影响政府采购活动公平、公正进行的关系。</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磋商有效期</w:t>
            </w:r>
          </w:p>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有效期为响应文件递交截止时间之日起90日。供应商响应文件中必须载明磋商有效期，响应文件中载明的磋商有效期可以长于磋商文件规定的期限，但不得短于磋商文件规定的期限。否则，其响应文件将作为无效响应处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不可抗力事件，采购人可于磋商有效期届满之前与供应商协商延长磋商有效期。供应商拒绝延长磋商有效期的，不得再参与该项目后续采购活动，但由此给供应商造成的损失，采购人可以自主决定是否可以给予适当补偿。供应商同意延长磋商有效期的，不能修改响应文件。</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因采购人采购需求作出必要调整，采购人可于磋商有效期届满之前与供应商协商延长磋商有效期。供应商拒绝延长磋商有效期的，不得再参与该项目后续采购活动，但由此给供应商造成的损失，采购人可以自主决定是否可以给予适当补偿。供应商同意延长磋商有效期的，不能修改响应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53" w:type="dxa"/>
            <w:vAlign w:val="center"/>
          </w:tcPr>
          <w:p>
            <w:pPr>
              <w:pStyle w:val="51"/>
              <w:keepNext w:val="0"/>
              <w:keepLines w:val="0"/>
              <w:pageBreakBefore w:val="0"/>
              <w:widowControl w:val="0"/>
              <w:kinsoku/>
              <w:wordWrap w:val="0"/>
              <w:overflowPunct/>
              <w:topLinePunct/>
              <w:autoSpaceDE/>
              <w:autoSpaceDN/>
              <w:bidi w:val="0"/>
              <w:adjustRightInd w:val="0"/>
              <w:snapToGrid w:val="0"/>
              <w:spacing w:line="320" w:lineRule="exact"/>
              <w:ind w:left="28"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732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1.本竞争性磋商文件各部分规定的期间以时、日、月、年计算。期间开始的时和日，不计算在期间内，而从次日开始计算。期间届满的最后一天是节假日的，以节假日后的第一日为期间届满的日期。</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2.本竞争性磋商文件各部分规定的时间均以北京时间为准。</w:t>
            </w:r>
          </w:p>
        </w:tc>
      </w:tr>
    </w:tbl>
    <w:p>
      <w:pPr>
        <w:rPr>
          <w:rFonts w:asciiTheme="minorEastAsia" w:hAnsiTheme="minorEastAsia" w:eastAsiaTheme="minorEastAsia" w:cstheme="minorEastAsia"/>
          <w:color w:val="auto"/>
          <w:sz w:val="36"/>
          <w:szCs w:val="36"/>
          <w:highlight w:val="none"/>
        </w:rPr>
      </w:pPr>
      <w:bookmarkStart w:id="25" w:name="_Toc2042"/>
      <w:bookmarkStart w:id="26" w:name="_Toc4011"/>
      <w:bookmarkStart w:id="27" w:name="_Toc23295"/>
      <w:bookmarkStart w:id="28" w:name="_Toc26593"/>
      <w:r>
        <w:rPr>
          <w:rFonts w:hint="eastAsia"/>
          <w:color w:val="auto"/>
          <w:highlight w:val="none"/>
        </w:rPr>
        <w:br w:type="page"/>
      </w:r>
    </w:p>
    <w:p>
      <w:pPr>
        <w:pStyle w:val="31"/>
        <w:spacing w:before="120" w:beforeLines="50" w:after="120" w:afterLines="50"/>
        <w:ind w:firstLine="0" w:firstLineChars="0"/>
        <w:jc w:val="center"/>
        <w:rPr>
          <w:color w:val="auto"/>
          <w:sz w:val="36"/>
          <w:szCs w:val="36"/>
          <w:highlight w:val="none"/>
        </w:rPr>
      </w:pPr>
      <w:bookmarkStart w:id="29" w:name="_Toc8032"/>
      <w:r>
        <w:rPr>
          <w:rFonts w:hint="eastAsia"/>
          <w:color w:val="auto"/>
          <w:sz w:val="36"/>
          <w:szCs w:val="36"/>
          <w:highlight w:val="none"/>
        </w:rPr>
        <w:t>竞争性磋商文件</w:t>
      </w:r>
      <w:bookmarkEnd w:id="23"/>
      <w:bookmarkEnd w:id="25"/>
      <w:bookmarkEnd w:id="26"/>
      <w:bookmarkEnd w:id="27"/>
      <w:bookmarkEnd w:id="28"/>
      <w:bookmarkEnd w:id="29"/>
    </w:p>
    <w:p>
      <w:pPr>
        <w:pStyle w:val="32"/>
        <w:ind w:firstLine="482"/>
        <w:rPr>
          <w:color w:val="auto"/>
          <w:highlight w:val="none"/>
        </w:rPr>
      </w:pPr>
      <w:bookmarkStart w:id="30" w:name="_Toc22302"/>
      <w:bookmarkStart w:id="31" w:name="_Toc10150"/>
      <w:bookmarkStart w:id="32" w:name="_Toc29532"/>
      <w:bookmarkStart w:id="33" w:name="_Toc319439877"/>
      <w:bookmarkStart w:id="34" w:name="_Toc28450"/>
      <w:bookmarkStart w:id="35" w:name="_Toc307501086"/>
      <w:bookmarkStart w:id="36" w:name="_Toc32648"/>
      <w:bookmarkStart w:id="37" w:name="_Toc309897492"/>
      <w:bookmarkStart w:id="38" w:name="_Toc327196263"/>
      <w:bookmarkStart w:id="39" w:name="_Toc308084574"/>
      <w:bookmarkStart w:id="40" w:name="_Toc10311"/>
      <w:bookmarkStart w:id="41" w:name="_Toc5790"/>
      <w:bookmarkStart w:id="42" w:name="_Toc12046"/>
      <w:bookmarkStart w:id="43" w:name="_Toc307564829"/>
      <w:bookmarkStart w:id="44" w:name="_Toc31870"/>
      <w:bookmarkStart w:id="45" w:name="_Toc217446034"/>
      <w:bookmarkStart w:id="46" w:name="_Toc32483"/>
      <w:bookmarkStart w:id="47" w:name="_Toc319440119"/>
      <w:bookmarkStart w:id="48" w:name="_Toc20769"/>
      <w:bookmarkStart w:id="49" w:name="_Toc23796"/>
      <w:bookmarkStart w:id="50" w:name="_Toc3601"/>
      <w:bookmarkStart w:id="51" w:name="_Toc308188129"/>
      <w:r>
        <w:rPr>
          <w:rFonts w:hint="eastAsia"/>
          <w:color w:val="auto"/>
          <w:highlight w:val="none"/>
        </w:rPr>
        <w:t>竞争性磋商文件的构成</w:t>
      </w:r>
      <w:bookmarkEnd w:id="30"/>
      <w:r>
        <w:rPr>
          <w:rFonts w:hint="eastAsia"/>
          <w:color w:val="auto"/>
          <w:highlight w:val="none"/>
        </w:rPr>
        <w:t>(实质性要求)</w:t>
      </w:r>
      <w:bookmarkEnd w:id="31"/>
    </w:p>
    <w:p>
      <w:pPr>
        <w:pStyle w:val="34"/>
        <w:rPr>
          <w:color w:val="auto"/>
          <w:highlight w:val="none"/>
        </w:rPr>
      </w:pPr>
      <w:r>
        <w:rPr>
          <w:rFonts w:hint="eastAsia"/>
          <w:color w:val="auto"/>
          <w:highlight w:val="none"/>
        </w:rPr>
        <w:t>竞争性磋商文件是供应商准备响应文件和参加竞争性磋商的依据，同时也是评审的重要依据，具有准法律文件性质。竞争性磋商文件用以阐明磋商项目所需的资质、技术、服务及报价等要求、磋商程序、有关规定和注意事项以及合同草案条款等。</w:t>
      </w:r>
    </w:p>
    <w:p>
      <w:pPr>
        <w:pStyle w:val="34"/>
        <w:rPr>
          <w:color w:val="auto"/>
          <w:highlight w:val="none"/>
        </w:rPr>
      </w:pPr>
      <w:r>
        <w:rPr>
          <w:rFonts w:hint="eastAsia"/>
          <w:color w:val="auto"/>
          <w:highlight w:val="none"/>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32"/>
        <w:ind w:firstLine="482"/>
        <w:rPr>
          <w:color w:val="auto"/>
          <w:highlight w:val="none"/>
        </w:rPr>
      </w:pPr>
      <w:bookmarkStart w:id="52" w:name="_Toc19249"/>
      <w:bookmarkStart w:id="53" w:name="_Toc2367"/>
      <w:r>
        <w:rPr>
          <w:rFonts w:hint="eastAsia"/>
          <w:color w:val="auto"/>
          <w:highlight w:val="none"/>
        </w:rPr>
        <w:t>竞争性磋商文件包含内容</w:t>
      </w:r>
      <w:bookmarkEnd w:id="52"/>
      <w:bookmarkEnd w:id="53"/>
    </w:p>
    <w:p>
      <w:pPr>
        <w:pStyle w:val="33"/>
        <w:ind w:firstLine="480"/>
        <w:rPr>
          <w:color w:val="auto"/>
          <w:highlight w:val="none"/>
        </w:rPr>
      </w:pPr>
      <w:r>
        <w:rPr>
          <w:rFonts w:hint="eastAsia"/>
          <w:color w:val="auto"/>
          <w:highlight w:val="none"/>
        </w:rPr>
        <w:t>供应商资格条件、采购邀请、采购方式、采购预算、采购需求、政府采购政策要求、评审程序、评审方法、评审标准、价格构成或者报价要求、响应文件编制要求、保证金交纳数额和形式以及不予退还的情形、磋商过程中可能实质性变动的内容、响应文件提交的截止时间、开启时间及地点以及合同草案条款等。本竞争性磋商文件包括以下内容：</w:t>
      </w:r>
    </w:p>
    <w:p>
      <w:pPr>
        <w:pStyle w:val="43"/>
        <w:numPr>
          <w:ilvl w:val="0"/>
          <w:numId w:val="13"/>
        </w:numPr>
        <w:ind w:left="0" w:firstLine="480"/>
        <w:rPr>
          <w:color w:val="auto"/>
          <w:highlight w:val="none"/>
        </w:rPr>
      </w:pPr>
      <w:r>
        <w:rPr>
          <w:rFonts w:hint="eastAsia"/>
          <w:color w:val="auto"/>
          <w:highlight w:val="none"/>
        </w:rPr>
        <w:t>竞争性磋商邀请；</w:t>
      </w:r>
    </w:p>
    <w:p>
      <w:pPr>
        <w:pStyle w:val="43"/>
        <w:numPr>
          <w:ilvl w:val="0"/>
          <w:numId w:val="13"/>
        </w:numPr>
        <w:ind w:left="0" w:firstLine="480"/>
        <w:rPr>
          <w:color w:val="auto"/>
          <w:highlight w:val="none"/>
        </w:rPr>
      </w:pPr>
      <w:r>
        <w:rPr>
          <w:rFonts w:hint="eastAsia"/>
          <w:color w:val="auto"/>
          <w:highlight w:val="none"/>
        </w:rPr>
        <w:t>磋商须知；</w:t>
      </w:r>
    </w:p>
    <w:p>
      <w:pPr>
        <w:pStyle w:val="43"/>
        <w:numPr>
          <w:ilvl w:val="0"/>
          <w:numId w:val="13"/>
        </w:numPr>
        <w:ind w:left="0" w:firstLine="480"/>
        <w:rPr>
          <w:color w:val="auto"/>
          <w:highlight w:val="none"/>
        </w:rPr>
      </w:pPr>
      <w:r>
        <w:rPr>
          <w:rFonts w:hint="eastAsia"/>
          <w:color w:val="auto"/>
          <w:highlight w:val="none"/>
        </w:rPr>
        <w:t>供应商资格条件；</w:t>
      </w:r>
    </w:p>
    <w:p>
      <w:pPr>
        <w:pStyle w:val="43"/>
        <w:numPr>
          <w:ilvl w:val="0"/>
          <w:numId w:val="13"/>
        </w:numPr>
        <w:ind w:left="0" w:firstLine="480"/>
        <w:rPr>
          <w:color w:val="auto"/>
          <w:highlight w:val="none"/>
        </w:rPr>
      </w:pPr>
      <w:r>
        <w:rPr>
          <w:rFonts w:hint="eastAsia"/>
          <w:color w:val="auto"/>
          <w:highlight w:val="none"/>
        </w:rPr>
        <w:t>采购需求；</w:t>
      </w:r>
    </w:p>
    <w:p>
      <w:pPr>
        <w:pStyle w:val="43"/>
        <w:numPr>
          <w:ilvl w:val="0"/>
          <w:numId w:val="13"/>
        </w:numPr>
        <w:ind w:left="0" w:firstLine="480"/>
        <w:rPr>
          <w:color w:val="auto"/>
          <w:highlight w:val="none"/>
        </w:rPr>
      </w:pPr>
      <w:r>
        <w:rPr>
          <w:rFonts w:hint="eastAsia"/>
          <w:color w:val="auto"/>
          <w:highlight w:val="none"/>
        </w:rPr>
        <w:t>政府采购政策要求；</w:t>
      </w:r>
    </w:p>
    <w:p>
      <w:pPr>
        <w:pStyle w:val="43"/>
        <w:numPr>
          <w:ilvl w:val="0"/>
          <w:numId w:val="13"/>
        </w:numPr>
        <w:ind w:left="0" w:firstLine="480"/>
        <w:rPr>
          <w:color w:val="auto"/>
          <w:highlight w:val="none"/>
        </w:rPr>
      </w:pPr>
      <w:r>
        <w:rPr>
          <w:rFonts w:hint="eastAsia"/>
          <w:color w:val="auto"/>
          <w:highlight w:val="none"/>
        </w:rPr>
        <w:t>评审程序、评审方法、评审标准；</w:t>
      </w:r>
    </w:p>
    <w:p>
      <w:pPr>
        <w:pStyle w:val="43"/>
        <w:numPr>
          <w:ilvl w:val="0"/>
          <w:numId w:val="13"/>
        </w:numPr>
        <w:ind w:left="0" w:firstLine="480"/>
        <w:rPr>
          <w:color w:val="auto"/>
          <w:highlight w:val="none"/>
        </w:rPr>
      </w:pPr>
      <w:r>
        <w:rPr>
          <w:rFonts w:hint="eastAsia"/>
          <w:color w:val="auto"/>
          <w:highlight w:val="none"/>
        </w:rPr>
        <w:t>报价要求；</w:t>
      </w:r>
    </w:p>
    <w:p>
      <w:pPr>
        <w:pStyle w:val="43"/>
        <w:numPr>
          <w:ilvl w:val="0"/>
          <w:numId w:val="13"/>
        </w:numPr>
        <w:ind w:left="0" w:firstLine="480"/>
        <w:rPr>
          <w:color w:val="auto"/>
          <w:highlight w:val="none"/>
        </w:rPr>
      </w:pPr>
      <w:r>
        <w:rPr>
          <w:rFonts w:hint="eastAsia"/>
          <w:color w:val="auto"/>
          <w:highlight w:val="none"/>
        </w:rPr>
        <w:t>响应文件编制要求；</w:t>
      </w:r>
    </w:p>
    <w:p>
      <w:pPr>
        <w:pStyle w:val="43"/>
        <w:numPr>
          <w:ilvl w:val="0"/>
          <w:numId w:val="13"/>
        </w:numPr>
        <w:ind w:left="0" w:firstLine="480"/>
        <w:rPr>
          <w:color w:val="auto"/>
          <w:highlight w:val="none"/>
        </w:rPr>
      </w:pPr>
      <w:r>
        <w:rPr>
          <w:rFonts w:hint="eastAsia"/>
          <w:color w:val="auto"/>
          <w:highlight w:val="none"/>
        </w:rPr>
        <w:t>磋商过程中可能实质性变动的内容；</w:t>
      </w:r>
    </w:p>
    <w:p>
      <w:pPr>
        <w:pStyle w:val="43"/>
        <w:numPr>
          <w:ilvl w:val="0"/>
          <w:numId w:val="13"/>
        </w:numPr>
        <w:ind w:left="0" w:firstLine="480"/>
        <w:rPr>
          <w:color w:val="auto"/>
          <w:highlight w:val="none"/>
        </w:rPr>
      </w:pPr>
      <w:r>
        <w:rPr>
          <w:rFonts w:hint="eastAsia"/>
          <w:color w:val="auto"/>
          <w:highlight w:val="none"/>
          <w:lang w:val="en-US" w:eastAsia="zh-CN"/>
        </w:rPr>
        <w:t>政府采购合同</w:t>
      </w:r>
      <w:r>
        <w:rPr>
          <w:rFonts w:hint="eastAsia"/>
          <w:color w:val="auto"/>
          <w:highlight w:val="none"/>
        </w:rPr>
        <w:t>；</w:t>
      </w:r>
    </w:p>
    <w:p>
      <w:pPr>
        <w:pStyle w:val="43"/>
        <w:numPr>
          <w:ilvl w:val="0"/>
          <w:numId w:val="13"/>
        </w:numPr>
        <w:ind w:left="0" w:firstLine="480"/>
        <w:rPr>
          <w:color w:val="auto"/>
          <w:highlight w:val="none"/>
        </w:rPr>
      </w:pPr>
      <w:r>
        <w:rPr>
          <w:rFonts w:hint="eastAsia"/>
          <w:color w:val="auto"/>
          <w:highlight w:val="none"/>
        </w:rPr>
        <w:t>磋商过程中形成的书面澄清、说明、更正。</w:t>
      </w:r>
    </w:p>
    <w:p>
      <w:pPr>
        <w:pStyle w:val="33"/>
        <w:ind w:firstLine="480"/>
        <w:rPr>
          <w:color w:val="auto"/>
          <w:highlight w:val="none"/>
        </w:rPr>
      </w:pPr>
      <w:r>
        <w:rPr>
          <w:rFonts w:hint="eastAsia"/>
          <w:color w:val="auto"/>
          <w:highlight w:val="none"/>
        </w:rPr>
        <w:t>供应商应详细阅读竞争性磋商文件的全部内容，并实质性响应竞争性磋商文件的要求，供应商未对竞争性磋商文件全面做出实质性响应是供应商的风险。</w:t>
      </w:r>
    </w:p>
    <w:p>
      <w:pPr>
        <w:pStyle w:val="32"/>
        <w:ind w:firstLine="482"/>
        <w:rPr>
          <w:color w:val="auto"/>
          <w:highlight w:val="none"/>
        </w:rPr>
      </w:pPr>
      <w:bookmarkStart w:id="54" w:name="_Toc17499"/>
      <w:bookmarkStart w:id="55" w:name="_Toc1005"/>
      <w:r>
        <w:rPr>
          <w:rFonts w:hint="eastAsia"/>
          <w:color w:val="auto"/>
          <w:highlight w:val="none"/>
        </w:rPr>
        <w:t>竞争性磋商文件的澄清和修改</w:t>
      </w:r>
      <w:bookmarkEnd w:id="54"/>
      <w:bookmarkEnd w:id="55"/>
    </w:p>
    <w:p>
      <w:pPr>
        <w:pStyle w:val="41"/>
        <w:numPr>
          <w:ilvl w:val="1"/>
          <w:numId w:val="0"/>
        </w:numPr>
        <w:ind w:firstLine="480" w:firstLineChars="200"/>
        <w:rPr>
          <w:color w:val="auto"/>
          <w:highlight w:val="none"/>
        </w:rPr>
      </w:pPr>
      <w:bookmarkStart w:id="56" w:name="_Toc21821"/>
      <w:r>
        <w:rPr>
          <w:rFonts w:hint="eastAsia"/>
          <w:color w:val="auto"/>
          <w:highlight w:val="none"/>
        </w:rPr>
        <w:t>1.提交首次响应文件截止之日前，采购人、采购代理机构或者磋商小组可以对已发出的磋商文件进行必要的澄清或者修改，澄清或者修改的内容作为磋商文件的组成部分。</w:t>
      </w:r>
    </w:p>
    <w:p>
      <w:pPr>
        <w:pStyle w:val="41"/>
        <w:numPr>
          <w:ilvl w:val="1"/>
          <w:numId w:val="0"/>
        </w:numPr>
        <w:ind w:firstLine="480" w:firstLineChars="200"/>
        <w:rPr>
          <w:color w:val="auto"/>
          <w:highlight w:val="none"/>
        </w:rPr>
      </w:pPr>
      <w:r>
        <w:rPr>
          <w:rFonts w:hint="eastAsia"/>
          <w:color w:val="auto"/>
          <w:highlight w:val="none"/>
        </w:rPr>
        <w:t>2.采购代理机构以书面形式将澄清或者修改的内容通知所有按照规定获得了磋商文件的供应商，同时在“四川政府采购网”发布更正公告。</w:t>
      </w:r>
    </w:p>
    <w:p>
      <w:pPr>
        <w:pStyle w:val="41"/>
        <w:numPr>
          <w:ilvl w:val="1"/>
          <w:numId w:val="0"/>
        </w:numPr>
        <w:ind w:firstLine="480" w:firstLineChars="200"/>
        <w:rPr>
          <w:color w:val="auto"/>
          <w:highlight w:val="none"/>
        </w:rPr>
      </w:pPr>
      <w:r>
        <w:rPr>
          <w:rFonts w:hint="eastAsia"/>
          <w:color w:val="auto"/>
          <w:highlight w:val="none"/>
        </w:rPr>
        <w:t>3.澄清或者修改的内容可能影响响应文件编制的，采购人、采购代理机构应当在提交首次响应文件截止时间至少5日前，发布公告并以书面通知所有获取磋商文件的供应商；不足5日的，采购人、采购代理机构应当顺延提交首次响应文件截止时间。</w:t>
      </w:r>
    </w:p>
    <w:p>
      <w:pPr>
        <w:pStyle w:val="41"/>
        <w:numPr>
          <w:ilvl w:val="1"/>
          <w:numId w:val="0"/>
        </w:numPr>
        <w:ind w:firstLine="480" w:firstLineChars="200"/>
        <w:rPr>
          <w:color w:val="auto"/>
          <w:highlight w:val="none"/>
        </w:rPr>
      </w:pPr>
      <w:r>
        <w:rPr>
          <w:rFonts w:hint="eastAsia"/>
          <w:color w:val="auto"/>
          <w:highlight w:val="none"/>
        </w:rPr>
        <w:t>4.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pStyle w:val="41"/>
        <w:numPr>
          <w:ilvl w:val="1"/>
          <w:numId w:val="0"/>
        </w:numPr>
        <w:ind w:firstLine="480" w:firstLineChars="200"/>
        <w:rPr>
          <w:rFonts w:cs="宋体"/>
          <w:color w:val="auto"/>
          <w:highlight w:val="none"/>
        </w:rPr>
      </w:pPr>
      <w:r>
        <w:rPr>
          <w:rFonts w:hint="eastAsia" w:cs="宋体"/>
          <w:color w:val="auto"/>
          <w:highlight w:val="none"/>
        </w:rPr>
        <w:t>供应商在获知相应更正通知后，将更正公告打印后加盖单位公章扫描提交至采购代理机构。如供应商未给予书面回复，则视为收到并认可该更正通知的内容。</w:t>
      </w:r>
    </w:p>
    <w:p>
      <w:pPr>
        <w:pStyle w:val="41"/>
        <w:numPr>
          <w:ilvl w:val="1"/>
          <w:numId w:val="0"/>
        </w:numPr>
        <w:ind w:firstLine="480" w:firstLineChars="200"/>
        <w:rPr>
          <w:color w:val="auto"/>
          <w:highlight w:val="none"/>
        </w:rPr>
      </w:pPr>
      <w:r>
        <w:rPr>
          <w:rFonts w:hint="eastAsia"/>
          <w:color w:val="auto"/>
          <w:highlight w:val="none"/>
        </w:rPr>
        <w:t>5.评审委员会在评审过程中，需要供应商对响应文件中含义不明确、同类问题表述不一致或者有明显文字和计算错误的内容等作出必要的澄清、说明或者更正的，应当以书面形式(须由评审委员会全体成员签字)作出，并给予供应商必要的反馈时间，但不得超出响应文件的范围或者改变响应文件的实质性内容。</w:t>
      </w:r>
    </w:p>
    <w:p>
      <w:pPr>
        <w:pStyle w:val="41"/>
        <w:numPr>
          <w:ilvl w:val="1"/>
          <w:numId w:val="0"/>
        </w:numPr>
        <w:ind w:firstLine="480" w:firstLineChars="200"/>
        <w:rPr>
          <w:color w:val="auto"/>
          <w:highlight w:val="none"/>
        </w:rPr>
      </w:pPr>
      <w:r>
        <w:rPr>
          <w:rFonts w:hint="eastAsia"/>
          <w:color w:val="auto"/>
          <w:highlight w:val="none"/>
        </w:rPr>
        <w:t>6.供应商的澄清、说明或者更正材料应当采用书面形式，并由其法定代表人(主要负责人)或其授权代表签字或者加盖公章。由授权代表签字的，应当附法定代表人授权书。供应商为自然人的，应当由本人签字并附身份证明。供应商响应文件中已经提供授权书、身份证明的，可以不再提供。</w:t>
      </w:r>
    </w:p>
    <w:p>
      <w:pPr>
        <w:pStyle w:val="41"/>
        <w:numPr>
          <w:ilvl w:val="1"/>
          <w:numId w:val="0"/>
        </w:numPr>
        <w:ind w:firstLine="480" w:firstLineChars="200"/>
        <w:rPr>
          <w:color w:val="auto"/>
          <w:highlight w:val="none"/>
        </w:rPr>
      </w:pPr>
      <w:r>
        <w:rPr>
          <w:rFonts w:hint="eastAsia"/>
          <w:color w:val="auto"/>
          <w:highlight w:val="none"/>
        </w:rPr>
        <w:t>7.供应商认为采购代理机构需要对磋商文件进行澄清或者修改的，可以在响应文件递交的截止时间前以书面形式向采购代理机构提出申请，由采购代理机构决定是否采纳供应商的申请事项。</w:t>
      </w:r>
    </w:p>
    <w:p>
      <w:pPr>
        <w:pStyle w:val="32"/>
        <w:ind w:firstLine="482"/>
        <w:rPr>
          <w:color w:val="auto"/>
          <w:highlight w:val="none"/>
        </w:rPr>
      </w:pPr>
      <w:bookmarkStart w:id="57" w:name="_Toc9809"/>
      <w:r>
        <w:rPr>
          <w:rFonts w:hint="eastAsia"/>
          <w:color w:val="auto"/>
          <w:highlight w:val="none"/>
        </w:rPr>
        <w:t>实质性变动</w:t>
      </w:r>
      <w:bookmarkEnd w:id="56"/>
      <w:bookmarkEnd w:id="57"/>
    </w:p>
    <w:p>
      <w:pPr>
        <w:pStyle w:val="34"/>
        <w:rPr>
          <w:color w:val="auto"/>
          <w:highlight w:val="none"/>
        </w:rPr>
      </w:pPr>
      <w:r>
        <w:rPr>
          <w:rFonts w:hint="eastAsia"/>
          <w:color w:val="auto"/>
          <w:highlight w:val="none"/>
        </w:rPr>
        <w:t>磋商小组对磋商文件作出的实质性变动是磋商文件的有效组成部分，磋商小组应当及时以书面形式同时通知所有参加磋商的供应商。</w:t>
      </w:r>
    </w:p>
    <w:p>
      <w:pPr>
        <w:pStyle w:val="32"/>
        <w:ind w:firstLine="482"/>
        <w:rPr>
          <w:color w:val="auto"/>
          <w:highlight w:val="none"/>
        </w:rPr>
      </w:pPr>
      <w:bookmarkStart w:id="58" w:name="_Toc30033"/>
      <w:bookmarkStart w:id="59" w:name="_Toc30694"/>
      <w:r>
        <w:rPr>
          <w:rFonts w:hint="eastAsia"/>
          <w:color w:val="auto"/>
          <w:highlight w:val="none"/>
        </w:rPr>
        <w:t>答疑会和现场考察</w:t>
      </w:r>
      <w:bookmarkEnd w:id="58"/>
      <w:bookmarkEnd w:id="59"/>
    </w:p>
    <w:p>
      <w:pPr>
        <w:pStyle w:val="33"/>
        <w:ind w:firstLine="480"/>
        <w:rPr>
          <w:color w:val="auto"/>
          <w:highlight w:val="none"/>
        </w:rPr>
      </w:pPr>
      <w:r>
        <w:rPr>
          <w:rFonts w:hint="eastAsia"/>
          <w:color w:val="auto"/>
          <w:highlight w:val="none"/>
        </w:rPr>
        <w:t>根据采购项目和具体情况，采购人、采购代理机构认为有必要，可以在磋商文件提供期限截止后响应文件提交截止前，组织已获取磋商文件的潜在供应商现场考察或者召开答疑会。</w:t>
      </w:r>
    </w:p>
    <w:p>
      <w:pPr>
        <w:pStyle w:val="33"/>
        <w:ind w:firstLine="480"/>
        <w:rPr>
          <w:color w:val="auto"/>
          <w:highlight w:val="none"/>
        </w:rPr>
      </w:pPr>
      <w:r>
        <w:rPr>
          <w:rFonts w:hint="eastAsia"/>
          <w:color w:val="auto"/>
          <w:highlight w:val="none"/>
        </w:rPr>
        <w:t>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作无效处理。</w:t>
      </w:r>
    </w:p>
    <w:p>
      <w:pPr>
        <w:pStyle w:val="33"/>
        <w:ind w:firstLine="480"/>
        <w:rPr>
          <w:color w:val="auto"/>
          <w:highlight w:val="none"/>
        </w:rPr>
      </w:pPr>
      <w:r>
        <w:rPr>
          <w:rFonts w:hint="eastAsia"/>
          <w:color w:val="auto"/>
          <w:highlight w:val="none"/>
        </w:rPr>
        <w:t>供应商考察现场或者参加答疑会所发生的一切费用由供应商自行承担。</w:t>
      </w:r>
    </w:p>
    <w:p>
      <w:pPr>
        <w:pStyle w:val="31"/>
        <w:spacing w:before="120" w:beforeLines="50" w:after="120" w:afterLines="50"/>
        <w:ind w:firstLine="0" w:firstLineChars="0"/>
        <w:jc w:val="center"/>
        <w:rPr>
          <w:color w:val="auto"/>
          <w:sz w:val="36"/>
          <w:szCs w:val="36"/>
          <w:highlight w:val="none"/>
        </w:rPr>
      </w:pPr>
      <w:bookmarkStart w:id="60" w:name="_Toc20983"/>
      <w:r>
        <w:rPr>
          <w:rFonts w:hint="eastAsia"/>
          <w:color w:val="auto"/>
          <w:sz w:val="36"/>
          <w:szCs w:val="36"/>
          <w:highlight w:val="none"/>
        </w:rPr>
        <w:t>响应文件</w:t>
      </w:r>
      <w:bookmarkEnd w:id="60"/>
    </w:p>
    <w:p>
      <w:pPr>
        <w:pStyle w:val="32"/>
        <w:ind w:firstLine="482"/>
        <w:rPr>
          <w:color w:val="auto"/>
          <w:highlight w:val="none"/>
        </w:rPr>
      </w:pPr>
      <w:bookmarkStart w:id="61" w:name="_Toc23165"/>
      <w:bookmarkStart w:id="62" w:name="_Toc9698"/>
      <w:bookmarkStart w:id="63" w:name="_Toc7367"/>
      <w:bookmarkStart w:id="64" w:name="_Toc1594"/>
      <w:bookmarkStart w:id="65" w:name="_Toc32601"/>
      <w:r>
        <w:rPr>
          <w:rFonts w:hint="eastAsia"/>
          <w:color w:val="auto"/>
          <w:highlight w:val="none"/>
        </w:rPr>
        <w:t>响应文件的语言(实质性要求)</w:t>
      </w:r>
      <w:bookmarkEnd w:id="61"/>
      <w:bookmarkEnd w:id="62"/>
    </w:p>
    <w:p>
      <w:pPr>
        <w:pStyle w:val="41"/>
        <w:numPr>
          <w:ilvl w:val="1"/>
          <w:numId w:val="0"/>
        </w:numPr>
        <w:ind w:firstLine="480" w:firstLineChars="200"/>
        <w:rPr>
          <w:color w:val="auto"/>
          <w:highlight w:val="none"/>
        </w:rPr>
      </w:pPr>
      <w:bookmarkStart w:id="66" w:name="_Toc21182"/>
      <w:r>
        <w:rPr>
          <w:rFonts w:hint="eastAsia"/>
          <w:color w:val="auto"/>
          <w:highlight w:val="none"/>
        </w:rPr>
        <w:t>1.供应商提交的响应文件以及供应商与招标采购单位就有关磋商的所有来往书面文件均须使用中文。响应文件中如附有外文资料，必须逐一对应翻译成中文并加盖供应商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41"/>
        <w:numPr>
          <w:ilvl w:val="1"/>
          <w:numId w:val="0"/>
        </w:numPr>
        <w:ind w:firstLine="480" w:firstLineChars="200"/>
        <w:rPr>
          <w:color w:val="auto"/>
          <w:highlight w:val="none"/>
        </w:rPr>
      </w:pPr>
      <w:r>
        <w:rPr>
          <w:rFonts w:hint="eastAsia"/>
          <w:color w:val="auto"/>
          <w:highlight w:val="none"/>
        </w:rPr>
        <w:t>2.翻译的中文资料与外文资料如果出现差异和矛盾时，以中文为准。涉嫌提供虚假材料的按照相关法律法规处理。</w:t>
      </w:r>
    </w:p>
    <w:p>
      <w:pPr>
        <w:pStyle w:val="41"/>
        <w:numPr>
          <w:ilvl w:val="1"/>
          <w:numId w:val="0"/>
        </w:numPr>
        <w:ind w:firstLine="480" w:firstLineChars="200"/>
        <w:rPr>
          <w:color w:val="auto"/>
          <w:highlight w:val="none"/>
        </w:rPr>
      </w:pPr>
      <w:r>
        <w:rPr>
          <w:rFonts w:hint="eastAsia"/>
          <w:color w:val="auto"/>
          <w:highlight w:val="none"/>
        </w:rPr>
        <w:t>3.如因未翻译而造成对供应商的不利后果，由供应商承担。</w:t>
      </w:r>
    </w:p>
    <w:p>
      <w:pPr>
        <w:pStyle w:val="32"/>
        <w:ind w:firstLine="482"/>
        <w:rPr>
          <w:color w:val="auto"/>
          <w:highlight w:val="none"/>
        </w:rPr>
      </w:pPr>
      <w:bookmarkStart w:id="67" w:name="_Toc13109"/>
      <w:r>
        <w:rPr>
          <w:rFonts w:hint="eastAsia"/>
          <w:color w:val="auto"/>
          <w:highlight w:val="none"/>
        </w:rPr>
        <w:t>计量单位(实质性要求)</w:t>
      </w:r>
      <w:bookmarkEnd w:id="66"/>
      <w:bookmarkEnd w:id="67"/>
    </w:p>
    <w:p>
      <w:pPr>
        <w:pStyle w:val="34"/>
        <w:rPr>
          <w:color w:val="auto"/>
          <w:highlight w:val="none"/>
        </w:rPr>
      </w:pPr>
      <w:r>
        <w:rPr>
          <w:rFonts w:hint="eastAsia"/>
          <w:color w:val="auto"/>
          <w:highlight w:val="none"/>
        </w:rPr>
        <w:t>除采购需求中另有规定外，本采购项下的磋商均采用国家法定的计量单位。</w:t>
      </w:r>
    </w:p>
    <w:p>
      <w:pPr>
        <w:pStyle w:val="32"/>
        <w:ind w:firstLine="482"/>
        <w:rPr>
          <w:color w:val="auto"/>
          <w:highlight w:val="none"/>
        </w:rPr>
      </w:pPr>
      <w:bookmarkStart w:id="68" w:name="_Toc10530"/>
      <w:bookmarkStart w:id="69" w:name="_Toc9568"/>
      <w:r>
        <w:rPr>
          <w:rFonts w:hint="eastAsia"/>
          <w:color w:val="auto"/>
          <w:highlight w:val="none"/>
        </w:rPr>
        <w:t>知识产权(实质性要求)</w:t>
      </w:r>
      <w:bookmarkEnd w:id="68"/>
      <w:bookmarkEnd w:id="69"/>
    </w:p>
    <w:p>
      <w:pPr>
        <w:pStyle w:val="41"/>
        <w:numPr>
          <w:ilvl w:val="1"/>
          <w:numId w:val="0"/>
        </w:numPr>
        <w:ind w:firstLine="480" w:firstLineChars="200"/>
        <w:rPr>
          <w:color w:val="auto"/>
          <w:highlight w:val="none"/>
        </w:rPr>
      </w:pPr>
      <w:bookmarkStart w:id="70" w:name="_Toc23820"/>
      <w:r>
        <w:rPr>
          <w:rFonts w:hint="eastAsia"/>
          <w:color w:val="auto"/>
          <w:highlight w:val="none"/>
        </w:rPr>
        <w:t>1.供应商在本项目使用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41"/>
        <w:numPr>
          <w:ilvl w:val="1"/>
          <w:numId w:val="0"/>
        </w:numPr>
        <w:ind w:firstLine="480" w:firstLineChars="200"/>
        <w:rPr>
          <w:color w:val="auto"/>
          <w:highlight w:val="none"/>
        </w:rPr>
      </w:pPr>
      <w:r>
        <w:rPr>
          <w:rFonts w:hint="eastAsia"/>
          <w:color w:val="auto"/>
          <w:highlight w:val="none"/>
        </w:rPr>
        <w:t>2.采购人享有本项目实施过程中产生的知识成果及知识产权。</w:t>
      </w:r>
    </w:p>
    <w:p>
      <w:pPr>
        <w:pStyle w:val="41"/>
        <w:numPr>
          <w:ilvl w:val="1"/>
          <w:numId w:val="0"/>
        </w:numPr>
        <w:ind w:firstLine="480" w:firstLineChars="200"/>
        <w:rPr>
          <w:color w:val="auto"/>
          <w:highlight w:val="none"/>
        </w:rPr>
      </w:pPr>
      <w:r>
        <w:rPr>
          <w:rFonts w:hint="eastAsia"/>
          <w:color w:val="auto"/>
          <w:highlight w:val="none"/>
        </w:rPr>
        <w:t>3.供应商如在项目实施过程中采用自有知识成果，需在响应文件中声明，并提供相关知识产权证明文件。使用该知识成果后，供应商需提供相关技术文档，并提供无限期技术支持，采购人享有永久使用权(含采购人委托第三方在该项目后续开发的使用权)。</w:t>
      </w:r>
    </w:p>
    <w:p>
      <w:pPr>
        <w:pStyle w:val="41"/>
        <w:numPr>
          <w:ilvl w:val="1"/>
          <w:numId w:val="0"/>
        </w:numPr>
        <w:ind w:firstLine="480" w:firstLineChars="200"/>
        <w:rPr>
          <w:color w:val="auto"/>
          <w:highlight w:val="none"/>
        </w:rPr>
      </w:pPr>
      <w:r>
        <w:rPr>
          <w:rFonts w:hint="eastAsia"/>
          <w:color w:val="auto"/>
          <w:highlight w:val="none"/>
        </w:rPr>
        <w:t>4.如采用供应商所不拥有的知识产权，则在报价中必须包括合法获取该知识产权的相关费用。</w:t>
      </w:r>
    </w:p>
    <w:p>
      <w:pPr>
        <w:pStyle w:val="41"/>
        <w:numPr>
          <w:ilvl w:val="1"/>
          <w:numId w:val="0"/>
        </w:numPr>
        <w:ind w:left="480" w:leftChars="200"/>
        <w:rPr>
          <w:color w:val="auto"/>
          <w:highlight w:val="none"/>
        </w:rPr>
      </w:pPr>
      <w:r>
        <w:rPr>
          <w:rFonts w:hint="eastAsia"/>
          <w:color w:val="auto"/>
          <w:highlight w:val="none"/>
        </w:rPr>
        <w:t>5.如采购项目涉及知识产权时按照此条要求执行，并在评审时作实质性审查。</w:t>
      </w:r>
    </w:p>
    <w:p>
      <w:pPr>
        <w:pStyle w:val="32"/>
        <w:ind w:firstLine="482"/>
        <w:rPr>
          <w:color w:val="auto"/>
          <w:highlight w:val="none"/>
        </w:rPr>
      </w:pPr>
      <w:bookmarkStart w:id="71" w:name="_Toc588"/>
      <w:r>
        <w:rPr>
          <w:rFonts w:hint="eastAsia"/>
          <w:color w:val="auto"/>
          <w:highlight w:val="none"/>
        </w:rPr>
        <w:t>响应文件格式要求</w:t>
      </w:r>
      <w:bookmarkEnd w:id="70"/>
      <w:bookmarkEnd w:id="71"/>
    </w:p>
    <w:p>
      <w:pPr>
        <w:pStyle w:val="41"/>
        <w:numPr>
          <w:ilvl w:val="1"/>
          <w:numId w:val="0"/>
        </w:numPr>
        <w:ind w:left="480" w:leftChars="200"/>
        <w:rPr>
          <w:color w:val="auto"/>
          <w:highlight w:val="none"/>
        </w:rPr>
      </w:pPr>
      <w:bookmarkStart w:id="72" w:name="_Toc13765"/>
      <w:r>
        <w:rPr>
          <w:rFonts w:hint="eastAsia"/>
          <w:color w:val="auto"/>
          <w:highlight w:val="none"/>
        </w:rPr>
        <w:t>1.供应商应按照磋商文件第三章中提供的“响应文件格式”编制相关内容。</w:t>
      </w:r>
    </w:p>
    <w:p>
      <w:pPr>
        <w:pStyle w:val="41"/>
        <w:numPr>
          <w:ilvl w:val="1"/>
          <w:numId w:val="0"/>
        </w:numPr>
        <w:ind w:left="480" w:leftChars="200"/>
        <w:rPr>
          <w:color w:val="auto"/>
          <w:highlight w:val="none"/>
        </w:rPr>
      </w:pPr>
      <w:r>
        <w:rPr>
          <w:rFonts w:hint="eastAsia"/>
          <w:color w:val="auto"/>
          <w:highlight w:val="none"/>
        </w:rPr>
        <w:t>2.对于磋商文件没有格式要求的由供应商自行编写。</w:t>
      </w:r>
    </w:p>
    <w:p>
      <w:pPr>
        <w:pStyle w:val="32"/>
        <w:ind w:firstLine="482"/>
        <w:rPr>
          <w:color w:val="auto"/>
          <w:highlight w:val="none"/>
        </w:rPr>
      </w:pPr>
      <w:bookmarkStart w:id="73" w:name="_Toc21611"/>
      <w:r>
        <w:rPr>
          <w:rFonts w:hint="eastAsia"/>
          <w:color w:val="auto"/>
          <w:highlight w:val="none"/>
        </w:rPr>
        <w:t>磋商有效期(实质性要求)</w:t>
      </w:r>
      <w:bookmarkEnd w:id="72"/>
      <w:bookmarkEnd w:id="73"/>
    </w:p>
    <w:p>
      <w:pPr>
        <w:pStyle w:val="33"/>
        <w:ind w:firstLine="480"/>
        <w:rPr>
          <w:color w:val="auto"/>
          <w:highlight w:val="none"/>
        </w:rPr>
      </w:pPr>
      <w:r>
        <w:rPr>
          <w:rFonts w:hint="eastAsia"/>
          <w:color w:val="auto"/>
          <w:highlight w:val="none"/>
        </w:rPr>
        <w:t>磋商有效期为响应文件递交截止时间之日起90日。供应商响应文件中必须载明磋商有效期，响应文件中载明的磋商有效期可以长于磋商文件规定的期限，但不得短于磋商文件规定的期限。否则，其响应文件将作为无效响应处理。</w:t>
      </w:r>
    </w:p>
    <w:p>
      <w:pPr>
        <w:pStyle w:val="33"/>
        <w:ind w:firstLine="480"/>
        <w:rPr>
          <w:color w:val="auto"/>
          <w:highlight w:val="none"/>
        </w:rPr>
      </w:pPr>
      <w:r>
        <w:rPr>
          <w:rFonts w:hint="eastAsia"/>
          <w:color w:val="auto"/>
          <w:highlight w:val="none"/>
        </w:rPr>
        <w:t>因不可抗力事件，采购人可于磋商有效期届满之前与供应商协商延长磋商有效期。供应商拒绝延长磋商有效期的，不得再参与该项目后续采购活动，但由此给供应商造成的损失，采购人可以自主决定是否可以给予适当补偿。供应商同意延长磋商有效期的，不能修改响应文件。</w:t>
      </w:r>
    </w:p>
    <w:p>
      <w:pPr>
        <w:pStyle w:val="33"/>
        <w:ind w:firstLine="480"/>
        <w:rPr>
          <w:color w:val="auto"/>
          <w:highlight w:val="none"/>
        </w:rPr>
      </w:pPr>
      <w:r>
        <w:rPr>
          <w:rFonts w:hint="eastAsia"/>
          <w:color w:val="auto"/>
          <w:highlight w:val="none"/>
        </w:rPr>
        <w:t>因采购人采购需求作出必要调整，采购人可于磋商有效期届满之前与供应商协商延长磋商有效期。供应商拒绝延长磋商有效期的，不得再参与该项目后续采购活动，但由此给供应商造成的损失，采购人可以自主决定是否可以给予适当补偿。供应商同意延长磋商有效期的，不能修改响应文件。</w:t>
      </w:r>
    </w:p>
    <w:p>
      <w:pPr>
        <w:pStyle w:val="32"/>
        <w:ind w:firstLine="482"/>
        <w:rPr>
          <w:color w:val="auto"/>
          <w:highlight w:val="none"/>
        </w:rPr>
      </w:pPr>
      <w:bookmarkStart w:id="74" w:name="_Toc16657"/>
      <w:bookmarkStart w:id="75" w:name="_Toc23013"/>
      <w:r>
        <w:rPr>
          <w:rFonts w:hint="eastAsia"/>
          <w:color w:val="auto"/>
          <w:highlight w:val="none"/>
        </w:rPr>
        <w:t>联合体磋商</w:t>
      </w:r>
      <w:bookmarkEnd w:id="74"/>
      <w:r>
        <w:rPr>
          <w:rFonts w:hint="eastAsia"/>
          <w:color w:val="auto"/>
          <w:highlight w:val="none"/>
          <w:lang w:val="zh-CN"/>
        </w:rPr>
        <w:t>(实质性要求)</w:t>
      </w:r>
      <w:bookmarkEnd w:id="75"/>
    </w:p>
    <w:p>
      <w:pPr>
        <w:pStyle w:val="34"/>
        <w:rPr>
          <w:color w:val="auto"/>
          <w:highlight w:val="none"/>
        </w:rPr>
      </w:pPr>
      <w:r>
        <w:rPr>
          <w:rFonts w:hint="eastAsia"/>
          <w:color w:val="auto"/>
          <w:highlight w:val="none"/>
        </w:rPr>
        <w:t>本项目不接受联合体参加本次采购活动。</w:t>
      </w:r>
    </w:p>
    <w:p>
      <w:pPr>
        <w:pStyle w:val="32"/>
        <w:ind w:firstLine="482"/>
        <w:rPr>
          <w:color w:val="auto"/>
          <w:highlight w:val="none"/>
        </w:rPr>
      </w:pPr>
      <w:bookmarkStart w:id="76" w:name="_Toc22496"/>
      <w:bookmarkStart w:id="77" w:name="_Toc24757"/>
      <w:r>
        <w:rPr>
          <w:rFonts w:hint="eastAsia"/>
          <w:color w:val="auto"/>
          <w:highlight w:val="none"/>
        </w:rPr>
        <w:t>响应文件</w:t>
      </w:r>
      <w:bookmarkEnd w:id="63"/>
      <w:bookmarkEnd w:id="64"/>
      <w:bookmarkEnd w:id="65"/>
      <w:r>
        <w:rPr>
          <w:rFonts w:hint="eastAsia"/>
          <w:color w:val="auto"/>
          <w:highlight w:val="none"/>
        </w:rPr>
        <w:t>组成(实质性要求)</w:t>
      </w:r>
      <w:bookmarkEnd w:id="76"/>
      <w:bookmarkEnd w:id="77"/>
    </w:p>
    <w:p>
      <w:pPr>
        <w:pStyle w:val="33"/>
        <w:ind w:firstLine="480"/>
        <w:rPr>
          <w:rStyle w:val="67"/>
          <w:color w:val="auto"/>
          <w:highlight w:val="none"/>
        </w:rPr>
      </w:pPr>
      <w:r>
        <w:rPr>
          <w:rStyle w:val="67"/>
          <w:rFonts w:hint="eastAsia"/>
          <w:color w:val="auto"/>
          <w:highlight w:val="none"/>
        </w:rPr>
        <w:t>供应商须按竞争性磋商文件的要求编写响应文件，对竞争性磋商文件提出的要求和条件做出实质性响应。响应文件应包括但不限于下列内容：</w:t>
      </w:r>
    </w:p>
    <w:p>
      <w:pPr>
        <w:pStyle w:val="43"/>
        <w:numPr>
          <w:ilvl w:val="0"/>
          <w:numId w:val="14"/>
        </w:numPr>
        <w:adjustRightInd/>
        <w:ind w:left="0" w:firstLine="480"/>
        <w:rPr>
          <w:color w:val="auto"/>
          <w:highlight w:val="none"/>
        </w:rPr>
      </w:pPr>
      <w:r>
        <w:rPr>
          <w:rFonts w:hint="eastAsia"/>
          <w:color w:val="auto"/>
          <w:highlight w:val="none"/>
        </w:rPr>
        <w:t>文件一：资格、资质性及其他类似效力响应文件</w:t>
      </w:r>
    </w:p>
    <w:p>
      <w:pPr>
        <w:pStyle w:val="34"/>
        <w:adjustRightInd/>
        <w:rPr>
          <w:color w:val="auto"/>
          <w:highlight w:val="none"/>
        </w:rPr>
      </w:pPr>
      <w:r>
        <w:rPr>
          <w:rFonts w:hint="eastAsia"/>
          <w:color w:val="auto"/>
          <w:highlight w:val="none"/>
        </w:rPr>
        <w:t>包括但不限于竞争性磋商文件第四章规定的资格证明材料。</w:t>
      </w:r>
    </w:p>
    <w:p>
      <w:pPr>
        <w:pStyle w:val="43"/>
        <w:numPr>
          <w:ilvl w:val="0"/>
          <w:numId w:val="14"/>
        </w:numPr>
        <w:adjustRightInd/>
        <w:ind w:left="0" w:firstLine="480"/>
        <w:rPr>
          <w:color w:val="auto"/>
          <w:highlight w:val="none"/>
        </w:rPr>
      </w:pPr>
      <w:r>
        <w:rPr>
          <w:rFonts w:hint="eastAsia"/>
          <w:color w:val="auto"/>
          <w:highlight w:val="none"/>
        </w:rPr>
        <w:t>文件二：其他响应文件</w:t>
      </w:r>
    </w:p>
    <w:p>
      <w:pPr>
        <w:pStyle w:val="34"/>
        <w:adjustRightInd/>
        <w:rPr>
          <w:color w:val="auto"/>
          <w:highlight w:val="none"/>
        </w:rPr>
      </w:pPr>
      <w:r>
        <w:rPr>
          <w:rFonts w:hint="eastAsia"/>
          <w:color w:val="auto"/>
          <w:highlight w:val="none"/>
        </w:rPr>
        <w:t>包括但不限于竞争性磋商文件第三章格式要求的内容。</w:t>
      </w:r>
    </w:p>
    <w:p>
      <w:pPr>
        <w:pStyle w:val="33"/>
        <w:ind w:firstLine="480"/>
        <w:rPr>
          <w:color w:val="auto"/>
          <w:highlight w:val="none"/>
        </w:rPr>
      </w:pPr>
      <w:r>
        <w:rPr>
          <w:rFonts w:hint="eastAsia"/>
          <w:color w:val="auto"/>
          <w:highlight w:val="none"/>
        </w:rPr>
        <w:t>补充、修改的内容作为响应文件的组成部分。</w:t>
      </w:r>
    </w:p>
    <w:p>
      <w:pPr>
        <w:pStyle w:val="33"/>
        <w:ind w:firstLine="480"/>
        <w:rPr>
          <w:color w:val="auto"/>
          <w:highlight w:val="none"/>
        </w:rPr>
      </w:pPr>
      <w:r>
        <w:rPr>
          <w:rFonts w:hint="eastAsia"/>
          <w:color w:val="auto"/>
          <w:highlight w:val="none"/>
        </w:rPr>
        <w:t>最后报价是供应商响应文件的有效组成部分。</w:t>
      </w:r>
    </w:p>
    <w:p>
      <w:pPr>
        <w:pStyle w:val="32"/>
        <w:ind w:firstLine="482"/>
        <w:rPr>
          <w:color w:val="auto"/>
          <w:highlight w:val="none"/>
        </w:rPr>
      </w:pPr>
      <w:bookmarkStart w:id="78" w:name="_Toc8102"/>
      <w:bookmarkStart w:id="79" w:name="_Toc4939"/>
      <w:bookmarkStart w:id="80" w:name="_Toc2322"/>
      <w:bookmarkStart w:id="81" w:name="_Toc30559"/>
      <w:bookmarkStart w:id="82" w:name="_Toc27878"/>
      <w:r>
        <w:rPr>
          <w:rFonts w:hint="eastAsia"/>
          <w:color w:val="auto"/>
          <w:highlight w:val="none"/>
        </w:rPr>
        <w:t>报价</w:t>
      </w:r>
      <w:bookmarkEnd w:id="78"/>
      <w:bookmarkEnd w:id="79"/>
      <w:bookmarkEnd w:id="80"/>
      <w:r>
        <w:rPr>
          <w:rFonts w:hint="eastAsia"/>
          <w:color w:val="auto"/>
          <w:highlight w:val="none"/>
        </w:rPr>
        <w:t>要求(实质性要求)</w:t>
      </w:r>
      <w:bookmarkEnd w:id="81"/>
      <w:bookmarkEnd w:id="82"/>
    </w:p>
    <w:p>
      <w:pPr>
        <w:pStyle w:val="33"/>
        <w:ind w:firstLine="480"/>
        <w:rPr>
          <w:color w:val="auto"/>
          <w:highlight w:val="none"/>
        </w:rPr>
      </w:pPr>
      <w:r>
        <w:rPr>
          <w:rFonts w:hint="eastAsia"/>
          <w:color w:val="auto"/>
          <w:highlight w:val="none"/>
        </w:rPr>
        <w:t>所有报价货币一律以人民币报价。采购人不接受任何非人民币币种的报价。</w:t>
      </w:r>
    </w:p>
    <w:p>
      <w:pPr>
        <w:pStyle w:val="33"/>
        <w:ind w:firstLine="482"/>
        <w:rPr>
          <w:b/>
          <w:bCs/>
          <w:color w:val="auto"/>
          <w:highlight w:val="none"/>
        </w:rPr>
      </w:pPr>
      <w:r>
        <w:rPr>
          <w:rFonts w:hint="eastAsia"/>
          <w:b/>
          <w:bCs/>
          <w:color w:val="auto"/>
          <w:highlight w:val="none"/>
        </w:rPr>
        <w:t>供应商在响应文件中可不提供报价，在磋商现场由评审委员会通知现场报价(报价表格式由采购代理机构现场提供，格式详见第三章)。</w:t>
      </w:r>
    </w:p>
    <w:p>
      <w:pPr>
        <w:pStyle w:val="33"/>
        <w:ind w:firstLine="480"/>
        <w:rPr>
          <w:color w:val="auto"/>
          <w:highlight w:val="none"/>
        </w:rPr>
      </w:pPr>
      <w:r>
        <w:rPr>
          <w:rFonts w:hint="eastAsia"/>
          <w:color w:val="auto"/>
          <w:highlight w:val="none"/>
        </w:rPr>
        <w:t>本次磋商采购最后报价采用现场报价，通过资格审查及实质性审查的供应商按磋商小组要求进行报价。</w:t>
      </w:r>
    </w:p>
    <w:p>
      <w:pPr>
        <w:pStyle w:val="33"/>
        <w:ind w:firstLine="480"/>
        <w:rPr>
          <w:color w:val="auto"/>
          <w:highlight w:val="none"/>
        </w:rPr>
      </w:pPr>
      <w:r>
        <w:rPr>
          <w:rFonts w:hint="eastAsia"/>
          <w:color w:val="auto"/>
          <w:highlight w:val="none"/>
          <w:lang w:val="zh-CN"/>
        </w:rPr>
        <w:t>供应商报价(包括最后报价)应为完成本竞争性磋商文件中所要求的</w:t>
      </w:r>
      <w:r>
        <w:rPr>
          <w:rFonts w:hint="eastAsia"/>
          <w:color w:val="auto"/>
          <w:highlight w:val="none"/>
        </w:rPr>
        <w:t>服务</w:t>
      </w:r>
      <w:r>
        <w:rPr>
          <w:rFonts w:hint="eastAsia"/>
          <w:color w:val="auto"/>
          <w:highlight w:val="none"/>
          <w:lang w:val="zh-CN"/>
        </w:rPr>
        <w:t>所应包括内容的所有价格</w:t>
      </w:r>
      <w:r>
        <w:rPr>
          <w:rFonts w:hint="eastAsia"/>
          <w:color w:val="auto"/>
          <w:highlight w:val="none"/>
        </w:rPr>
        <w:t>(含招标代理服务费)</w:t>
      </w:r>
      <w:r>
        <w:rPr>
          <w:rFonts w:hint="eastAsia"/>
          <w:color w:val="auto"/>
          <w:highlight w:val="none"/>
          <w:lang w:val="zh-CN"/>
        </w:rPr>
        <w:t>。</w:t>
      </w:r>
    </w:p>
    <w:p>
      <w:pPr>
        <w:pStyle w:val="33"/>
        <w:ind w:firstLine="480"/>
        <w:rPr>
          <w:color w:val="auto"/>
          <w:highlight w:val="none"/>
        </w:rPr>
      </w:pPr>
      <w:r>
        <w:rPr>
          <w:rFonts w:hint="eastAsia"/>
          <w:color w:val="auto"/>
          <w:highlight w:val="none"/>
        </w:rPr>
        <w:t>成交供应商的成交价是以最后报价表的报价为准，并以此作为结算的依据。</w:t>
      </w:r>
    </w:p>
    <w:p>
      <w:pPr>
        <w:pStyle w:val="33"/>
        <w:ind w:firstLine="480"/>
        <w:rPr>
          <w:color w:val="auto"/>
          <w:highlight w:val="none"/>
        </w:rPr>
      </w:pPr>
      <w:r>
        <w:rPr>
          <w:rFonts w:hint="eastAsia"/>
          <w:color w:val="auto"/>
          <w:highlight w:val="none"/>
        </w:rPr>
        <w:t>供应商提交的</w:t>
      </w:r>
      <w:r>
        <w:rPr>
          <w:rFonts w:hint="eastAsia"/>
          <w:color w:val="auto"/>
          <w:highlight w:val="none"/>
          <w:lang w:val="zh-CN"/>
        </w:rPr>
        <w:t>报价(包括最后报价)</w:t>
      </w:r>
      <w:r>
        <w:rPr>
          <w:rFonts w:hint="eastAsia"/>
          <w:color w:val="auto"/>
          <w:highlight w:val="none"/>
        </w:rPr>
        <w:t>不得超过本项目采购预算，否则将被作为无效响应处理。</w:t>
      </w:r>
    </w:p>
    <w:p>
      <w:pPr>
        <w:pStyle w:val="32"/>
        <w:ind w:firstLine="482"/>
        <w:rPr>
          <w:color w:val="auto"/>
          <w:highlight w:val="none"/>
        </w:rPr>
      </w:pPr>
      <w:bookmarkStart w:id="83" w:name="_Toc4708"/>
      <w:bookmarkStart w:id="84" w:name="_Toc25616"/>
      <w:r>
        <w:rPr>
          <w:rFonts w:hint="eastAsia"/>
          <w:color w:val="auto"/>
          <w:highlight w:val="none"/>
        </w:rPr>
        <w:t>响应文件编制要求</w:t>
      </w:r>
      <w:bookmarkEnd w:id="83"/>
      <w:bookmarkEnd w:id="84"/>
    </w:p>
    <w:p>
      <w:pPr>
        <w:pStyle w:val="33"/>
        <w:ind w:firstLine="480"/>
        <w:rPr>
          <w:color w:val="auto"/>
          <w:highlight w:val="none"/>
        </w:rPr>
      </w:pPr>
      <w:r>
        <w:rPr>
          <w:rFonts w:hint="eastAsia"/>
          <w:color w:val="auto"/>
          <w:highlight w:val="none"/>
        </w:rPr>
        <w:t>响应文件分</w:t>
      </w:r>
      <w:r>
        <w:rPr>
          <w:rFonts w:hint="eastAsia"/>
          <w:b/>
          <w:bCs/>
          <w:color w:val="auto"/>
          <w:highlight w:val="none"/>
        </w:rPr>
        <w:t>《</w:t>
      </w:r>
      <w:r>
        <w:rPr>
          <w:rFonts w:hint="eastAsia"/>
          <w:b/>
          <w:bCs/>
          <w:color w:val="auto"/>
          <w:highlight w:val="none"/>
          <w:u w:val="single"/>
        </w:rPr>
        <w:t>资格、资质性及其他类似效力响应文件</w:t>
      </w:r>
      <w:r>
        <w:rPr>
          <w:rFonts w:hint="eastAsia"/>
          <w:b/>
          <w:bCs/>
          <w:color w:val="auto"/>
          <w:highlight w:val="none"/>
        </w:rPr>
        <w:t>》、《</w:t>
      </w:r>
      <w:r>
        <w:rPr>
          <w:rFonts w:hint="eastAsia"/>
          <w:b/>
          <w:bCs/>
          <w:color w:val="auto"/>
          <w:highlight w:val="none"/>
          <w:u w:val="single"/>
        </w:rPr>
        <w:t>其他响应文件</w:t>
      </w:r>
      <w:r>
        <w:rPr>
          <w:rFonts w:hint="eastAsia"/>
          <w:b/>
          <w:bCs/>
          <w:color w:val="auto"/>
          <w:highlight w:val="none"/>
        </w:rPr>
        <w:t>》</w:t>
      </w:r>
      <w:r>
        <w:rPr>
          <w:rFonts w:hint="eastAsia"/>
          <w:color w:val="auto"/>
          <w:highlight w:val="none"/>
        </w:rPr>
        <w:t>两部分，分册装订，内容不得相互混装。</w:t>
      </w:r>
    </w:p>
    <w:p>
      <w:pPr>
        <w:pStyle w:val="33"/>
        <w:ind w:firstLine="480"/>
        <w:rPr>
          <w:color w:val="auto"/>
          <w:highlight w:val="none"/>
        </w:rPr>
      </w:pPr>
      <w:r>
        <w:rPr>
          <w:rFonts w:hint="eastAsia"/>
          <w:color w:val="auto"/>
          <w:highlight w:val="none"/>
        </w:rPr>
        <w:t>本项目供应商只提供纸质响应文件。</w:t>
      </w:r>
    </w:p>
    <w:p>
      <w:pPr>
        <w:pStyle w:val="33"/>
        <w:ind w:firstLine="480"/>
        <w:rPr>
          <w:color w:val="auto"/>
          <w:highlight w:val="none"/>
        </w:rPr>
      </w:pPr>
      <w:r>
        <w:rPr>
          <w:rFonts w:hint="eastAsia"/>
          <w:color w:val="auto"/>
          <w:highlight w:val="none"/>
        </w:rPr>
        <w:t>供应商递交的响应文件为一式叁份，其中</w:t>
      </w:r>
      <w:r>
        <w:rPr>
          <w:rFonts w:hint="eastAsia"/>
          <w:b/>
          <w:bCs/>
          <w:color w:val="auto"/>
          <w:highlight w:val="none"/>
        </w:rPr>
        <w:t>正本壹份、副本贰份</w:t>
      </w:r>
      <w:r>
        <w:rPr>
          <w:rFonts w:hint="eastAsia"/>
          <w:color w:val="auto"/>
          <w:highlight w:val="none"/>
        </w:rPr>
        <w:t>。</w:t>
      </w:r>
    </w:p>
    <w:p>
      <w:pPr>
        <w:pStyle w:val="33"/>
        <w:ind w:firstLine="480"/>
        <w:rPr>
          <w:color w:val="auto"/>
          <w:highlight w:val="none"/>
        </w:rPr>
      </w:pPr>
      <w:r>
        <w:rPr>
          <w:rFonts w:hint="eastAsia"/>
          <w:color w:val="auto"/>
          <w:highlight w:val="none"/>
        </w:rPr>
        <w:t>响应文件正副本应用不褪色、不变质的墨水书写或打印，并装订成册。并在响应文件封面标明项目名称、项目编号、磋商日期、供应商名称以及“正本”、“副本”字样。</w:t>
      </w:r>
    </w:p>
    <w:p>
      <w:pPr>
        <w:pStyle w:val="33"/>
        <w:ind w:firstLine="480"/>
        <w:rPr>
          <w:color w:val="auto"/>
          <w:highlight w:val="none"/>
        </w:rPr>
      </w:pPr>
      <w:r>
        <w:rPr>
          <w:rFonts w:hint="eastAsia"/>
          <w:color w:val="auto"/>
          <w:highlight w:val="none"/>
        </w:rPr>
        <w:t>响应文件正本和副本统一用A4幅面纸印制(图、表及证件可以除外)，逐页编目编码。响应文件副本可采用正本的复印件，若正本和副本有不一致的内容，以正本书面响应文件为准。</w:t>
      </w:r>
    </w:p>
    <w:p>
      <w:pPr>
        <w:pStyle w:val="33"/>
        <w:ind w:firstLine="480"/>
        <w:rPr>
          <w:color w:val="auto"/>
          <w:highlight w:val="none"/>
        </w:rPr>
      </w:pPr>
      <w:r>
        <w:rPr>
          <w:rFonts w:hint="eastAsia"/>
          <w:color w:val="auto"/>
          <w:highlight w:val="none"/>
        </w:rPr>
        <w:t>响应文件的正本和副本应采用左侧胶装，不得散装或不得采用活页夹等可随时拆换的方式装订，不得有零散页。</w:t>
      </w:r>
    </w:p>
    <w:p>
      <w:pPr>
        <w:pStyle w:val="33"/>
        <w:ind w:firstLine="480"/>
        <w:rPr>
          <w:color w:val="auto"/>
          <w:highlight w:val="none"/>
        </w:rPr>
      </w:pPr>
      <w:r>
        <w:rPr>
          <w:rFonts w:hint="eastAsia"/>
          <w:color w:val="auto"/>
          <w:highlight w:val="none"/>
        </w:rPr>
        <w:t>若同一册的内容较多，可装订成若干分册，并在封面标明次序及册数。</w:t>
      </w:r>
    </w:p>
    <w:p>
      <w:pPr>
        <w:pStyle w:val="33"/>
        <w:ind w:firstLine="480"/>
        <w:rPr>
          <w:color w:val="auto"/>
          <w:highlight w:val="none"/>
        </w:rPr>
      </w:pPr>
      <w:r>
        <w:rPr>
          <w:rFonts w:hint="eastAsia"/>
          <w:color w:val="auto"/>
          <w:highlight w:val="none"/>
        </w:rPr>
        <w:t>响应文件中的证明、证件及附件等复印件应集中紧附在相应正文内容后面，并尽量与前面正文部分的顺序相对应。</w:t>
      </w:r>
    </w:p>
    <w:p>
      <w:pPr>
        <w:pStyle w:val="33"/>
        <w:ind w:firstLine="480"/>
        <w:rPr>
          <w:color w:val="auto"/>
          <w:highlight w:val="none"/>
        </w:rPr>
      </w:pPr>
      <w:r>
        <w:rPr>
          <w:rFonts w:hint="eastAsia"/>
          <w:color w:val="auto"/>
          <w:highlight w:val="none"/>
        </w:rPr>
        <w:t>竞争性磋商文件要求响应文件签字的应按竞争性磋商文件的规定和要求签字(注：供应商为法人的，应当由其法定代表人或者授权代表签字确认；供应商为其他组织的，应当由其主要负责人或者授权代表签字确认；签字可用具有法定效力的个人印章代替)；竞争性磋商文件要求响应文件盖章的应加盖供应商单位公章，不得使用专用章(如经济合同章、投标专用章等)或下属单位印章代替；竞争性磋商文件未规定格式的可由供应商自拟格式并加盖供应商单位公章</w:t>
      </w:r>
      <w:r>
        <w:rPr>
          <w:rFonts w:hint="eastAsia"/>
          <w:b/>
          <w:bCs/>
          <w:color w:val="auto"/>
          <w:highlight w:val="none"/>
        </w:rPr>
        <w:t>(实质性要求)</w:t>
      </w:r>
      <w:r>
        <w:rPr>
          <w:rFonts w:hint="eastAsia"/>
          <w:color w:val="auto"/>
          <w:highlight w:val="none"/>
        </w:rPr>
        <w:t>。</w:t>
      </w:r>
    </w:p>
    <w:p>
      <w:pPr>
        <w:pStyle w:val="33"/>
        <w:ind w:firstLine="480"/>
        <w:rPr>
          <w:color w:val="auto"/>
          <w:highlight w:val="none"/>
        </w:rPr>
      </w:pPr>
      <w:r>
        <w:rPr>
          <w:rFonts w:hint="eastAsia"/>
          <w:color w:val="auto"/>
          <w:highlight w:val="none"/>
        </w:rPr>
        <w:t>补充、修改的响应文件的装订也应按以上要求办理。</w:t>
      </w:r>
    </w:p>
    <w:p>
      <w:pPr>
        <w:pStyle w:val="32"/>
        <w:ind w:firstLine="482"/>
        <w:rPr>
          <w:color w:val="auto"/>
          <w:highlight w:val="none"/>
        </w:rPr>
      </w:pPr>
      <w:bookmarkStart w:id="85" w:name="_Toc26009"/>
      <w:bookmarkStart w:id="86" w:name="_Toc32748"/>
      <w:bookmarkStart w:id="87" w:name="_Toc27391"/>
      <w:bookmarkStart w:id="88" w:name="_Toc27272"/>
      <w:bookmarkStart w:id="89" w:name="_Toc6048"/>
      <w:bookmarkStart w:id="90" w:name="_Toc32589"/>
      <w:r>
        <w:rPr>
          <w:rFonts w:hint="eastAsia"/>
          <w:color w:val="auto"/>
          <w:highlight w:val="none"/>
        </w:rPr>
        <w:t>响应文件的密封和标注</w:t>
      </w:r>
      <w:bookmarkEnd w:id="85"/>
      <w:bookmarkEnd w:id="86"/>
    </w:p>
    <w:p>
      <w:pPr>
        <w:pStyle w:val="43"/>
        <w:numPr>
          <w:ilvl w:val="2"/>
          <w:numId w:val="0"/>
        </w:numPr>
        <w:ind w:firstLine="480" w:firstLineChars="200"/>
        <w:rPr>
          <w:color w:val="auto"/>
          <w:highlight w:val="none"/>
        </w:rPr>
      </w:pPr>
      <w:r>
        <w:rPr>
          <w:rFonts w:hint="eastAsia"/>
          <w:color w:val="auto"/>
          <w:highlight w:val="none"/>
        </w:rPr>
        <w:t>1.本项不属于本项目磋商小组评审范畴，由采购人、采购代理机构在接收响应文件时及时处理。</w:t>
      </w:r>
    </w:p>
    <w:p>
      <w:pPr>
        <w:pStyle w:val="43"/>
        <w:numPr>
          <w:ilvl w:val="2"/>
          <w:numId w:val="0"/>
        </w:numPr>
        <w:ind w:firstLine="480" w:firstLineChars="200"/>
        <w:rPr>
          <w:color w:val="auto"/>
          <w:highlight w:val="none"/>
        </w:rPr>
      </w:pPr>
      <w:r>
        <w:rPr>
          <w:rFonts w:hint="eastAsia"/>
          <w:color w:val="auto"/>
          <w:highlight w:val="none"/>
        </w:rPr>
        <w:t>2.响应文件可以单独密封包装，也可以将所有响应文件密封包装在一个密封袋内。</w:t>
      </w:r>
    </w:p>
    <w:p>
      <w:pPr>
        <w:pStyle w:val="43"/>
        <w:numPr>
          <w:ilvl w:val="2"/>
          <w:numId w:val="0"/>
        </w:numPr>
        <w:ind w:firstLine="480" w:firstLineChars="200"/>
        <w:rPr>
          <w:color w:val="auto"/>
          <w:highlight w:val="none"/>
        </w:rPr>
      </w:pPr>
      <w:r>
        <w:rPr>
          <w:rFonts w:hint="eastAsia"/>
          <w:color w:val="auto"/>
          <w:highlight w:val="none"/>
        </w:rPr>
        <w:t>3.响应文件密封袋的最外层应清楚地标明采购项目名称、项目编号、供应商名称、磋商日期。</w:t>
      </w:r>
    </w:p>
    <w:p>
      <w:pPr>
        <w:pStyle w:val="43"/>
        <w:numPr>
          <w:ilvl w:val="2"/>
          <w:numId w:val="0"/>
        </w:numPr>
        <w:ind w:firstLine="480" w:firstLineChars="200"/>
        <w:rPr>
          <w:color w:val="auto"/>
          <w:highlight w:val="none"/>
        </w:rPr>
      </w:pPr>
      <w:r>
        <w:rPr>
          <w:rFonts w:hint="eastAsia"/>
          <w:color w:val="auto"/>
          <w:highlight w:val="none"/>
        </w:rPr>
        <w:t>4.所有外层密封袋的封口处应粘贴牢固。</w:t>
      </w:r>
    </w:p>
    <w:p>
      <w:pPr>
        <w:pStyle w:val="43"/>
        <w:numPr>
          <w:ilvl w:val="2"/>
          <w:numId w:val="0"/>
        </w:numPr>
        <w:ind w:firstLine="480" w:firstLineChars="200"/>
        <w:rPr>
          <w:color w:val="auto"/>
          <w:highlight w:val="none"/>
        </w:rPr>
      </w:pPr>
      <w:r>
        <w:rPr>
          <w:rFonts w:hint="eastAsia"/>
          <w:color w:val="auto"/>
          <w:highlight w:val="none"/>
        </w:rPr>
        <w:t>5.未按以上要求进行密封和标注的响应文件，采购人、采购代理机构将拒收或者在响应文件递交截止时间前按照磋商文件要求修改完善后接收。</w:t>
      </w:r>
    </w:p>
    <w:p>
      <w:pPr>
        <w:pStyle w:val="32"/>
        <w:ind w:firstLine="482"/>
        <w:rPr>
          <w:color w:val="auto"/>
          <w:highlight w:val="none"/>
        </w:rPr>
      </w:pPr>
      <w:bookmarkStart w:id="91" w:name="_Toc14909"/>
      <w:r>
        <w:rPr>
          <w:rFonts w:hint="eastAsia"/>
          <w:color w:val="auto"/>
          <w:highlight w:val="none"/>
        </w:rPr>
        <w:t>响应文件的递交</w:t>
      </w:r>
      <w:bookmarkEnd w:id="87"/>
      <w:bookmarkEnd w:id="88"/>
      <w:bookmarkEnd w:id="89"/>
      <w:bookmarkEnd w:id="90"/>
      <w:bookmarkEnd w:id="91"/>
    </w:p>
    <w:p>
      <w:pPr>
        <w:pStyle w:val="33"/>
        <w:ind w:firstLine="480"/>
        <w:rPr>
          <w:color w:val="auto"/>
          <w:highlight w:val="none"/>
        </w:rPr>
      </w:pPr>
      <w:r>
        <w:rPr>
          <w:rFonts w:hint="eastAsia"/>
          <w:color w:val="auto"/>
          <w:highlight w:val="none"/>
        </w:rPr>
        <w:t>供应商应在竞争性磋商文件规定的响应文件递交截止时间前，将响应文件按磋商文件规定密封、签署、盖章后送达磋商地点。</w:t>
      </w:r>
      <w:r>
        <w:rPr>
          <w:rFonts w:hint="eastAsia"/>
          <w:b/>
          <w:bCs/>
          <w:color w:val="auto"/>
          <w:highlight w:val="none"/>
        </w:rPr>
        <w:t>逾期送达的响应文件为无效文件</w:t>
      </w:r>
      <w:r>
        <w:rPr>
          <w:rFonts w:hint="eastAsia"/>
          <w:color w:val="auto"/>
          <w:highlight w:val="none"/>
        </w:rPr>
        <w:t>，将被采购代理机构拒收。</w:t>
      </w:r>
    </w:p>
    <w:p>
      <w:pPr>
        <w:pStyle w:val="33"/>
        <w:ind w:firstLine="480"/>
        <w:rPr>
          <w:color w:val="auto"/>
          <w:highlight w:val="none"/>
        </w:rPr>
      </w:pPr>
      <w:r>
        <w:rPr>
          <w:rFonts w:hint="eastAsia"/>
          <w:color w:val="auto"/>
          <w:highlight w:val="none"/>
        </w:rPr>
        <w:t>递交响应文件时，供应商名称和响应文件的项目编号应当与报名供应商名称和磋商文件的项目编号一致。但是，响应文件实质内容与报名供应商名称和磋商文件的项目编号一致，只是封面文字错误的，可以在评审过程中当面予以澄清，以有效的澄清材料作为认定响应文件是否有效的依据。</w:t>
      </w:r>
    </w:p>
    <w:p>
      <w:pPr>
        <w:pStyle w:val="33"/>
        <w:ind w:firstLine="480"/>
        <w:rPr>
          <w:color w:val="auto"/>
          <w:highlight w:val="none"/>
        </w:rPr>
      </w:pPr>
      <w:r>
        <w:rPr>
          <w:rFonts w:hint="eastAsia"/>
          <w:color w:val="auto"/>
          <w:highlight w:val="none"/>
        </w:rPr>
        <w:t>本次竞争性磋商不接收邮寄的响应文件。</w:t>
      </w:r>
    </w:p>
    <w:p>
      <w:pPr>
        <w:pStyle w:val="32"/>
        <w:ind w:firstLine="482"/>
        <w:rPr>
          <w:color w:val="auto"/>
          <w:highlight w:val="none"/>
        </w:rPr>
      </w:pPr>
      <w:bookmarkStart w:id="92" w:name="_Toc11511"/>
      <w:bookmarkStart w:id="93" w:name="_Toc27583"/>
      <w:r>
        <w:rPr>
          <w:rFonts w:hint="eastAsia"/>
          <w:color w:val="auto"/>
          <w:highlight w:val="none"/>
        </w:rPr>
        <w:t>响应文件的修改和撤回</w:t>
      </w:r>
      <w:bookmarkEnd w:id="92"/>
      <w:bookmarkEnd w:id="93"/>
    </w:p>
    <w:p>
      <w:pPr>
        <w:pStyle w:val="33"/>
        <w:ind w:firstLine="480"/>
        <w:rPr>
          <w:color w:val="auto"/>
          <w:highlight w:val="none"/>
        </w:rPr>
      </w:pPr>
      <w:r>
        <w:rPr>
          <w:rFonts w:hint="eastAsia"/>
          <w:color w:val="auto"/>
          <w:highlight w:val="none"/>
        </w:rPr>
        <w:t>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补充、修改的内容应当按照磋商文件要求签署、盖章、密封后，作为响应文件的组成部分。</w:t>
      </w:r>
    </w:p>
    <w:p>
      <w:pPr>
        <w:pStyle w:val="33"/>
        <w:ind w:firstLine="480"/>
        <w:rPr>
          <w:color w:val="auto"/>
          <w:highlight w:val="none"/>
        </w:rPr>
      </w:pPr>
      <w:r>
        <w:rPr>
          <w:rFonts w:hint="eastAsia"/>
          <w:color w:val="auto"/>
          <w:highlight w:val="none"/>
        </w:rPr>
        <w:t>供应商的补充、修改或撤回申请书，应由其法定代表人/单位负责人或授权代表签署并盖单位公章。补充、修改应按磋商文件规定进行密封和标注，并在密封袋上标注“补充”、“修改”字样。</w:t>
      </w:r>
    </w:p>
    <w:p>
      <w:pPr>
        <w:pStyle w:val="33"/>
        <w:ind w:firstLine="480"/>
        <w:rPr>
          <w:color w:val="auto"/>
          <w:highlight w:val="none"/>
        </w:rPr>
      </w:pPr>
      <w:r>
        <w:rPr>
          <w:rFonts w:hint="eastAsia"/>
          <w:color w:val="auto"/>
          <w:highlight w:val="none"/>
        </w:rPr>
        <w:t>在响应文件递交截止时间之后，供应商不得对其递交的响应文件进行撤回。</w:t>
      </w:r>
    </w:p>
    <w:p>
      <w:pPr>
        <w:pStyle w:val="33"/>
        <w:ind w:firstLine="480"/>
        <w:rPr>
          <w:color w:val="auto"/>
          <w:highlight w:val="none"/>
        </w:rPr>
      </w:pPr>
      <w:r>
        <w:rPr>
          <w:rFonts w:hint="eastAsia"/>
          <w:color w:val="auto"/>
          <w:highlight w:val="none"/>
        </w:rPr>
        <w:t>供应商不得在递交截止时间起至响应文件有效期期满前撤销其响应文件，否则将认定其响应文件有效期的承诺为虚假承诺，并依法追究其法律责任。</w:t>
      </w:r>
    </w:p>
    <w:p>
      <w:pPr>
        <w:pStyle w:val="32"/>
        <w:ind w:firstLine="482"/>
        <w:rPr>
          <w:color w:val="auto"/>
          <w:highlight w:val="none"/>
        </w:rPr>
      </w:pPr>
      <w:bookmarkStart w:id="94" w:name="_Toc14919"/>
      <w:bookmarkStart w:id="95" w:name="_Toc17928"/>
      <w:bookmarkStart w:id="96" w:name="_Toc9598"/>
      <w:bookmarkStart w:id="97" w:name="_Toc31639"/>
      <w:r>
        <w:rPr>
          <w:rFonts w:hint="eastAsia"/>
          <w:color w:val="auto"/>
          <w:highlight w:val="none"/>
        </w:rPr>
        <w:t>磋商保证金</w:t>
      </w:r>
      <w:bookmarkEnd w:id="94"/>
      <w:bookmarkEnd w:id="95"/>
      <w:bookmarkEnd w:id="96"/>
      <w:bookmarkEnd w:id="97"/>
    </w:p>
    <w:p>
      <w:pPr>
        <w:pStyle w:val="52"/>
        <w:rPr>
          <w:b w:val="0"/>
          <w:bCs/>
          <w:color w:val="auto"/>
          <w:highlight w:val="none"/>
        </w:rPr>
      </w:pPr>
      <w:r>
        <w:rPr>
          <w:rFonts w:hint="eastAsia"/>
          <w:b w:val="0"/>
          <w:bCs/>
          <w:color w:val="auto"/>
          <w:highlight w:val="none"/>
        </w:rPr>
        <w:t>本项目不收取磋商保证金。</w:t>
      </w:r>
    </w:p>
    <w:p>
      <w:pPr>
        <w:pStyle w:val="31"/>
        <w:spacing w:before="120" w:beforeLines="50" w:after="120" w:afterLines="50"/>
        <w:ind w:firstLine="0" w:firstLineChars="0"/>
        <w:jc w:val="center"/>
        <w:rPr>
          <w:color w:val="auto"/>
          <w:sz w:val="36"/>
          <w:szCs w:val="36"/>
          <w:highlight w:val="none"/>
        </w:rPr>
      </w:pPr>
      <w:bookmarkStart w:id="98" w:name="_Toc29699"/>
      <w:bookmarkStart w:id="99" w:name="_Toc22584"/>
      <w:bookmarkStart w:id="100" w:name="_Toc5914"/>
      <w:bookmarkStart w:id="101" w:name="_Toc6947"/>
      <w:bookmarkStart w:id="102" w:name="_Toc6138"/>
      <w:r>
        <w:rPr>
          <w:rFonts w:hint="eastAsia"/>
          <w:color w:val="auto"/>
          <w:sz w:val="36"/>
          <w:szCs w:val="36"/>
          <w:highlight w:val="none"/>
        </w:rPr>
        <w:t>磋商会</w:t>
      </w:r>
      <w:bookmarkEnd w:id="98"/>
      <w:bookmarkEnd w:id="99"/>
    </w:p>
    <w:p>
      <w:pPr>
        <w:pStyle w:val="41"/>
        <w:numPr>
          <w:ilvl w:val="1"/>
          <w:numId w:val="15"/>
        </w:numPr>
        <w:ind w:firstLine="482"/>
        <w:outlineLvl w:val="2"/>
        <w:rPr>
          <w:b/>
          <w:bCs/>
          <w:color w:val="auto"/>
          <w:highlight w:val="none"/>
        </w:rPr>
      </w:pPr>
      <w:bookmarkStart w:id="103" w:name="_Toc2489"/>
      <w:r>
        <w:rPr>
          <w:rFonts w:hint="eastAsia"/>
          <w:b/>
          <w:bCs/>
          <w:color w:val="auto"/>
          <w:highlight w:val="none"/>
        </w:rPr>
        <w:t>磋商会人员</w:t>
      </w:r>
      <w:bookmarkEnd w:id="103"/>
    </w:p>
    <w:p>
      <w:pPr>
        <w:pStyle w:val="34"/>
        <w:rPr>
          <w:color w:val="auto"/>
          <w:highlight w:val="none"/>
        </w:rPr>
      </w:pPr>
      <w:r>
        <w:rPr>
          <w:rFonts w:hint="eastAsia"/>
          <w:color w:val="auto"/>
          <w:highlight w:val="none"/>
        </w:rPr>
        <w:t>采购代理机构在竞争性磋商文件规定的时间和地点组织磋商，采购人、供应商须派授权代表参加并签到以证明其出席，磋商会由采购代理机构主持。</w:t>
      </w:r>
    </w:p>
    <w:p>
      <w:pPr>
        <w:pStyle w:val="41"/>
        <w:numPr>
          <w:ilvl w:val="1"/>
          <w:numId w:val="15"/>
        </w:numPr>
        <w:ind w:firstLine="482"/>
        <w:outlineLvl w:val="2"/>
        <w:rPr>
          <w:b/>
          <w:bCs/>
          <w:color w:val="auto"/>
          <w:highlight w:val="none"/>
        </w:rPr>
      </w:pPr>
      <w:bookmarkStart w:id="104" w:name="_Toc7019"/>
      <w:r>
        <w:rPr>
          <w:rFonts w:hint="eastAsia"/>
          <w:b/>
          <w:bCs/>
          <w:color w:val="auto"/>
          <w:highlight w:val="none"/>
        </w:rPr>
        <w:t>磋商会内容</w:t>
      </w:r>
      <w:bookmarkEnd w:id="104"/>
    </w:p>
    <w:p>
      <w:pPr>
        <w:pStyle w:val="34"/>
        <w:rPr>
          <w:color w:val="auto"/>
          <w:highlight w:val="none"/>
        </w:rPr>
      </w:pPr>
      <w:r>
        <w:rPr>
          <w:rFonts w:hint="eastAsia"/>
          <w:color w:val="auto"/>
          <w:highlight w:val="none"/>
        </w:rPr>
        <w:t>磋商会主持人按照磋商文件规定宣布响应文件递交截止时间，按照规定主持磋商会。将按以下程序进行：</w:t>
      </w:r>
    </w:p>
    <w:p>
      <w:pPr>
        <w:pStyle w:val="43"/>
        <w:ind w:firstLine="480"/>
        <w:rPr>
          <w:color w:val="auto"/>
          <w:highlight w:val="none"/>
        </w:rPr>
      </w:pPr>
      <w:r>
        <w:rPr>
          <w:rFonts w:hint="eastAsia"/>
          <w:color w:val="auto"/>
          <w:highlight w:val="none"/>
        </w:rPr>
        <w:t>宣布磋商会开始。响应文件递交截止时间已到，主持人宣布磋商会开始并致辞；</w:t>
      </w:r>
    </w:p>
    <w:p>
      <w:pPr>
        <w:pStyle w:val="43"/>
        <w:ind w:firstLine="480"/>
        <w:rPr>
          <w:color w:val="auto"/>
          <w:highlight w:val="none"/>
        </w:rPr>
      </w:pPr>
      <w:r>
        <w:rPr>
          <w:rFonts w:hint="eastAsia"/>
          <w:color w:val="auto"/>
          <w:highlight w:val="none"/>
        </w:rPr>
        <w:t>宣布会场纪律和有关注意事项；</w:t>
      </w:r>
    </w:p>
    <w:p>
      <w:pPr>
        <w:pStyle w:val="43"/>
        <w:ind w:firstLine="480"/>
        <w:rPr>
          <w:color w:val="auto"/>
          <w:highlight w:val="none"/>
        </w:rPr>
      </w:pPr>
      <w:r>
        <w:rPr>
          <w:rFonts w:hint="eastAsia"/>
          <w:color w:val="auto"/>
          <w:highlight w:val="none"/>
        </w:rPr>
        <w:t>确认响应文件的密封情况，是指供应商确认自己递交的响应文件的密封情况，不代表对其他供应商的响应文件的密封情况确认。供应商或者其推选的代表对其他供应商的响应文件密封情况有异议的，可以当场向会议主持人或者现场监督人员反映，要求现场记录人员予以记录，但不得干扰、阻挠磋商会议工作的正常进行；</w:t>
      </w:r>
    </w:p>
    <w:p>
      <w:pPr>
        <w:pStyle w:val="43"/>
        <w:ind w:firstLine="480"/>
        <w:rPr>
          <w:color w:val="auto"/>
          <w:highlight w:val="none"/>
        </w:rPr>
      </w:pPr>
      <w:r>
        <w:rPr>
          <w:rFonts w:hint="eastAsia"/>
          <w:color w:val="auto"/>
          <w:highlight w:val="none"/>
        </w:rPr>
        <w:t>供应商或者其推选的代表需现场对磋商会议记录进行签字确认经确认无误后，由采购代理机构工作人员宣布磋商纪律，并由供应商签字确认；</w:t>
      </w:r>
    </w:p>
    <w:p>
      <w:pPr>
        <w:pStyle w:val="43"/>
        <w:ind w:firstLine="480"/>
        <w:rPr>
          <w:color w:val="auto"/>
          <w:highlight w:val="none"/>
        </w:rPr>
      </w:pPr>
      <w:r>
        <w:rPr>
          <w:rFonts w:hint="eastAsia"/>
          <w:color w:val="auto"/>
          <w:highlight w:val="none"/>
        </w:rPr>
        <w:t>供应商不足3家的，终止采购活动，并退回响应文件；</w:t>
      </w:r>
    </w:p>
    <w:p>
      <w:pPr>
        <w:pStyle w:val="43"/>
        <w:ind w:firstLine="480"/>
        <w:rPr>
          <w:color w:val="auto"/>
          <w:highlight w:val="none"/>
        </w:rPr>
      </w:pPr>
      <w:r>
        <w:rPr>
          <w:rFonts w:hint="eastAsia"/>
          <w:color w:val="auto"/>
          <w:highlight w:val="none"/>
        </w:rPr>
        <w:t>宣布磋商会结束。所有供应商代表应立即退场。同时所有供应商应保持通讯设备的畅通，以方便进行下一步的磋商活动和在评审过程中评审委员会要求供应商对响应文件的必要澄清、说明或者更正。评审结果供应商在“四川政府采购网”查询。</w:t>
      </w:r>
    </w:p>
    <w:bookmarkEnd w:id="100"/>
    <w:bookmarkEnd w:id="101"/>
    <w:bookmarkEnd w:id="102"/>
    <w:p>
      <w:pPr>
        <w:pStyle w:val="41"/>
        <w:numPr>
          <w:ilvl w:val="1"/>
          <w:numId w:val="15"/>
        </w:numPr>
        <w:ind w:firstLine="482"/>
        <w:outlineLvl w:val="2"/>
        <w:rPr>
          <w:b/>
          <w:bCs/>
          <w:color w:val="auto"/>
          <w:highlight w:val="none"/>
        </w:rPr>
      </w:pPr>
      <w:bookmarkStart w:id="105" w:name="_Toc10036"/>
      <w:bookmarkStart w:id="106" w:name="_Toc23339"/>
      <w:r>
        <w:rPr>
          <w:rFonts w:hint="eastAsia"/>
          <w:b/>
          <w:bCs/>
          <w:color w:val="auto"/>
          <w:highlight w:val="none"/>
        </w:rPr>
        <w:t>电子监控档案</w:t>
      </w:r>
      <w:bookmarkEnd w:id="105"/>
      <w:bookmarkEnd w:id="106"/>
    </w:p>
    <w:p>
      <w:pPr>
        <w:pStyle w:val="41"/>
        <w:numPr>
          <w:ilvl w:val="1"/>
          <w:numId w:val="0"/>
        </w:numPr>
        <w:ind w:left="480" w:leftChars="200"/>
        <w:rPr>
          <w:color w:val="auto"/>
          <w:highlight w:val="none"/>
        </w:rPr>
      </w:pPr>
      <w:r>
        <w:rPr>
          <w:rFonts w:hint="eastAsia"/>
          <w:color w:val="auto"/>
          <w:highlight w:val="none"/>
        </w:rPr>
        <w:t>本项目磋商会和评审过程进行全过程电子监控，并将电子监控资料存储介质留存归档。</w:t>
      </w:r>
    </w:p>
    <w:p>
      <w:pPr>
        <w:pStyle w:val="31"/>
        <w:spacing w:before="120" w:beforeLines="50" w:after="120" w:afterLines="50"/>
        <w:ind w:firstLine="0" w:firstLineChars="0"/>
        <w:jc w:val="center"/>
        <w:rPr>
          <w:color w:val="auto"/>
          <w:sz w:val="36"/>
          <w:szCs w:val="36"/>
          <w:highlight w:val="none"/>
        </w:rPr>
      </w:pPr>
      <w:bookmarkStart w:id="107" w:name="_Toc18198"/>
      <w:bookmarkStart w:id="108" w:name="_Toc31404"/>
      <w:bookmarkStart w:id="109" w:name="_Toc8117"/>
      <w:bookmarkStart w:id="110" w:name="_Toc12604"/>
      <w:bookmarkStart w:id="111" w:name="_Toc14786"/>
      <w:bookmarkStart w:id="112" w:name="_Toc11904"/>
      <w:r>
        <w:rPr>
          <w:rFonts w:hint="eastAsia"/>
          <w:color w:val="auto"/>
          <w:sz w:val="36"/>
          <w:szCs w:val="36"/>
          <w:highlight w:val="none"/>
        </w:rPr>
        <w:t>成交事项</w:t>
      </w:r>
      <w:bookmarkEnd w:id="107"/>
      <w:bookmarkEnd w:id="108"/>
    </w:p>
    <w:bookmarkEnd w:id="109"/>
    <w:bookmarkEnd w:id="110"/>
    <w:bookmarkEnd w:id="111"/>
    <w:bookmarkEnd w:id="112"/>
    <w:p>
      <w:pPr>
        <w:pStyle w:val="32"/>
        <w:ind w:firstLine="482"/>
        <w:rPr>
          <w:color w:val="auto"/>
          <w:highlight w:val="none"/>
        </w:rPr>
      </w:pPr>
      <w:bookmarkStart w:id="113" w:name="_Toc16799"/>
      <w:bookmarkStart w:id="114" w:name="_Toc9410"/>
      <w:r>
        <w:rPr>
          <w:rFonts w:hint="eastAsia"/>
          <w:color w:val="auto"/>
          <w:highlight w:val="none"/>
        </w:rPr>
        <w:t>确定成交</w:t>
      </w:r>
      <w:bookmarkEnd w:id="113"/>
      <w:r>
        <w:rPr>
          <w:rFonts w:hint="eastAsia"/>
          <w:color w:val="auto"/>
          <w:highlight w:val="none"/>
        </w:rPr>
        <w:t>供应商</w:t>
      </w:r>
      <w:bookmarkEnd w:id="114"/>
    </w:p>
    <w:p>
      <w:pPr>
        <w:pStyle w:val="33"/>
        <w:ind w:firstLine="480"/>
        <w:rPr>
          <w:color w:val="auto"/>
          <w:highlight w:val="none"/>
        </w:rPr>
      </w:pPr>
      <w:r>
        <w:rPr>
          <w:rFonts w:hint="eastAsia"/>
          <w:color w:val="auto"/>
          <w:highlight w:val="none"/>
        </w:rPr>
        <w:t>采购代理机构应当在评审结束后2个工作日内将评审报告送采购人确认。</w:t>
      </w:r>
    </w:p>
    <w:p>
      <w:pPr>
        <w:pStyle w:val="33"/>
        <w:ind w:firstLine="480"/>
        <w:rPr>
          <w:color w:val="auto"/>
          <w:highlight w:val="none"/>
        </w:rPr>
      </w:pPr>
      <w:r>
        <w:rPr>
          <w:rFonts w:hint="eastAsia"/>
          <w:color w:val="auto"/>
          <w:highlight w:val="none"/>
        </w:rPr>
        <w:t>本项目采购人根据磋商小组推荐的成交候选人名单，按顺序确定成交供应商。</w:t>
      </w:r>
    </w:p>
    <w:p>
      <w:pPr>
        <w:pStyle w:val="33"/>
        <w:ind w:firstLine="480"/>
        <w:rPr>
          <w:color w:val="auto"/>
          <w:highlight w:val="none"/>
        </w:rPr>
      </w:pPr>
      <w:r>
        <w:rPr>
          <w:rFonts w:hint="eastAsia"/>
          <w:color w:val="auto"/>
          <w:highlight w:val="none"/>
        </w:rPr>
        <w:t>采购人应当在收到评审报告后3个工作日内，从评审报告提出的成交候选供应商中，按照排序由高到低的原则确定成交供应商。采购人逾期未确定成交供应商且不提出异议的，视为确定评审报告提出的排序第一的供应商为成交供应商。如果成交候选人及其现任法定代表人、主要负责人存在行贿犯罪记录，采购人将不确定其为成交供应商。采购人在确认成交供应商前，应到中国裁判文书网(https://wenshu.court.gov.cn)查询成交候选供应商及其现任法定代表人、主要负责人是否存在行贿犯罪记录。</w:t>
      </w:r>
    </w:p>
    <w:p>
      <w:pPr>
        <w:pStyle w:val="33"/>
        <w:ind w:firstLine="480"/>
        <w:rPr>
          <w:color w:val="auto"/>
          <w:highlight w:val="none"/>
        </w:rPr>
      </w:pPr>
      <w:r>
        <w:rPr>
          <w:rFonts w:hint="eastAsia"/>
          <w:color w:val="auto"/>
          <w:highlight w:val="none"/>
        </w:rPr>
        <w:t>采购人不确定排序前一位成交候选供应商为成交供应商的，应当将不确定的理由书面告知该成交候选供应商，并在“四川政府采购网”公告。</w:t>
      </w:r>
    </w:p>
    <w:p>
      <w:pPr>
        <w:pStyle w:val="33"/>
        <w:ind w:firstLine="480"/>
        <w:rPr>
          <w:color w:val="auto"/>
          <w:highlight w:val="none"/>
        </w:rPr>
      </w:pPr>
      <w:r>
        <w:rPr>
          <w:rFonts w:hint="eastAsia"/>
          <w:color w:val="auto"/>
          <w:highlight w:val="none"/>
        </w:rPr>
        <w:t>采购人依法确定不出成交供应商的，应当重新组织采购，书面告知成交候选供应商，说明理由，并在“四川政府采购网”公告。</w:t>
      </w:r>
    </w:p>
    <w:p>
      <w:pPr>
        <w:pStyle w:val="33"/>
        <w:ind w:firstLine="480"/>
        <w:rPr>
          <w:color w:val="auto"/>
          <w:highlight w:val="none"/>
        </w:rPr>
      </w:pPr>
      <w:r>
        <w:rPr>
          <w:rFonts w:hint="eastAsia"/>
          <w:color w:val="auto"/>
          <w:highlight w:val="none"/>
        </w:rPr>
        <w:t>成交供应商拒绝签订政府采购合同的，采购人可以按顺序确定其他供应商作为成交供应商并签订政府采购合同，也可以重新开展采购活动。拒绝签订政府采购合同的成交供应商不得参加对该项目重新开展的采购活动。</w:t>
      </w:r>
    </w:p>
    <w:p>
      <w:pPr>
        <w:pStyle w:val="33"/>
        <w:ind w:firstLine="480"/>
        <w:rPr>
          <w:color w:val="auto"/>
          <w:highlight w:val="none"/>
        </w:rPr>
      </w:pPr>
      <w:r>
        <w:rPr>
          <w:rFonts w:hint="eastAsia"/>
          <w:color w:val="auto"/>
          <w:highlight w:val="none"/>
        </w:rPr>
        <w:t>采购人确定成交供应商过程中，发现成交候选供应商有下列情形之一的，不予确定其为成交供应商：</w:t>
      </w:r>
    </w:p>
    <w:p>
      <w:pPr>
        <w:pStyle w:val="33"/>
        <w:numPr>
          <w:ilvl w:val="3"/>
          <w:numId w:val="0"/>
        </w:numPr>
        <w:ind w:left="480" w:leftChars="200"/>
        <w:rPr>
          <w:color w:val="auto"/>
          <w:highlight w:val="none"/>
        </w:rPr>
      </w:pPr>
      <w:r>
        <w:rPr>
          <w:rFonts w:hint="eastAsia"/>
          <w:color w:val="auto"/>
          <w:highlight w:val="none"/>
        </w:rPr>
        <w:t>7.1成交候选供应商属于禁止参加本项目采购活动的；</w:t>
      </w:r>
    </w:p>
    <w:p>
      <w:pPr>
        <w:pStyle w:val="33"/>
        <w:numPr>
          <w:ilvl w:val="3"/>
          <w:numId w:val="0"/>
        </w:numPr>
        <w:ind w:left="480" w:leftChars="200"/>
        <w:rPr>
          <w:color w:val="auto"/>
          <w:highlight w:val="none"/>
        </w:rPr>
      </w:pPr>
      <w:r>
        <w:rPr>
          <w:rFonts w:hint="eastAsia"/>
          <w:color w:val="auto"/>
          <w:highlight w:val="none"/>
        </w:rPr>
        <w:t>7.2成交候选供应商因不可抗力，不能继续参加政府采购活动；</w:t>
      </w:r>
    </w:p>
    <w:p>
      <w:pPr>
        <w:pStyle w:val="33"/>
        <w:numPr>
          <w:ilvl w:val="3"/>
          <w:numId w:val="0"/>
        </w:numPr>
        <w:ind w:left="480" w:leftChars="200"/>
        <w:rPr>
          <w:color w:val="auto"/>
          <w:highlight w:val="none"/>
        </w:rPr>
      </w:pPr>
      <w:r>
        <w:rPr>
          <w:rFonts w:hint="eastAsia"/>
          <w:color w:val="auto"/>
          <w:highlight w:val="none"/>
        </w:rPr>
        <w:t>7.3成交候选供应商无偿赠与或者低于成本价竞争；</w:t>
      </w:r>
    </w:p>
    <w:p>
      <w:pPr>
        <w:pStyle w:val="33"/>
        <w:numPr>
          <w:ilvl w:val="3"/>
          <w:numId w:val="0"/>
        </w:numPr>
        <w:ind w:left="480" w:leftChars="200"/>
        <w:rPr>
          <w:color w:val="auto"/>
          <w:highlight w:val="none"/>
        </w:rPr>
      </w:pPr>
      <w:r>
        <w:rPr>
          <w:rFonts w:hint="eastAsia"/>
          <w:color w:val="auto"/>
          <w:highlight w:val="none"/>
        </w:rPr>
        <w:t>7.4成交候选供应商提供虚假材料；</w:t>
      </w:r>
    </w:p>
    <w:p>
      <w:pPr>
        <w:pStyle w:val="33"/>
        <w:numPr>
          <w:ilvl w:val="3"/>
          <w:numId w:val="0"/>
        </w:numPr>
        <w:ind w:left="480" w:leftChars="200"/>
        <w:rPr>
          <w:color w:val="auto"/>
          <w:highlight w:val="none"/>
        </w:rPr>
      </w:pPr>
      <w:r>
        <w:rPr>
          <w:rFonts w:hint="eastAsia"/>
          <w:color w:val="auto"/>
          <w:highlight w:val="none"/>
        </w:rPr>
        <w:t>7.5成交候选供应商恶意串通。</w:t>
      </w:r>
    </w:p>
    <w:p>
      <w:pPr>
        <w:pStyle w:val="32"/>
        <w:ind w:firstLine="482"/>
        <w:rPr>
          <w:color w:val="auto"/>
          <w:highlight w:val="none"/>
        </w:rPr>
      </w:pPr>
      <w:bookmarkStart w:id="115" w:name="_Toc32424"/>
      <w:bookmarkStart w:id="116" w:name="_Toc17698"/>
      <w:r>
        <w:rPr>
          <w:rFonts w:hint="eastAsia"/>
          <w:color w:val="auto"/>
          <w:highlight w:val="none"/>
        </w:rPr>
        <w:t>成交结果</w:t>
      </w:r>
      <w:bookmarkEnd w:id="115"/>
      <w:bookmarkEnd w:id="116"/>
    </w:p>
    <w:p>
      <w:pPr>
        <w:pStyle w:val="33"/>
        <w:numPr>
          <w:ilvl w:val="0"/>
          <w:numId w:val="16"/>
        </w:numPr>
        <w:tabs>
          <w:tab w:val="clear" w:pos="312"/>
        </w:tabs>
        <w:ind w:firstLine="480"/>
        <w:rPr>
          <w:color w:val="auto"/>
          <w:highlight w:val="none"/>
        </w:rPr>
      </w:pPr>
      <w:bookmarkStart w:id="117" w:name="_Toc7224"/>
      <w:r>
        <w:rPr>
          <w:rFonts w:hint="eastAsia"/>
          <w:color w:val="auto"/>
          <w:highlight w:val="none"/>
        </w:rPr>
        <w:t>采购人确定成交供应商后，将及时书面通知采购代理机构，采购代理机构在成交供应商确定后2个工作日内，在“四川政府采购网”公告成交结果，同时采购代理机构将成交通知书快递至成交供应商。</w:t>
      </w:r>
    </w:p>
    <w:p>
      <w:pPr>
        <w:pStyle w:val="33"/>
        <w:numPr>
          <w:ilvl w:val="0"/>
          <w:numId w:val="16"/>
        </w:numPr>
        <w:tabs>
          <w:tab w:val="clear" w:pos="312"/>
        </w:tabs>
        <w:ind w:firstLine="480"/>
        <w:rPr>
          <w:color w:val="auto"/>
          <w:highlight w:val="none"/>
        </w:rPr>
      </w:pPr>
      <w:r>
        <w:rPr>
          <w:rFonts w:hint="eastAsia"/>
          <w:color w:val="auto"/>
          <w:highlight w:val="none"/>
        </w:rPr>
        <w:t>采购项目需要交纳履约保证金的，成交供应商应当按照规定和要求及时向采购人交纳。</w:t>
      </w:r>
    </w:p>
    <w:p>
      <w:pPr>
        <w:pStyle w:val="32"/>
        <w:ind w:firstLine="482"/>
        <w:rPr>
          <w:color w:val="auto"/>
          <w:highlight w:val="none"/>
        </w:rPr>
      </w:pPr>
      <w:bookmarkStart w:id="118" w:name="_Toc21155"/>
      <w:r>
        <w:rPr>
          <w:rFonts w:hint="eastAsia"/>
          <w:color w:val="auto"/>
          <w:highlight w:val="none"/>
        </w:rPr>
        <w:t>成交通知书</w:t>
      </w:r>
      <w:bookmarkEnd w:id="117"/>
      <w:bookmarkEnd w:id="118"/>
    </w:p>
    <w:p>
      <w:pPr>
        <w:pStyle w:val="33"/>
        <w:ind w:firstLine="480"/>
        <w:rPr>
          <w:color w:val="auto"/>
          <w:highlight w:val="none"/>
        </w:rPr>
      </w:pPr>
      <w:r>
        <w:rPr>
          <w:rFonts w:hint="eastAsia"/>
          <w:color w:val="auto"/>
          <w:highlight w:val="none"/>
        </w:rPr>
        <w:t>成交通知书为签订政府采购合同的依据之一，是合同的有效组成部分。</w:t>
      </w:r>
    </w:p>
    <w:p>
      <w:pPr>
        <w:pStyle w:val="33"/>
        <w:ind w:firstLine="480"/>
        <w:rPr>
          <w:color w:val="auto"/>
          <w:highlight w:val="none"/>
        </w:rPr>
      </w:pPr>
      <w:r>
        <w:rPr>
          <w:rFonts w:hint="eastAsia"/>
          <w:color w:val="auto"/>
          <w:highlight w:val="none"/>
        </w:rPr>
        <w:t>成交通知书对采购人和成交供应商均具有法律效力。成交通知书发出后，采购人改变成交结果，或者成交供应商无正当理由放弃成交的，应当承担相应的法律责任。</w:t>
      </w:r>
    </w:p>
    <w:p>
      <w:pPr>
        <w:pStyle w:val="33"/>
        <w:ind w:firstLine="480"/>
        <w:rPr>
          <w:color w:val="auto"/>
          <w:highlight w:val="none"/>
        </w:rPr>
      </w:pPr>
      <w:r>
        <w:rPr>
          <w:rFonts w:hint="eastAsia"/>
          <w:color w:val="auto"/>
          <w:highlight w:val="none"/>
        </w:rPr>
        <w:t>成交供应商的响应文件本应作为无效响应处理或者有政府采购法律法规规章制度规定的成交无效情形的，采购人和采购代理机构在取得有权主体的认定以后，将宣布发出的成交通知书无效，并收回发出的成交通知书(成交供应商也应当缴回)，依法重新确定成交供应商或者重新开展采购活动。</w:t>
      </w:r>
    </w:p>
    <w:p>
      <w:pPr>
        <w:pStyle w:val="33"/>
        <w:bidi w:val="0"/>
        <w:rPr>
          <w:color w:val="auto"/>
          <w:highlight w:val="none"/>
        </w:rPr>
      </w:pPr>
      <w:r>
        <w:rPr>
          <w:rFonts w:hint="eastAsia" w:cs="宋体"/>
          <w:color w:val="auto"/>
          <w:highlight w:val="none"/>
          <w:lang w:val="en-US" w:eastAsia="zh-CN"/>
        </w:rPr>
        <w:t>供应商应主动关注四川政府采购网和</w:t>
      </w:r>
      <w:r>
        <w:rPr>
          <w:rFonts w:hint="eastAsia" w:cs="宋体"/>
          <w:color w:val="auto"/>
          <w:highlight w:val="none"/>
          <w:lang w:val="zh-CN"/>
        </w:rPr>
        <w:t>政府采购云平台</w:t>
      </w:r>
      <w:r>
        <w:rPr>
          <w:rFonts w:hint="eastAsia" w:cs="宋体"/>
          <w:color w:val="auto"/>
          <w:highlight w:val="none"/>
          <w:lang w:val="en-US" w:eastAsia="zh-CN"/>
        </w:rPr>
        <w:t>公告信息</w:t>
      </w:r>
      <w:r>
        <w:rPr>
          <w:rFonts w:hint="eastAsia" w:cs="宋体"/>
          <w:color w:val="auto"/>
          <w:highlight w:val="none"/>
          <w:lang w:val="zh-CN"/>
        </w:rPr>
        <w:t>、</w:t>
      </w:r>
      <w:r>
        <w:rPr>
          <w:rFonts w:hint="eastAsia" w:cs="宋体"/>
          <w:color w:val="auto"/>
          <w:highlight w:val="none"/>
          <w:lang w:val="en-US" w:eastAsia="zh-CN"/>
        </w:rPr>
        <w:t>并积极配合代理机构办理成交通知书事宜。</w:t>
      </w:r>
      <w:r>
        <w:rPr>
          <w:rFonts w:hint="eastAsia"/>
          <w:color w:val="auto"/>
          <w:highlight w:val="none"/>
          <w:lang w:val="en-US" w:eastAsia="zh-CN"/>
        </w:rPr>
        <w:t>逾期未下载</w:t>
      </w:r>
      <w:r>
        <w:rPr>
          <w:rFonts w:hint="eastAsia" w:cs="宋体"/>
          <w:color w:val="auto"/>
          <w:highlight w:val="none"/>
          <w:lang w:val="en-US" w:eastAsia="zh-CN"/>
        </w:rPr>
        <w:t>成交</w:t>
      </w:r>
      <w:r>
        <w:rPr>
          <w:rFonts w:hint="eastAsia" w:cs="宋体"/>
          <w:color w:val="auto"/>
          <w:highlight w:val="none"/>
          <w:lang w:val="zh-CN"/>
        </w:rPr>
        <w:t>通知书</w:t>
      </w:r>
      <w:r>
        <w:rPr>
          <w:rFonts w:hint="eastAsia"/>
          <w:color w:val="auto"/>
          <w:highlight w:val="none"/>
          <w:lang w:val="en-US" w:eastAsia="zh-CN"/>
        </w:rPr>
        <w:t>或未主动领取</w:t>
      </w:r>
      <w:r>
        <w:rPr>
          <w:rFonts w:hint="eastAsia" w:cs="宋体"/>
          <w:color w:val="auto"/>
          <w:highlight w:val="none"/>
          <w:lang w:val="en-US" w:eastAsia="zh-CN"/>
        </w:rPr>
        <w:t>成交</w:t>
      </w:r>
      <w:r>
        <w:rPr>
          <w:rFonts w:hint="eastAsia" w:cs="宋体"/>
          <w:color w:val="auto"/>
          <w:highlight w:val="none"/>
          <w:lang w:val="zh-CN"/>
        </w:rPr>
        <w:t>通知书</w:t>
      </w:r>
      <w:r>
        <w:rPr>
          <w:rFonts w:hint="eastAsia" w:cs="宋体"/>
          <w:color w:val="auto"/>
          <w:highlight w:val="none"/>
          <w:lang w:val="en-US" w:eastAsia="zh-CN"/>
        </w:rPr>
        <w:t>或不配合代理机构发出成交通知书</w:t>
      </w:r>
      <w:r>
        <w:rPr>
          <w:rFonts w:hint="eastAsia" w:cs="宋体"/>
          <w:color w:val="auto"/>
          <w:highlight w:val="none"/>
          <w:lang w:val="zh-CN"/>
        </w:rPr>
        <w:t>的</w:t>
      </w:r>
      <w:r>
        <w:rPr>
          <w:rFonts w:hint="eastAsia" w:cs="宋体"/>
          <w:color w:val="auto"/>
          <w:highlight w:val="none"/>
          <w:lang w:val="en-US" w:eastAsia="zh-CN"/>
        </w:rPr>
        <w:t>一切不利后果由成交供应商自行承担。</w:t>
      </w:r>
    </w:p>
    <w:p>
      <w:pPr>
        <w:pStyle w:val="31"/>
        <w:spacing w:before="120" w:beforeLines="50" w:after="120" w:afterLines="50"/>
        <w:ind w:firstLine="0" w:firstLineChars="0"/>
        <w:jc w:val="center"/>
        <w:rPr>
          <w:color w:val="auto"/>
          <w:sz w:val="36"/>
          <w:szCs w:val="36"/>
          <w:highlight w:val="none"/>
        </w:rPr>
      </w:pPr>
      <w:bookmarkStart w:id="119" w:name="_Toc29192"/>
      <w:bookmarkStart w:id="120" w:name="_Toc16989"/>
      <w:r>
        <w:rPr>
          <w:rFonts w:hint="eastAsia"/>
          <w:color w:val="auto"/>
          <w:sz w:val="36"/>
          <w:szCs w:val="36"/>
          <w:highlight w:val="none"/>
        </w:rPr>
        <w:t>合同事项</w:t>
      </w:r>
      <w:bookmarkEnd w:id="119"/>
      <w:bookmarkEnd w:id="120"/>
    </w:p>
    <w:p>
      <w:pPr>
        <w:pStyle w:val="32"/>
        <w:ind w:firstLine="482"/>
        <w:rPr>
          <w:color w:val="auto"/>
          <w:highlight w:val="none"/>
        </w:rPr>
      </w:pPr>
      <w:bookmarkStart w:id="121" w:name="_Toc15904"/>
      <w:bookmarkStart w:id="122" w:name="_Toc8081"/>
      <w:bookmarkStart w:id="123" w:name="_Toc19462"/>
      <w:r>
        <w:rPr>
          <w:rFonts w:hint="eastAsia"/>
          <w:color w:val="auto"/>
          <w:highlight w:val="none"/>
        </w:rPr>
        <w:t>签订合同</w:t>
      </w:r>
      <w:bookmarkEnd w:id="121"/>
      <w:bookmarkEnd w:id="122"/>
    </w:p>
    <w:p>
      <w:pPr>
        <w:pStyle w:val="43"/>
        <w:ind w:firstLine="480"/>
        <w:rPr>
          <w:color w:val="auto"/>
          <w:highlight w:val="none"/>
        </w:rPr>
      </w:pPr>
      <w:r>
        <w:rPr>
          <w:rFonts w:hint="eastAsia"/>
          <w:color w:val="auto"/>
          <w:highlight w:val="none"/>
        </w:rPr>
        <w:t>成交供应商应在成交通知书发出后，按照磋商文件第</w:t>
      </w:r>
      <w:r>
        <w:rPr>
          <w:rFonts w:hint="eastAsia"/>
          <w:color w:val="auto"/>
          <w:highlight w:val="none"/>
          <w:lang w:val="en-US" w:eastAsia="zh-CN"/>
        </w:rPr>
        <w:t>六</w:t>
      </w:r>
      <w:r>
        <w:rPr>
          <w:rFonts w:hint="eastAsia"/>
          <w:color w:val="auto"/>
          <w:highlight w:val="none"/>
        </w:rPr>
        <w:t>章相关要求与采购人签订采购合同。由于成交供应商的原因逾期未与采购人签订采购合同的，将视为放弃成交，取消其成交资格并将按相关规定进行处理。</w:t>
      </w:r>
      <w:r>
        <w:rPr>
          <w:rFonts w:hint="eastAsia"/>
          <w:color w:val="auto"/>
          <w:highlight w:val="none"/>
          <w:lang w:eastAsia="zh-Hans"/>
        </w:rPr>
        <w:t>若因采购人的原因未与</w:t>
      </w:r>
      <w:r>
        <w:rPr>
          <w:rFonts w:hint="eastAsia"/>
          <w:color w:val="auto"/>
          <w:highlight w:val="none"/>
        </w:rPr>
        <w:t>成交供应商</w:t>
      </w:r>
      <w:r>
        <w:rPr>
          <w:rFonts w:hint="eastAsia"/>
          <w:color w:val="auto"/>
          <w:highlight w:val="none"/>
          <w:lang w:eastAsia="zh-Hans"/>
        </w:rPr>
        <w:t>签订合同</w:t>
      </w:r>
      <w:r>
        <w:rPr>
          <w:color w:val="auto"/>
          <w:highlight w:val="none"/>
          <w:lang w:eastAsia="zh-Hans"/>
        </w:rPr>
        <w:t>，</w:t>
      </w:r>
      <w:r>
        <w:rPr>
          <w:rFonts w:hint="eastAsia"/>
          <w:color w:val="auto"/>
          <w:highlight w:val="none"/>
          <w:lang w:eastAsia="zh-Hans"/>
        </w:rPr>
        <w:t>采购人将向</w:t>
      </w:r>
      <w:r>
        <w:rPr>
          <w:rFonts w:hint="eastAsia"/>
          <w:color w:val="auto"/>
          <w:highlight w:val="none"/>
        </w:rPr>
        <w:t>成交供应商</w:t>
      </w:r>
      <w:r>
        <w:rPr>
          <w:rFonts w:hint="eastAsia"/>
          <w:color w:val="auto"/>
          <w:highlight w:val="none"/>
          <w:lang w:eastAsia="zh-Hans"/>
        </w:rPr>
        <w:t>支付</w:t>
      </w:r>
      <w:r>
        <w:rPr>
          <w:rFonts w:hint="eastAsia"/>
          <w:color w:val="auto"/>
          <w:highlight w:val="none"/>
        </w:rPr>
        <w:t>成交供应商</w:t>
      </w:r>
      <w:r>
        <w:rPr>
          <w:rFonts w:hint="eastAsia"/>
          <w:color w:val="auto"/>
          <w:highlight w:val="none"/>
          <w:lang w:eastAsia="zh-Hans"/>
        </w:rPr>
        <w:t>因本次采购事宜产生的标书制作等直接费用</w:t>
      </w:r>
      <w:r>
        <w:rPr>
          <w:color w:val="auto"/>
          <w:highlight w:val="none"/>
          <w:lang w:eastAsia="zh-Hans"/>
        </w:rPr>
        <w:t>。</w:t>
      </w:r>
    </w:p>
    <w:p>
      <w:pPr>
        <w:pStyle w:val="43"/>
        <w:ind w:firstLine="480"/>
        <w:rPr>
          <w:color w:val="auto"/>
          <w:highlight w:val="none"/>
        </w:rPr>
      </w:pPr>
      <w:r>
        <w:rPr>
          <w:rFonts w:hint="eastAsia"/>
          <w:color w:val="auto"/>
          <w:highlight w:val="none"/>
        </w:rPr>
        <w:t>政府采购合同应当包括采购人与成交供应商的名称和住所、标的、数量、质量、价款或者报酬、履行期限及地点和方式、验收要求、违约责任、解决争议的方法等内容。</w:t>
      </w:r>
    </w:p>
    <w:p>
      <w:pPr>
        <w:pStyle w:val="43"/>
        <w:ind w:firstLine="480"/>
        <w:rPr>
          <w:color w:val="auto"/>
          <w:highlight w:val="none"/>
        </w:rPr>
      </w:pPr>
      <w:r>
        <w:rPr>
          <w:rFonts w:hint="eastAsia"/>
          <w:color w:val="auto"/>
          <w:highlight w:val="none"/>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pStyle w:val="43"/>
        <w:ind w:firstLine="480"/>
        <w:rPr>
          <w:color w:val="auto"/>
          <w:highlight w:val="none"/>
        </w:rPr>
      </w:pPr>
      <w:r>
        <w:rPr>
          <w:rFonts w:hint="eastAsia"/>
          <w:color w:val="auto"/>
          <w:highlight w:val="none"/>
        </w:rPr>
        <w:t>成交供应商因不可抗力原因不能履行采购合同或放弃成交的，采购人可以按照评审报告推荐的成交候选人名单排序，确定下一候选人为成交供应商。</w:t>
      </w:r>
    </w:p>
    <w:p>
      <w:pPr>
        <w:pStyle w:val="43"/>
        <w:ind w:firstLine="480"/>
        <w:rPr>
          <w:color w:val="auto"/>
          <w:highlight w:val="none"/>
        </w:rPr>
      </w:pPr>
      <w:r>
        <w:rPr>
          <w:rFonts w:hint="eastAsia"/>
          <w:color w:val="auto"/>
          <w:highlight w:val="none"/>
        </w:rPr>
        <w:t>本项目的竞争性磋商文件、成交供应商提交的响应文件、磋商中的最后报价、成交供应商承诺书、成交通知书等文件均具有法律约束力，属于合同组成部分。</w:t>
      </w:r>
    </w:p>
    <w:p>
      <w:pPr>
        <w:pStyle w:val="43"/>
        <w:ind w:firstLine="480"/>
        <w:rPr>
          <w:color w:val="auto"/>
          <w:highlight w:val="none"/>
        </w:rPr>
      </w:pPr>
      <w:r>
        <w:rPr>
          <w:rFonts w:hint="eastAsia"/>
          <w:color w:val="auto"/>
          <w:highlight w:val="none"/>
        </w:rPr>
        <w:t>成交供应商在采购合同签订之后2个工作日内，将签订的采购合同(1份)送采购代理机构进行归档留存。</w:t>
      </w:r>
    </w:p>
    <w:p>
      <w:pPr>
        <w:pStyle w:val="32"/>
        <w:ind w:firstLine="482"/>
        <w:rPr>
          <w:color w:val="auto"/>
          <w:highlight w:val="none"/>
        </w:rPr>
      </w:pPr>
      <w:bookmarkStart w:id="124" w:name="_Toc2425"/>
      <w:bookmarkStart w:id="125" w:name="_Toc55"/>
      <w:r>
        <w:rPr>
          <w:rFonts w:hint="eastAsia"/>
          <w:color w:val="auto"/>
          <w:highlight w:val="none"/>
        </w:rPr>
        <w:t>合同分包(实质性要求)</w:t>
      </w:r>
      <w:bookmarkEnd w:id="124"/>
      <w:bookmarkEnd w:id="125"/>
    </w:p>
    <w:p>
      <w:pPr>
        <w:pStyle w:val="34"/>
        <w:rPr>
          <w:color w:val="auto"/>
          <w:highlight w:val="none"/>
        </w:rPr>
      </w:pPr>
      <w:bookmarkStart w:id="126" w:name="_Toc13796"/>
      <w:r>
        <w:rPr>
          <w:rFonts w:hint="eastAsia"/>
          <w:color w:val="auto"/>
          <w:highlight w:val="none"/>
        </w:rPr>
        <w:t>本项目不允许</w:t>
      </w:r>
      <w:r>
        <w:rPr>
          <w:rFonts w:hint="eastAsia"/>
          <w:color w:val="auto"/>
          <w:highlight w:val="none"/>
          <w:lang w:val="en-US" w:eastAsia="zh-CN"/>
        </w:rPr>
        <w:t>供应商</w:t>
      </w:r>
      <w:r>
        <w:rPr>
          <w:rFonts w:hint="eastAsia"/>
          <w:color w:val="auto"/>
          <w:highlight w:val="none"/>
        </w:rPr>
        <w:t>以合同分包形式进行磋商。</w:t>
      </w:r>
    </w:p>
    <w:p>
      <w:pPr>
        <w:pStyle w:val="32"/>
        <w:ind w:firstLine="482"/>
        <w:rPr>
          <w:color w:val="auto"/>
          <w:highlight w:val="none"/>
        </w:rPr>
      </w:pPr>
      <w:bookmarkStart w:id="127" w:name="_Toc5953"/>
      <w:r>
        <w:rPr>
          <w:rFonts w:hint="eastAsia"/>
          <w:color w:val="auto"/>
          <w:highlight w:val="none"/>
        </w:rPr>
        <w:t>合同转包(实质性要求)</w:t>
      </w:r>
      <w:bookmarkEnd w:id="126"/>
      <w:bookmarkEnd w:id="127"/>
    </w:p>
    <w:p>
      <w:pPr>
        <w:pStyle w:val="33"/>
        <w:ind w:firstLine="480"/>
        <w:rPr>
          <w:color w:val="auto"/>
          <w:highlight w:val="none"/>
        </w:rPr>
      </w:pPr>
      <w:r>
        <w:rPr>
          <w:rFonts w:hint="eastAsia"/>
          <w:color w:val="auto"/>
          <w:highlight w:val="none"/>
        </w:rPr>
        <w:t>本项目禁止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Style w:val="33"/>
        <w:ind w:firstLine="480"/>
        <w:rPr>
          <w:color w:val="auto"/>
          <w:highlight w:val="none"/>
        </w:rPr>
      </w:pPr>
      <w:r>
        <w:rPr>
          <w:rFonts w:hint="eastAsia"/>
          <w:color w:val="auto"/>
          <w:highlight w:val="none"/>
        </w:rPr>
        <w:t>成交供应商转包的，视同拒绝履行政府采购合同义务，将依法追究法律责任。</w:t>
      </w:r>
    </w:p>
    <w:p>
      <w:pPr>
        <w:pStyle w:val="32"/>
        <w:ind w:firstLine="482"/>
        <w:rPr>
          <w:color w:val="auto"/>
          <w:highlight w:val="none"/>
        </w:rPr>
      </w:pPr>
      <w:bookmarkStart w:id="128" w:name="_Toc488"/>
      <w:bookmarkStart w:id="129" w:name="_Toc27950"/>
      <w:r>
        <w:rPr>
          <w:rFonts w:hint="eastAsia"/>
          <w:color w:val="auto"/>
          <w:highlight w:val="none"/>
        </w:rPr>
        <w:t>补充合同</w:t>
      </w:r>
      <w:bookmarkEnd w:id="128"/>
      <w:bookmarkEnd w:id="129"/>
    </w:p>
    <w:p>
      <w:pPr>
        <w:pStyle w:val="34"/>
        <w:rPr>
          <w:color w:val="auto"/>
          <w:highlight w:val="none"/>
        </w:rPr>
      </w:pPr>
      <w:r>
        <w:rPr>
          <w:rFonts w:hint="eastAsia"/>
          <w:color w:val="auto"/>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32"/>
        <w:ind w:firstLine="482"/>
        <w:rPr>
          <w:color w:val="auto"/>
          <w:highlight w:val="none"/>
        </w:rPr>
      </w:pPr>
      <w:bookmarkStart w:id="130" w:name="_Toc24801"/>
      <w:bookmarkStart w:id="131" w:name="_Toc7056"/>
      <w:r>
        <w:rPr>
          <w:rFonts w:hint="eastAsia"/>
          <w:color w:val="auto"/>
          <w:highlight w:val="none"/>
        </w:rPr>
        <w:t>合同公告</w:t>
      </w:r>
      <w:bookmarkEnd w:id="130"/>
      <w:bookmarkEnd w:id="131"/>
    </w:p>
    <w:p>
      <w:pPr>
        <w:pStyle w:val="34"/>
        <w:rPr>
          <w:color w:val="auto"/>
          <w:highlight w:val="none"/>
        </w:rPr>
      </w:pPr>
      <w:r>
        <w:rPr>
          <w:rFonts w:hint="eastAsia"/>
          <w:color w:val="auto"/>
          <w:highlight w:val="none"/>
        </w:rPr>
        <w:t>1.采购人应当自政府采购合同签订(双方当事人均已签字盖章)之日起2个工作日内，将政府采购合同在省级以上人民政府财政部门指定的媒体“四川政府采购网”公告，但政府采购合同中涉及国家秘密、商业秘密的内容除外。</w:t>
      </w:r>
    </w:p>
    <w:p>
      <w:pPr>
        <w:pStyle w:val="33"/>
        <w:numPr>
          <w:ilvl w:val="3"/>
          <w:numId w:val="0"/>
        </w:numPr>
        <w:ind w:firstLine="480" w:firstLineChars="200"/>
        <w:rPr>
          <w:color w:val="auto"/>
          <w:highlight w:val="none"/>
        </w:rPr>
      </w:pPr>
      <w:r>
        <w:rPr>
          <w:rFonts w:hint="eastAsia"/>
          <w:color w:val="auto"/>
          <w:highlight w:val="none"/>
        </w:rPr>
        <w:t>2.采购人应当将政府采购合同副本自签订(双方当事人均已签字盖章)之日起七个工作日内通过“四川政府采购网”报同级财政部门备案。</w:t>
      </w:r>
    </w:p>
    <w:p>
      <w:pPr>
        <w:pStyle w:val="32"/>
        <w:ind w:firstLine="482"/>
        <w:rPr>
          <w:color w:val="auto"/>
          <w:highlight w:val="none"/>
        </w:rPr>
      </w:pPr>
      <w:bookmarkStart w:id="132" w:name="_Toc2945"/>
      <w:bookmarkStart w:id="133" w:name="_Toc18154"/>
      <w:r>
        <w:rPr>
          <w:rFonts w:hint="eastAsia"/>
          <w:color w:val="auto"/>
          <w:highlight w:val="none"/>
        </w:rPr>
        <w:t>履行合同</w:t>
      </w:r>
      <w:bookmarkEnd w:id="132"/>
      <w:bookmarkEnd w:id="133"/>
    </w:p>
    <w:p>
      <w:pPr>
        <w:pStyle w:val="33"/>
        <w:ind w:firstLine="480"/>
        <w:rPr>
          <w:color w:val="auto"/>
          <w:highlight w:val="none"/>
        </w:rPr>
      </w:pPr>
      <w:r>
        <w:rPr>
          <w:rFonts w:hint="eastAsia"/>
          <w:color w:val="auto"/>
          <w:highlight w:val="none"/>
        </w:rPr>
        <w:t>采购人与成交供应商应当根据合同的约定依法履行合同义务，保证合同顺利完成。</w:t>
      </w:r>
    </w:p>
    <w:p>
      <w:pPr>
        <w:pStyle w:val="33"/>
        <w:ind w:firstLine="480"/>
        <w:rPr>
          <w:color w:val="auto"/>
          <w:highlight w:val="none"/>
        </w:rPr>
      </w:pPr>
      <w:r>
        <w:rPr>
          <w:rFonts w:hint="eastAsia"/>
          <w:color w:val="auto"/>
          <w:highlight w:val="none"/>
        </w:rPr>
        <w:t>政府采购合同的履行、违约责任和解决争议的方法等适用《中华人民共和国民法典》。</w:t>
      </w:r>
    </w:p>
    <w:p>
      <w:pPr>
        <w:pStyle w:val="32"/>
        <w:ind w:firstLine="482"/>
        <w:rPr>
          <w:color w:val="auto"/>
          <w:highlight w:val="none"/>
        </w:rPr>
      </w:pPr>
      <w:bookmarkStart w:id="134" w:name="_Toc8615"/>
      <w:bookmarkStart w:id="135" w:name="_Toc19475"/>
      <w:bookmarkStart w:id="136" w:name="_Toc26311"/>
      <w:bookmarkStart w:id="137" w:name="_Toc17186"/>
      <w:bookmarkStart w:id="138" w:name="_Toc3160"/>
      <w:r>
        <w:rPr>
          <w:rFonts w:hint="eastAsia"/>
          <w:color w:val="auto"/>
          <w:highlight w:val="none"/>
        </w:rPr>
        <w:t>付款方式及履约验收</w:t>
      </w:r>
      <w:bookmarkEnd w:id="134"/>
      <w:bookmarkEnd w:id="135"/>
      <w:bookmarkEnd w:id="136"/>
      <w:bookmarkEnd w:id="137"/>
      <w:bookmarkEnd w:id="138"/>
    </w:p>
    <w:p>
      <w:pPr>
        <w:pStyle w:val="33"/>
        <w:ind w:firstLine="480"/>
        <w:rPr>
          <w:color w:val="auto"/>
          <w:highlight w:val="none"/>
        </w:rPr>
      </w:pPr>
      <w:r>
        <w:rPr>
          <w:rFonts w:hint="eastAsia"/>
          <w:color w:val="auto"/>
          <w:highlight w:val="none"/>
        </w:rPr>
        <w:t>付款方式</w:t>
      </w:r>
    </w:p>
    <w:p>
      <w:pPr>
        <w:pStyle w:val="35"/>
        <w:numPr>
          <w:ilvl w:val="4"/>
          <w:numId w:val="0"/>
        </w:numPr>
        <w:ind w:left="480" w:leftChars="200"/>
        <w:rPr>
          <w:color w:val="auto"/>
          <w:highlight w:val="none"/>
        </w:rPr>
      </w:pPr>
      <w:r>
        <w:rPr>
          <w:rFonts w:hint="eastAsia"/>
          <w:color w:val="auto"/>
          <w:highlight w:val="none"/>
        </w:rPr>
        <w:t>详见竞争性磋商文件第六章。</w:t>
      </w:r>
    </w:p>
    <w:p>
      <w:pPr>
        <w:pStyle w:val="33"/>
        <w:ind w:firstLine="480"/>
        <w:rPr>
          <w:color w:val="auto"/>
          <w:highlight w:val="none"/>
        </w:rPr>
      </w:pPr>
      <w:r>
        <w:rPr>
          <w:rFonts w:hint="eastAsia"/>
          <w:color w:val="auto"/>
          <w:highlight w:val="none"/>
        </w:rPr>
        <w:t>履约验收</w:t>
      </w:r>
      <w:r>
        <w:rPr>
          <w:rFonts w:hint="eastAsia"/>
          <w:b/>
          <w:bCs/>
          <w:color w:val="auto"/>
          <w:highlight w:val="none"/>
        </w:rPr>
        <w:t>(实质性要求)</w:t>
      </w:r>
    </w:p>
    <w:p>
      <w:pPr>
        <w:pStyle w:val="35"/>
        <w:numPr>
          <w:ilvl w:val="4"/>
          <w:numId w:val="0"/>
        </w:numPr>
        <w:ind w:left="480" w:leftChars="200"/>
        <w:rPr>
          <w:color w:val="auto"/>
          <w:highlight w:val="none"/>
        </w:rPr>
      </w:pPr>
      <w:r>
        <w:rPr>
          <w:rFonts w:hint="eastAsia"/>
          <w:color w:val="auto"/>
          <w:highlight w:val="none"/>
        </w:rPr>
        <w:t>详见竞争性磋商文件第六章。</w:t>
      </w:r>
    </w:p>
    <w:p>
      <w:pPr>
        <w:pStyle w:val="31"/>
        <w:spacing w:before="120" w:beforeLines="50" w:after="120" w:afterLines="50"/>
        <w:ind w:firstLine="0" w:firstLineChars="0"/>
        <w:jc w:val="center"/>
        <w:rPr>
          <w:color w:val="auto"/>
          <w:sz w:val="36"/>
          <w:szCs w:val="36"/>
          <w:highlight w:val="none"/>
        </w:rPr>
      </w:pPr>
      <w:bookmarkStart w:id="139" w:name="_Toc5194"/>
      <w:bookmarkStart w:id="140" w:name="_Toc23470"/>
      <w:r>
        <w:rPr>
          <w:rFonts w:hint="eastAsia"/>
          <w:color w:val="auto"/>
          <w:sz w:val="36"/>
          <w:szCs w:val="36"/>
          <w:highlight w:val="none"/>
        </w:rPr>
        <w:t>磋商纪律要求</w:t>
      </w:r>
      <w:bookmarkEnd w:id="139"/>
      <w:bookmarkEnd w:id="140"/>
    </w:p>
    <w:p>
      <w:pPr>
        <w:pStyle w:val="32"/>
        <w:ind w:firstLine="482"/>
        <w:rPr>
          <w:color w:val="auto"/>
          <w:highlight w:val="none"/>
        </w:rPr>
      </w:pPr>
      <w:bookmarkStart w:id="141" w:name="_Toc25072"/>
      <w:bookmarkStart w:id="142" w:name="_Toc10159"/>
      <w:r>
        <w:rPr>
          <w:rFonts w:hint="eastAsia"/>
          <w:color w:val="auto"/>
          <w:highlight w:val="none"/>
        </w:rPr>
        <w:t>供应商参加本项目采购活动不得具有的情形</w:t>
      </w:r>
      <w:bookmarkEnd w:id="123"/>
      <w:bookmarkEnd w:id="141"/>
      <w:bookmarkEnd w:id="142"/>
    </w:p>
    <w:p>
      <w:pPr>
        <w:pStyle w:val="41"/>
        <w:numPr>
          <w:ilvl w:val="1"/>
          <w:numId w:val="0"/>
        </w:numPr>
        <w:ind w:left="480" w:leftChars="200"/>
        <w:rPr>
          <w:color w:val="auto"/>
          <w:highlight w:val="none"/>
        </w:rPr>
      </w:pPr>
      <w:r>
        <w:rPr>
          <w:rFonts w:hint="eastAsia"/>
          <w:color w:val="auto"/>
          <w:highlight w:val="none"/>
        </w:rPr>
        <w:t>1.提供虚假材料谋取成交；</w:t>
      </w:r>
    </w:p>
    <w:p>
      <w:pPr>
        <w:pStyle w:val="41"/>
        <w:numPr>
          <w:ilvl w:val="1"/>
          <w:numId w:val="0"/>
        </w:numPr>
        <w:ind w:left="480" w:leftChars="200"/>
        <w:rPr>
          <w:color w:val="auto"/>
          <w:highlight w:val="none"/>
        </w:rPr>
      </w:pPr>
      <w:r>
        <w:rPr>
          <w:rFonts w:hint="eastAsia"/>
          <w:color w:val="auto"/>
          <w:highlight w:val="none"/>
        </w:rPr>
        <w:t>2.采取不正当手段诋毁、排挤其他供应商；</w:t>
      </w:r>
    </w:p>
    <w:p>
      <w:pPr>
        <w:pStyle w:val="41"/>
        <w:numPr>
          <w:ilvl w:val="1"/>
          <w:numId w:val="0"/>
        </w:numPr>
        <w:ind w:left="480" w:leftChars="200"/>
        <w:rPr>
          <w:color w:val="auto"/>
          <w:highlight w:val="none"/>
        </w:rPr>
      </w:pPr>
      <w:r>
        <w:rPr>
          <w:rFonts w:hint="eastAsia"/>
          <w:color w:val="auto"/>
          <w:highlight w:val="none"/>
        </w:rPr>
        <w:t>3.与采购人、采购代理机构或其他供应商恶意串通；</w:t>
      </w:r>
    </w:p>
    <w:p>
      <w:pPr>
        <w:pStyle w:val="41"/>
        <w:numPr>
          <w:ilvl w:val="1"/>
          <w:numId w:val="0"/>
        </w:numPr>
        <w:ind w:left="480" w:leftChars="200"/>
        <w:rPr>
          <w:color w:val="auto"/>
          <w:highlight w:val="none"/>
        </w:rPr>
      </w:pPr>
      <w:r>
        <w:rPr>
          <w:rFonts w:hint="eastAsia"/>
          <w:color w:val="auto"/>
          <w:highlight w:val="none"/>
        </w:rPr>
        <w:t>4.向采购人、采购代理机构、磋商小组成员行贿或者提供其他不正当利益；</w:t>
      </w:r>
    </w:p>
    <w:p>
      <w:pPr>
        <w:pStyle w:val="41"/>
        <w:numPr>
          <w:ilvl w:val="1"/>
          <w:numId w:val="0"/>
        </w:numPr>
        <w:ind w:left="480" w:leftChars="200"/>
        <w:rPr>
          <w:color w:val="auto"/>
          <w:highlight w:val="none"/>
        </w:rPr>
      </w:pPr>
      <w:r>
        <w:rPr>
          <w:rFonts w:hint="eastAsia"/>
          <w:color w:val="auto"/>
          <w:highlight w:val="none"/>
        </w:rPr>
        <w:t>5.在磋商过程中与采购人、采购代理机构进行协商；</w:t>
      </w:r>
    </w:p>
    <w:p>
      <w:pPr>
        <w:pStyle w:val="41"/>
        <w:numPr>
          <w:ilvl w:val="1"/>
          <w:numId w:val="0"/>
        </w:numPr>
        <w:ind w:left="480" w:leftChars="200"/>
        <w:rPr>
          <w:color w:val="auto"/>
          <w:highlight w:val="none"/>
        </w:rPr>
      </w:pPr>
      <w:r>
        <w:rPr>
          <w:rFonts w:hint="eastAsia"/>
          <w:color w:val="auto"/>
          <w:highlight w:val="none"/>
        </w:rPr>
        <w:t>6.成交后无正当理由拒不与采购人签订政府采购合同；</w:t>
      </w:r>
    </w:p>
    <w:p>
      <w:pPr>
        <w:pStyle w:val="41"/>
        <w:numPr>
          <w:ilvl w:val="1"/>
          <w:numId w:val="0"/>
        </w:numPr>
        <w:ind w:left="480" w:leftChars="200"/>
        <w:rPr>
          <w:color w:val="auto"/>
          <w:highlight w:val="none"/>
        </w:rPr>
      </w:pPr>
      <w:r>
        <w:rPr>
          <w:rFonts w:hint="eastAsia"/>
          <w:color w:val="auto"/>
          <w:highlight w:val="none"/>
        </w:rPr>
        <w:t>7.未按照磋商文件确定的事项签订政府采购合同；</w:t>
      </w:r>
    </w:p>
    <w:p>
      <w:pPr>
        <w:pStyle w:val="41"/>
        <w:numPr>
          <w:ilvl w:val="1"/>
          <w:numId w:val="0"/>
        </w:numPr>
        <w:ind w:left="480" w:leftChars="200"/>
        <w:rPr>
          <w:color w:val="auto"/>
          <w:highlight w:val="none"/>
        </w:rPr>
      </w:pPr>
      <w:r>
        <w:rPr>
          <w:rFonts w:hint="eastAsia"/>
          <w:color w:val="auto"/>
          <w:highlight w:val="none"/>
        </w:rPr>
        <w:t>8.将政府采购合同转包或者违规分包；</w:t>
      </w:r>
    </w:p>
    <w:p>
      <w:pPr>
        <w:pStyle w:val="41"/>
        <w:numPr>
          <w:ilvl w:val="1"/>
          <w:numId w:val="0"/>
        </w:numPr>
        <w:ind w:left="480" w:leftChars="200"/>
        <w:rPr>
          <w:color w:val="auto"/>
          <w:highlight w:val="none"/>
        </w:rPr>
      </w:pPr>
      <w:r>
        <w:rPr>
          <w:rFonts w:hint="eastAsia"/>
          <w:color w:val="auto"/>
          <w:highlight w:val="none"/>
        </w:rPr>
        <w:t>9.提供假冒伪劣产品；</w:t>
      </w:r>
    </w:p>
    <w:p>
      <w:pPr>
        <w:pStyle w:val="41"/>
        <w:numPr>
          <w:ilvl w:val="1"/>
          <w:numId w:val="0"/>
        </w:numPr>
        <w:ind w:left="480" w:leftChars="200"/>
        <w:rPr>
          <w:color w:val="auto"/>
          <w:highlight w:val="none"/>
        </w:rPr>
      </w:pPr>
      <w:r>
        <w:rPr>
          <w:rFonts w:hint="eastAsia"/>
          <w:color w:val="auto"/>
          <w:highlight w:val="none"/>
        </w:rPr>
        <w:t>10.擅自变更、中止或者终止政府采购合同；</w:t>
      </w:r>
    </w:p>
    <w:p>
      <w:pPr>
        <w:pStyle w:val="41"/>
        <w:numPr>
          <w:ilvl w:val="1"/>
          <w:numId w:val="0"/>
        </w:numPr>
        <w:ind w:left="480" w:leftChars="200"/>
        <w:rPr>
          <w:color w:val="auto"/>
          <w:highlight w:val="none"/>
        </w:rPr>
      </w:pPr>
      <w:r>
        <w:rPr>
          <w:rFonts w:hint="eastAsia"/>
          <w:color w:val="auto"/>
          <w:highlight w:val="none"/>
        </w:rPr>
        <w:t>11.拒绝有关部门的监督检查或者向监督检查部门提供虚假情况；</w:t>
      </w:r>
    </w:p>
    <w:p>
      <w:pPr>
        <w:pStyle w:val="41"/>
        <w:numPr>
          <w:ilvl w:val="1"/>
          <w:numId w:val="0"/>
        </w:numPr>
        <w:ind w:left="480" w:leftChars="200"/>
        <w:rPr>
          <w:color w:val="auto"/>
          <w:highlight w:val="none"/>
        </w:rPr>
      </w:pPr>
      <w:r>
        <w:rPr>
          <w:rFonts w:hint="eastAsia"/>
          <w:color w:val="auto"/>
          <w:highlight w:val="none"/>
        </w:rPr>
        <w:t>12.法律法规规定的其他情形。</w:t>
      </w:r>
    </w:p>
    <w:p>
      <w:pPr>
        <w:pStyle w:val="34"/>
        <w:rPr>
          <w:color w:val="auto"/>
          <w:highlight w:val="none"/>
        </w:rPr>
      </w:pPr>
      <w:bookmarkStart w:id="143" w:name="_Toc11007"/>
      <w:bookmarkStart w:id="144" w:name="_Toc28656"/>
      <w:bookmarkStart w:id="145" w:name="_Toc12708"/>
      <w:bookmarkStart w:id="146" w:name="_Toc31594"/>
      <w:bookmarkStart w:id="147" w:name="_Toc19578"/>
      <w:bookmarkStart w:id="148" w:name="_Toc29848"/>
      <w:bookmarkStart w:id="149" w:name="_Toc1683"/>
      <w:bookmarkStart w:id="150" w:name="_Toc17041"/>
      <w:r>
        <w:rPr>
          <w:rFonts w:hint="eastAsia"/>
          <w:color w:val="auto"/>
          <w:highlight w:val="none"/>
        </w:rPr>
        <w:t>供应商有上述情形的，按照规定追究法律责任，具备1～10条情形之一的，同时将取消成交资格或者认定成交无效。</w:t>
      </w:r>
    </w:p>
    <w:p>
      <w:pPr>
        <w:pStyle w:val="32"/>
        <w:ind w:firstLine="482"/>
        <w:rPr>
          <w:color w:val="auto"/>
          <w:highlight w:val="none"/>
        </w:rPr>
      </w:pPr>
      <w:bookmarkStart w:id="151" w:name="_Toc29926"/>
      <w:bookmarkStart w:id="152" w:name="_Toc4095"/>
      <w:r>
        <w:rPr>
          <w:rFonts w:hint="eastAsia"/>
          <w:color w:val="auto"/>
          <w:highlight w:val="none"/>
        </w:rPr>
        <w:t>磋商现场纪律要求</w:t>
      </w:r>
      <w:bookmarkEnd w:id="151"/>
      <w:bookmarkEnd w:id="152"/>
    </w:p>
    <w:p>
      <w:pPr>
        <w:pStyle w:val="34"/>
        <w:rPr>
          <w:color w:val="auto"/>
          <w:highlight w:val="none"/>
        </w:rPr>
      </w:pPr>
      <w:r>
        <w:rPr>
          <w:rFonts w:hint="eastAsia"/>
          <w:color w:val="auto"/>
          <w:highlight w:val="none"/>
        </w:rPr>
        <w:t>供应商在磋商现场须听从采购代理机构的安排，自觉遵守秩序，不得起哄，大声喧哗；不得现场与其他供应商协商报价；不得干预磋商评审，否则由此造成的一切不利后果由供应商自行独立承担，同时采购代理机构向同级财政监督管理部门报告。</w:t>
      </w:r>
    </w:p>
    <w:bookmarkEnd w:id="143"/>
    <w:bookmarkEnd w:id="144"/>
    <w:bookmarkEnd w:id="145"/>
    <w:bookmarkEnd w:id="146"/>
    <w:bookmarkEnd w:id="147"/>
    <w:bookmarkEnd w:id="148"/>
    <w:bookmarkEnd w:id="149"/>
    <w:p>
      <w:pPr>
        <w:pStyle w:val="31"/>
        <w:spacing w:before="120" w:beforeLines="50" w:after="120" w:afterLines="50"/>
        <w:ind w:firstLine="0" w:firstLineChars="0"/>
        <w:jc w:val="center"/>
        <w:rPr>
          <w:color w:val="auto"/>
          <w:sz w:val="36"/>
          <w:szCs w:val="36"/>
          <w:highlight w:val="none"/>
        </w:rPr>
      </w:pPr>
      <w:bookmarkStart w:id="153" w:name="_Toc17158"/>
      <w:bookmarkStart w:id="154" w:name="_Toc19072"/>
      <w:r>
        <w:rPr>
          <w:rFonts w:hint="eastAsia"/>
          <w:color w:val="auto"/>
          <w:sz w:val="36"/>
          <w:szCs w:val="36"/>
          <w:highlight w:val="none"/>
        </w:rPr>
        <w:t>其他</w:t>
      </w:r>
      <w:bookmarkEnd w:id="153"/>
      <w:bookmarkEnd w:id="154"/>
    </w:p>
    <w:p>
      <w:pPr>
        <w:pStyle w:val="32"/>
        <w:ind w:firstLine="482"/>
        <w:rPr>
          <w:color w:val="auto"/>
          <w:highlight w:val="none"/>
        </w:rPr>
      </w:pPr>
      <w:bookmarkStart w:id="155" w:name="_Toc11198"/>
      <w:bookmarkStart w:id="156" w:name="_Toc24369"/>
      <w:r>
        <w:rPr>
          <w:rFonts w:hint="eastAsia"/>
          <w:color w:val="auto"/>
          <w:highlight w:val="none"/>
        </w:rPr>
        <w:t>询问、质疑和投诉</w:t>
      </w:r>
      <w:bookmarkEnd w:id="155"/>
      <w:bookmarkEnd w:id="156"/>
    </w:p>
    <w:p>
      <w:pPr>
        <w:pStyle w:val="41"/>
        <w:numPr>
          <w:ilvl w:val="1"/>
          <w:numId w:val="0"/>
        </w:numPr>
        <w:ind w:left="480" w:leftChars="200"/>
        <w:rPr>
          <w:color w:val="auto"/>
          <w:highlight w:val="none"/>
        </w:rPr>
      </w:pPr>
      <w:r>
        <w:rPr>
          <w:rFonts w:hint="eastAsia"/>
          <w:color w:val="auto"/>
          <w:highlight w:val="none"/>
        </w:rPr>
        <w:t>具体详见磋商须知前附表</w:t>
      </w:r>
      <w:bookmarkEnd w:id="150"/>
      <w:r>
        <w:rPr>
          <w:rFonts w:hint="eastAsia"/>
          <w:color w:val="auto"/>
          <w:highlight w:val="none"/>
        </w:rPr>
        <w:t>。</w:t>
      </w:r>
    </w:p>
    <w:p>
      <w:pPr>
        <w:pStyle w:val="32"/>
        <w:ind w:firstLine="482"/>
        <w:rPr>
          <w:color w:val="auto"/>
          <w:highlight w:val="none"/>
        </w:rPr>
      </w:pPr>
      <w:bookmarkStart w:id="157" w:name="_Toc16406"/>
      <w:bookmarkStart w:id="158" w:name="_Toc23322"/>
      <w:bookmarkStart w:id="159" w:name="_Toc18625"/>
      <w:bookmarkStart w:id="160" w:name="_Toc2794"/>
      <w:bookmarkStart w:id="161" w:name="_Toc24020"/>
      <w:bookmarkStart w:id="162" w:name="_Toc26947"/>
      <w:bookmarkStart w:id="163" w:name="_Toc1748"/>
      <w:bookmarkStart w:id="164" w:name="_Toc31084"/>
      <w:r>
        <w:rPr>
          <w:rFonts w:hint="eastAsia"/>
          <w:color w:val="auto"/>
          <w:highlight w:val="none"/>
        </w:rPr>
        <w:t>关于行贿犯罪档案查询工作的规定</w:t>
      </w:r>
      <w:bookmarkEnd w:id="157"/>
      <w:bookmarkEnd w:id="158"/>
      <w:bookmarkEnd w:id="159"/>
      <w:bookmarkEnd w:id="160"/>
      <w:bookmarkEnd w:id="161"/>
      <w:bookmarkEnd w:id="162"/>
      <w:bookmarkEnd w:id="163"/>
      <w:bookmarkEnd w:id="164"/>
    </w:p>
    <w:p>
      <w:pPr>
        <w:pStyle w:val="34"/>
        <w:rPr>
          <w:color w:val="auto"/>
          <w:highlight w:val="none"/>
        </w:rPr>
      </w:pPr>
      <w:bookmarkStart w:id="165" w:name="_Toc29751"/>
      <w:bookmarkStart w:id="166" w:name="_Toc14412"/>
      <w:bookmarkStart w:id="167" w:name="_Toc4110"/>
      <w:r>
        <w:rPr>
          <w:rFonts w:hint="eastAsia"/>
          <w:color w:val="auto"/>
          <w:highlight w:val="none"/>
        </w:rPr>
        <w:t>因国家检察机关职务犯罪侦查部门转隶工作已经完成，供应商参与采购活动时须按照磋商文件要求提供承诺函或由采购代理机构通过“中国裁判文书网”查询，并将查询记录存档。</w:t>
      </w:r>
      <w:bookmarkEnd w:id="165"/>
      <w:bookmarkEnd w:id="166"/>
    </w:p>
    <w:p>
      <w:pPr>
        <w:pStyle w:val="32"/>
        <w:ind w:firstLine="482"/>
        <w:rPr>
          <w:color w:val="auto"/>
          <w:highlight w:val="none"/>
        </w:rPr>
      </w:pPr>
      <w:bookmarkStart w:id="168" w:name="_Toc24800"/>
      <w:bookmarkStart w:id="169" w:name="_Toc940"/>
      <w:r>
        <w:rPr>
          <w:rFonts w:hint="eastAsia"/>
          <w:color w:val="auto"/>
          <w:highlight w:val="none"/>
        </w:rPr>
        <w:t>供应商信用信息查询</w:t>
      </w:r>
      <w:bookmarkEnd w:id="167"/>
      <w:bookmarkEnd w:id="168"/>
      <w:bookmarkEnd w:id="169"/>
    </w:p>
    <w:p>
      <w:pPr>
        <w:pStyle w:val="41"/>
        <w:numPr>
          <w:ilvl w:val="1"/>
          <w:numId w:val="0"/>
        </w:numPr>
        <w:ind w:firstLine="480" w:firstLineChars="200"/>
        <w:rPr>
          <w:color w:val="auto"/>
          <w:highlight w:val="none"/>
        </w:rPr>
      </w:pPr>
      <w:r>
        <w:rPr>
          <w:rFonts w:hint="eastAsia"/>
          <w:color w:val="auto"/>
          <w:highlight w:val="none"/>
        </w:rPr>
        <w:t>1.供应商信用信息查询渠道</w:t>
      </w:r>
    </w:p>
    <w:p>
      <w:pPr>
        <w:pStyle w:val="34"/>
        <w:rPr>
          <w:color w:val="auto"/>
          <w:highlight w:val="none"/>
        </w:rPr>
      </w:pPr>
      <w:r>
        <w:rPr>
          <w:rFonts w:hint="eastAsia"/>
          <w:color w:val="auto"/>
          <w:highlight w:val="none"/>
        </w:rPr>
        <w:t>“信用中国”网站(www.creditchina.gov.cn)、“中国政府采购网”(www.ccgp.gov.cn)等。</w:t>
      </w:r>
    </w:p>
    <w:p>
      <w:pPr>
        <w:pStyle w:val="41"/>
        <w:numPr>
          <w:ilvl w:val="1"/>
          <w:numId w:val="0"/>
        </w:numPr>
        <w:ind w:firstLine="480" w:firstLineChars="200"/>
        <w:rPr>
          <w:color w:val="auto"/>
          <w:highlight w:val="none"/>
        </w:rPr>
      </w:pPr>
      <w:r>
        <w:rPr>
          <w:rFonts w:hint="eastAsia"/>
          <w:color w:val="auto"/>
          <w:highlight w:val="none"/>
        </w:rPr>
        <w:t>2.供应商信用信息查询截止时点</w:t>
      </w:r>
    </w:p>
    <w:p>
      <w:pPr>
        <w:pStyle w:val="34"/>
        <w:rPr>
          <w:color w:val="auto"/>
          <w:highlight w:val="none"/>
        </w:rPr>
      </w:pPr>
      <w:r>
        <w:rPr>
          <w:rFonts w:hint="eastAsia"/>
          <w:color w:val="auto"/>
          <w:highlight w:val="none"/>
        </w:rPr>
        <w:t>信用信息查询在资格审查阶段进行。</w:t>
      </w:r>
    </w:p>
    <w:p>
      <w:pPr>
        <w:pStyle w:val="41"/>
        <w:numPr>
          <w:ilvl w:val="1"/>
          <w:numId w:val="0"/>
        </w:numPr>
        <w:ind w:firstLine="480" w:firstLineChars="200"/>
        <w:rPr>
          <w:color w:val="auto"/>
          <w:highlight w:val="none"/>
        </w:rPr>
      </w:pPr>
      <w:r>
        <w:rPr>
          <w:rFonts w:hint="eastAsia"/>
          <w:color w:val="auto"/>
          <w:highlight w:val="none"/>
        </w:rPr>
        <w:t>3.供应商信用信息查询记录和证据留存的具体方式</w:t>
      </w:r>
    </w:p>
    <w:p>
      <w:pPr>
        <w:pStyle w:val="34"/>
        <w:rPr>
          <w:color w:val="auto"/>
          <w:highlight w:val="none"/>
        </w:rPr>
      </w:pPr>
      <w:r>
        <w:rPr>
          <w:rFonts w:hint="eastAsia"/>
          <w:color w:val="auto"/>
          <w:highlight w:val="none"/>
        </w:rPr>
        <w:t>采购代理机构通过“信用中国”网站、“中国政府采购网”等渠道对供应商进行信用记录查询，并将查询记录存档。</w:t>
      </w:r>
    </w:p>
    <w:p>
      <w:pPr>
        <w:pStyle w:val="41"/>
        <w:numPr>
          <w:ilvl w:val="1"/>
          <w:numId w:val="0"/>
        </w:numPr>
        <w:ind w:firstLine="480" w:firstLineChars="200"/>
        <w:rPr>
          <w:color w:val="auto"/>
          <w:highlight w:val="none"/>
        </w:rPr>
      </w:pPr>
      <w:r>
        <w:rPr>
          <w:rFonts w:hint="eastAsia"/>
          <w:color w:val="auto"/>
          <w:highlight w:val="none"/>
          <w:lang w:val="en-US" w:eastAsia="zh-CN"/>
        </w:rPr>
        <w:t>4.</w:t>
      </w:r>
      <w:r>
        <w:rPr>
          <w:rFonts w:hint="eastAsia"/>
          <w:color w:val="auto"/>
          <w:highlight w:val="none"/>
        </w:rPr>
        <w:t>供应商信用信息的使用：凡被列入失信被执行人、重大税收违法案件当事人名单、政府采购严重违法失信行为记录名单的，视为存在不良信用记录，参与本项目的将被拒绝。</w:t>
      </w:r>
    </w:p>
    <w:p>
      <w:pPr>
        <w:pStyle w:val="32"/>
        <w:ind w:firstLine="482"/>
        <w:rPr>
          <w:color w:val="auto"/>
          <w:highlight w:val="none"/>
        </w:rPr>
      </w:pPr>
      <w:bookmarkStart w:id="170" w:name="_Toc5438"/>
      <w:bookmarkStart w:id="171" w:name="_Toc19570"/>
      <w:r>
        <w:rPr>
          <w:rFonts w:hint="eastAsia"/>
          <w:color w:val="auto"/>
          <w:highlight w:val="none"/>
        </w:rPr>
        <w:t>保密</w:t>
      </w:r>
      <w:bookmarkEnd w:id="170"/>
      <w:bookmarkEnd w:id="171"/>
    </w:p>
    <w:p>
      <w:pPr>
        <w:pStyle w:val="11"/>
        <w:tabs>
          <w:tab w:val="left" w:pos="1134"/>
          <w:tab w:val="clear" w:pos="0"/>
        </w:tabs>
        <w:ind w:firstLine="480"/>
        <w:rPr>
          <w:color w:val="auto"/>
          <w:highlight w:val="none"/>
        </w:rPr>
      </w:pPr>
      <w:r>
        <w:rPr>
          <w:rFonts w:hint="eastAsia"/>
          <w:color w:val="auto"/>
          <w:highlight w:val="none"/>
        </w:rPr>
        <w:t>1.各采购当事人不得透露有关成功获取采购文件的潜在供应商的任何情况。</w:t>
      </w:r>
    </w:p>
    <w:p>
      <w:pPr>
        <w:pStyle w:val="11"/>
        <w:tabs>
          <w:tab w:val="left" w:pos="1134"/>
          <w:tab w:val="clear" w:pos="0"/>
        </w:tabs>
        <w:ind w:firstLine="480"/>
        <w:rPr>
          <w:color w:val="auto"/>
          <w:highlight w:val="none"/>
        </w:rPr>
      </w:pPr>
      <w:r>
        <w:rPr>
          <w:rFonts w:hint="eastAsia"/>
          <w:color w:val="auto"/>
          <w:highlight w:val="none"/>
        </w:rPr>
        <w:t>2.供应商有关响应文件的审查、澄清、评估和比较以及合同授予意向等情况均不得对外透露。</w:t>
      </w:r>
    </w:p>
    <w:p>
      <w:pPr>
        <w:pStyle w:val="32"/>
        <w:ind w:firstLine="482"/>
        <w:rPr>
          <w:color w:val="auto"/>
          <w:highlight w:val="none"/>
        </w:rPr>
      </w:pPr>
      <w:bookmarkStart w:id="172" w:name="_Toc14173"/>
      <w:bookmarkStart w:id="173" w:name="_Toc9400"/>
      <w:r>
        <w:rPr>
          <w:rFonts w:hint="eastAsia"/>
          <w:color w:val="auto"/>
          <w:highlight w:val="none"/>
        </w:rPr>
        <w:t>回避</w:t>
      </w:r>
      <w:bookmarkEnd w:id="172"/>
      <w:bookmarkEnd w:id="173"/>
    </w:p>
    <w:p>
      <w:pPr>
        <w:pStyle w:val="11"/>
        <w:tabs>
          <w:tab w:val="left" w:pos="1134"/>
          <w:tab w:val="clear" w:pos="0"/>
        </w:tabs>
        <w:ind w:firstLine="480"/>
        <w:rPr>
          <w:color w:val="auto"/>
          <w:highlight w:val="none"/>
        </w:rPr>
      </w:pPr>
      <w:r>
        <w:rPr>
          <w:rFonts w:hint="eastAsia"/>
          <w:color w:val="auto"/>
          <w:highlight w:val="none"/>
        </w:rPr>
        <w:t>在政府采购活动中，采购人员及相关人员与供应商有下列利害关系之一的，应当回避：</w:t>
      </w:r>
    </w:p>
    <w:p>
      <w:pPr>
        <w:pStyle w:val="11"/>
        <w:tabs>
          <w:tab w:val="left" w:pos="1134"/>
          <w:tab w:val="clear" w:pos="0"/>
        </w:tabs>
        <w:ind w:firstLine="480"/>
        <w:rPr>
          <w:color w:val="auto"/>
          <w:highlight w:val="none"/>
        </w:rPr>
      </w:pPr>
      <w:r>
        <w:rPr>
          <w:rFonts w:hint="eastAsia"/>
          <w:color w:val="auto"/>
          <w:highlight w:val="none"/>
        </w:rPr>
        <w:t>1.参加采购活动前3年内与供应商存在劳动关系；</w:t>
      </w:r>
    </w:p>
    <w:p>
      <w:pPr>
        <w:pStyle w:val="11"/>
        <w:tabs>
          <w:tab w:val="left" w:pos="1134"/>
          <w:tab w:val="clear" w:pos="0"/>
        </w:tabs>
        <w:ind w:firstLine="480"/>
        <w:rPr>
          <w:color w:val="auto"/>
          <w:highlight w:val="none"/>
        </w:rPr>
      </w:pPr>
      <w:r>
        <w:rPr>
          <w:rFonts w:hint="eastAsia"/>
          <w:color w:val="auto"/>
          <w:highlight w:val="none"/>
        </w:rPr>
        <w:t>2.参加采购活动前3年内担任供应商的董事、监事；</w:t>
      </w:r>
    </w:p>
    <w:p>
      <w:pPr>
        <w:pStyle w:val="11"/>
        <w:tabs>
          <w:tab w:val="left" w:pos="1134"/>
          <w:tab w:val="clear" w:pos="0"/>
        </w:tabs>
        <w:ind w:firstLine="480"/>
        <w:rPr>
          <w:color w:val="auto"/>
          <w:highlight w:val="none"/>
        </w:rPr>
      </w:pPr>
      <w:r>
        <w:rPr>
          <w:rFonts w:hint="eastAsia"/>
          <w:color w:val="auto"/>
          <w:highlight w:val="none"/>
        </w:rPr>
        <w:t>3.参加采购活动前3年内是供应商的控股股东或者实际控制人；</w:t>
      </w:r>
    </w:p>
    <w:p>
      <w:pPr>
        <w:pStyle w:val="11"/>
        <w:tabs>
          <w:tab w:val="left" w:pos="1134"/>
          <w:tab w:val="clear" w:pos="0"/>
        </w:tabs>
        <w:ind w:firstLine="480"/>
        <w:rPr>
          <w:color w:val="auto"/>
          <w:highlight w:val="none"/>
        </w:rPr>
      </w:pPr>
      <w:r>
        <w:rPr>
          <w:rFonts w:hint="eastAsia"/>
          <w:color w:val="auto"/>
          <w:highlight w:val="none"/>
        </w:rPr>
        <w:t>4.与供应商的法定代表人或者负责人有夫妻、直系血亲、三代以内旁系血亲或者近姻亲关系；</w:t>
      </w:r>
    </w:p>
    <w:p>
      <w:pPr>
        <w:pStyle w:val="11"/>
        <w:tabs>
          <w:tab w:val="left" w:pos="1134"/>
          <w:tab w:val="clear" w:pos="0"/>
        </w:tabs>
        <w:ind w:firstLine="480"/>
        <w:rPr>
          <w:color w:val="auto"/>
          <w:highlight w:val="none"/>
        </w:rPr>
      </w:pPr>
      <w:r>
        <w:rPr>
          <w:rFonts w:hint="eastAsia"/>
          <w:color w:val="auto"/>
          <w:highlight w:val="none"/>
        </w:rPr>
        <w:t>5.与供应商有其他可能影响政府采购活动公平、公正进行的关系。</w:t>
      </w:r>
    </w:p>
    <w:p>
      <w:pPr>
        <w:pStyle w:val="11"/>
        <w:tabs>
          <w:tab w:val="left" w:pos="1134"/>
          <w:tab w:val="clear" w:pos="0"/>
        </w:tabs>
        <w:ind w:firstLine="480"/>
        <w:rPr>
          <w:color w:val="auto"/>
          <w:highlight w:val="none"/>
        </w:rPr>
      </w:pPr>
      <w:r>
        <w:rPr>
          <w:rFonts w:hint="eastAsia"/>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2"/>
        <w:ind w:firstLine="482"/>
        <w:rPr>
          <w:color w:val="auto"/>
          <w:highlight w:val="none"/>
        </w:rPr>
      </w:pPr>
      <w:bookmarkStart w:id="174" w:name="_Toc16596"/>
      <w:r>
        <w:rPr>
          <w:rFonts w:hint="eastAsia"/>
          <w:color w:val="auto"/>
          <w:highlight w:val="none"/>
        </w:rPr>
        <w:t>解释说明</w:t>
      </w:r>
      <w:bookmarkEnd w:id="174"/>
    </w:p>
    <w:p>
      <w:pPr>
        <w:pStyle w:val="41"/>
        <w:numPr>
          <w:ilvl w:val="1"/>
          <w:numId w:val="0"/>
        </w:numPr>
        <w:ind w:firstLine="480" w:firstLineChars="200"/>
        <w:rPr>
          <w:color w:val="auto"/>
          <w:highlight w:val="none"/>
        </w:rPr>
      </w:pPr>
      <w:r>
        <w:rPr>
          <w:rFonts w:hint="eastAsia"/>
          <w:color w:val="auto"/>
          <w:highlight w:val="none"/>
        </w:rPr>
        <w:t>1.本磋商文件中作为实质性要求的内容，除明确要求需在响应文件中提供承诺函等证明材料的外，评审委员会在评审时，仅对响应文件是否违背实质性要求进行审查。</w:t>
      </w:r>
    </w:p>
    <w:p>
      <w:pPr>
        <w:pStyle w:val="41"/>
        <w:numPr>
          <w:ilvl w:val="1"/>
          <w:numId w:val="0"/>
        </w:numPr>
        <w:ind w:firstLine="480" w:firstLineChars="200"/>
        <w:rPr>
          <w:color w:val="auto"/>
          <w:highlight w:val="none"/>
        </w:rPr>
      </w:pPr>
      <w:r>
        <w:rPr>
          <w:rFonts w:hint="eastAsia"/>
          <w:color w:val="auto"/>
          <w:highlight w:val="none"/>
        </w:rPr>
        <w:t>2.本磋商文件中所引用的相关法律制度规定，在政府采购中有变化的，按照变化后的相关法律制度规定执行。在本项目响应文件递交截止时间届满后，因相关法律制度规定的变化导致不符合相关法律制度规定的，按照变化后的相关法律制度规定执行，本磋商文件不再做调整。</w:t>
      </w:r>
    </w:p>
    <w:p>
      <w:pPr>
        <w:pStyle w:val="41"/>
        <w:numPr>
          <w:ilvl w:val="1"/>
          <w:numId w:val="0"/>
        </w:numPr>
        <w:ind w:firstLine="480" w:firstLineChars="200"/>
        <w:rPr>
          <w:color w:val="auto"/>
          <w:highlight w:val="none"/>
        </w:rPr>
      </w:pPr>
      <w:r>
        <w:rPr>
          <w:rFonts w:hint="eastAsia"/>
          <w:color w:val="auto"/>
          <w:highlight w:val="none"/>
        </w:rPr>
        <w:t>3.国家或行业主管部门对供应商和采购产品的技术标准、质量标准和资格资质条件等有强制性规定的，必须符合其要求</w:t>
      </w:r>
      <w:r>
        <w:rPr>
          <w:rFonts w:hint="eastAsia"/>
          <w:b/>
          <w:bCs/>
          <w:color w:val="auto"/>
          <w:highlight w:val="none"/>
        </w:rPr>
        <w:t>(实质性要求)</w:t>
      </w:r>
      <w:r>
        <w:rPr>
          <w:rFonts w:hint="eastAsia"/>
          <w:color w:val="auto"/>
          <w:highlight w:val="none"/>
        </w:rPr>
        <w:t>。</w:t>
      </w:r>
    </w:p>
    <w:p>
      <w:pPr>
        <w:pStyle w:val="41"/>
        <w:numPr>
          <w:ilvl w:val="1"/>
          <w:numId w:val="0"/>
        </w:numPr>
        <w:ind w:firstLine="480" w:firstLineChars="200"/>
        <w:rPr>
          <w:color w:val="auto"/>
          <w:highlight w:val="none"/>
        </w:rPr>
      </w:pPr>
      <w:r>
        <w:rPr>
          <w:rFonts w:hint="eastAsia"/>
          <w:color w:val="auto"/>
          <w:highlight w:val="none"/>
        </w:rPr>
        <w:t>4.</w:t>
      </w:r>
      <w:r>
        <w:rPr>
          <w:rFonts w:hint="eastAsia" w:cs="宋体"/>
          <w:color w:val="auto"/>
          <w:highlight w:val="none"/>
        </w:rPr>
        <w:t>本项目涉及企业资质、产品认证、人员执业资格等描述与国家最新要求不一致时以最新要求为准。</w:t>
      </w:r>
    </w:p>
    <w:p>
      <w:pPr>
        <w:pStyle w:val="30"/>
        <w:rPr>
          <w:color w:val="auto"/>
          <w:highlight w:val="none"/>
        </w:rPr>
      </w:pP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Pr>
        <w:pStyle w:val="29"/>
        <w:spacing w:before="120" w:after="120"/>
        <w:rPr>
          <w:color w:val="auto"/>
          <w:highlight w:val="none"/>
        </w:rPr>
      </w:pPr>
      <w:bookmarkStart w:id="175" w:name="_Toc5589"/>
      <w:r>
        <w:rPr>
          <w:rFonts w:hint="eastAsia"/>
          <w:color w:val="auto"/>
          <w:highlight w:val="none"/>
        </w:rPr>
        <w:br w:type="page"/>
      </w:r>
      <w:bookmarkEnd w:id="175"/>
      <w:bookmarkStart w:id="176" w:name="_Toc25961"/>
      <w:bookmarkStart w:id="177" w:name="_Toc14331"/>
      <w:bookmarkStart w:id="178" w:name="_Toc31402"/>
      <w:bookmarkStart w:id="179" w:name="_Toc4206"/>
      <w:bookmarkStart w:id="180" w:name="_Toc29575"/>
      <w:r>
        <w:rPr>
          <w:rFonts w:hint="eastAsia"/>
          <w:color w:val="auto"/>
          <w:highlight w:val="none"/>
        </w:rPr>
        <w:t>响应文件格式</w:t>
      </w:r>
      <w:bookmarkEnd w:id="176"/>
      <w:bookmarkEnd w:id="177"/>
      <w:bookmarkEnd w:id="178"/>
      <w:bookmarkEnd w:id="179"/>
      <w:bookmarkEnd w:id="180"/>
    </w:p>
    <w:p>
      <w:pPr>
        <w:pStyle w:val="34"/>
        <w:rPr>
          <w:color w:val="auto"/>
          <w:highlight w:val="none"/>
        </w:rPr>
      </w:pPr>
      <w:bookmarkStart w:id="181" w:name="_Toc182759327"/>
      <w:bookmarkStart w:id="182" w:name="_Toc16460"/>
      <w:bookmarkStart w:id="183" w:name="_Toc294688711"/>
      <w:bookmarkStart w:id="184" w:name="_Toc287367101"/>
      <w:bookmarkStart w:id="185" w:name="_Toc439161746"/>
      <w:bookmarkStart w:id="186" w:name="_Toc295978802"/>
      <w:bookmarkStart w:id="187" w:name="_Toc211218954"/>
      <w:bookmarkStart w:id="188" w:name="_Toc316462354"/>
      <w:bookmarkStart w:id="189" w:name="_Toc294701519"/>
      <w:bookmarkStart w:id="190" w:name="_Toc182629023"/>
      <w:r>
        <w:rPr>
          <w:rFonts w:hint="eastAsia"/>
          <w:color w:val="auto"/>
          <w:highlight w:val="none"/>
        </w:rPr>
        <w:t>一、本章所制响应文件格式，除格式中明确将该格式作为实质性要求的，一律不具有强制性，供应商不涉及的格式可以不提供。</w:t>
      </w:r>
    </w:p>
    <w:p>
      <w:pPr>
        <w:pStyle w:val="34"/>
        <w:rPr>
          <w:color w:val="auto"/>
          <w:highlight w:val="none"/>
        </w:rPr>
      </w:pPr>
      <w:r>
        <w:rPr>
          <w:rFonts w:hint="eastAsia"/>
          <w:color w:val="auto"/>
          <w:highlight w:val="none"/>
        </w:rPr>
        <w:t>二、本章所制响应文件格式有关表格中的备注栏，由供应商根据自身响应情况作解释性说明，不作为必填项。</w:t>
      </w:r>
    </w:p>
    <w:p>
      <w:pPr>
        <w:pStyle w:val="34"/>
        <w:rPr>
          <w:color w:val="auto"/>
          <w:highlight w:val="none"/>
        </w:rPr>
      </w:pPr>
      <w:r>
        <w:rPr>
          <w:rFonts w:hint="eastAsia"/>
          <w:color w:val="auto"/>
          <w:highlight w:val="none"/>
        </w:rPr>
        <w:t>三、本章格式中“注”的内容，供应商可自行决定是否保留在响应文件中，未保留的视为供应商默认接受“注”的内容。</w:t>
      </w:r>
    </w:p>
    <w:p>
      <w:pPr>
        <w:pStyle w:val="34"/>
        <w:rPr>
          <w:color w:val="auto"/>
          <w:highlight w:val="none"/>
        </w:rPr>
      </w:pPr>
      <w:r>
        <w:rPr>
          <w:rFonts w:hint="eastAsia"/>
          <w:color w:val="auto"/>
          <w:highlight w:val="none"/>
        </w:rPr>
        <w:t>四、本章所制响应文件格式中需要填写的相关内容事项，可能会与本采购项目无关，在不改变响应文件原义、不影响本项目采购需求的情况下，供应商可以不予填写，但应当注明。</w:t>
      </w:r>
    </w:p>
    <w:p>
      <w:pPr>
        <w:pStyle w:val="30"/>
        <w:rPr>
          <w:color w:val="auto"/>
          <w:highlight w:val="none"/>
        </w:rPr>
      </w:pPr>
      <w:r>
        <w:rPr>
          <w:rFonts w:hint="eastAsia"/>
          <w:color w:val="auto"/>
          <w:highlight w:val="none"/>
        </w:rPr>
        <w:br w:type="page"/>
      </w:r>
    </w:p>
    <w:p>
      <w:pPr>
        <w:pStyle w:val="42"/>
        <w:rPr>
          <w:color w:val="auto"/>
          <w:highlight w:val="none"/>
        </w:rPr>
      </w:pPr>
      <w:r>
        <w:rPr>
          <w:rFonts w:hint="eastAsia"/>
          <w:color w:val="auto"/>
          <w:highlight w:val="none"/>
        </w:rPr>
        <w:t>附件：密封袋的格式</w:t>
      </w:r>
    </w:p>
    <w:p>
      <w:pPr>
        <w:pStyle w:val="42"/>
        <w:rPr>
          <w:color w:val="auto"/>
          <w:highlight w:val="none"/>
        </w:rPr>
      </w:pPr>
    </w:p>
    <w:p>
      <w:pPr>
        <w:pStyle w:val="42"/>
        <w:rPr>
          <w:color w:val="auto"/>
          <w:highlight w:val="none"/>
        </w:rPr>
      </w:pPr>
    </w:p>
    <w:p>
      <w:pPr>
        <w:pStyle w:val="42"/>
        <w:rPr>
          <w:color w:val="auto"/>
          <w:highlight w:val="none"/>
        </w:rPr>
      </w:pPr>
    </w:p>
    <w:tbl>
      <w:tblPr>
        <w:tblStyle w:val="24"/>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2"/>
              <w:rPr>
                <w:color w:val="auto"/>
                <w:highlight w:val="none"/>
              </w:rPr>
            </w:pPr>
          </w:p>
          <w:p>
            <w:pPr>
              <w:tabs>
                <w:tab w:val="left" w:pos="7665"/>
                <w:tab w:val="clear" w:pos="0"/>
              </w:tabs>
              <w:spacing w:line="400" w:lineRule="exact"/>
              <w:ind w:firstLine="2280" w:firstLineChars="95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p>
          <w:p>
            <w:pPr>
              <w:tabs>
                <w:tab w:val="left" w:pos="7665"/>
                <w:tab w:val="clear" w:pos="0"/>
              </w:tabs>
              <w:spacing w:line="400" w:lineRule="exact"/>
              <w:ind w:firstLine="2280" w:firstLineChars="95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p>
          <w:p>
            <w:pPr>
              <w:tabs>
                <w:tab w:val="left" w:pos="7665"/>
                <w:tab w:val="clear" w:pos="0"/>
              </w:tabs>
              <w:spacing w:line="400" w:lineRule="exact"/>
              <w:jc w:val="center"/>
              <w:rPr>
                <w:rFonts w:asciiTheme="minorEastAsia" w:hAnsiTheme="minorEastAsia" w:eastAsiaTheme="minorEastAsia" w:cstheme="minorEastAsia"/>
                <w:b/>
                <w:color w:val="auto"/>
                <w:sz w:val="32"/>
                <w:szCs w:val="32"/>
                <w:highlight w:val="none"/>
              </w:rPr>
            </w:pPr>
          </w:p>
          <w:p>
            <w:pPr>
              <w:pStyle w:val="42"/>
              <w:jc w:val="center"/>
              <w:rPr>
                <w:b/>
                <w:bCs/>
                <w:color w:val="auto"/>
                <w:sz w:val="32"/>
                <w:szCs w:val="32"/>
                <w:highlight w:val="none"/>
              </w:rPr>
            </w:pPr>
            <w:r>
              <w:rPr>
                <w:rFonts w:hint="eastAsia"/>
                <w:b/>
                <w:bCs/>
                <w:color w:val="auto"/>
                <w:sz w:val="32"/>
                <w:szCs w:val="32"/>
                <w:highlight w:val="none"/>
              </w:rPr>
              <w:t>资格、资质性及其他类似效力响应文件</w:t>
            </w:r>
          </w:p>
          <w:p>
            <w:pPr>
              <w:pStyle w:val="42"/>
              <w:jc w:val="center"/>
              <w:rPr>
                <w:b/>
                <w:bCs/>
                <w:color w:val="auto"/>
                <w:sz w:val="32"/>
                <w:szCs w:val="32"/>
                <w:highlight w:val="none"/>
              </w:rPr>
            </w:pPr>
            <w:r>
              <w:rPr>
                <w:rFonts w:hint="eastAsia"/>
                <w:b/>
                <w:bCs/>
                <w:color w:val="auto"/>
                <w:sz w:val="32"/>
                <w:szCs w:val="32"/>
                <w:highlight w:val="none"/>
              </w:rPr>
              <w:t>/其他响应文件</w:t>
            </w:r>
          </w:p>
          <w:p>
            <w:pPr>
              <w:tabs>
                <w:tab w:val="left" w:pos="7665"/>
                <w:tab w:val="clear" w:pos="0"/>
              </w:tabs>
              <w:spacing w:line="400" w:lineRule="exact"/>
              <w:jc w:val="center"/>
              <w:rPr>
                <w:rFonts w:asciiTheme="minorEastAsia" w:hAnsiTheme="minorEastAsia" w:eastAsiaTheme="minorEastAsia" w:cstheme="minorEastAsia"/>
                <w:color w:val="auto"/>
                <w:highlight w:val="none"/>
              </w:rPr>
            </w:pPr>
          </w:p>
          <w:p>
            <w:pPr>
              <w:tabs>
                <w:tab w:val="left" w:pos="7665"/>
                <w:tab w:val="clear" w:pos="0"/>
              </w:tabs>
              <w:spacing w:line="400" w:lineRule="exact"/>
              <w:ind w:firstLine="2280" w:firstLineChars="95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供应商名称：</w:t>
            </w:r>
            <w:r>
              <w:rPr>
                <w:rFonts w:hint="eastAsia" w:asciiTheme="minorEastAsia" w:hAnsiTheme="minorEastAsia" w:eastAsiaTheme="minorEastAsia" w:cstheme="minorEastAsia"/>
                <w:color w:val="auto"/>
                <w:highlight w:val="none"/>
                <w:u w:val="single"/>
              </w:rPr>
              <w:t xml:space="preserve">                 </w:t>
            </w:r>
          </w:p>
          <w:p>
            <w:pPr>
              <w:pStyle w:val="42"/>
              <w:ind w:firstLine="2280" w:firstLineChars="950"/>
              <w:rPr>
                <w:color w:val="auto"/>
                <w:highlight w:val="none"/>
              </w:rPr>
            </w:pPr>
            <w:r>
              <w:rPr>
                <w:rFonts w:hint="eastAsia" w:asciiTheme="minorEastAsia" w:hAnsiTheme="minorEastAsia" w:eastAsiaTheme="minorEastAsia" w:cstheme="minorEastAsia"/>
                <w:color w:val="auto"/>
                <w:highlight w:val="none"/>
              </w:rPr>
              <w:t>磋商时间：</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2"/>
              <w:rPr>
                <w:color w:val="auto"/>
                <w:highlight w:val="none"/>
              </w:rPr>
            </w:pPr>
          </w:p>
        </w:tc>
      </w:tr>
    </w:tbl>
    <w:p>
      <w:pPr>
        <w:pStyle w:val="42"/>
        <w:rPr>
          <w:color w:val="auto"/>
          <w:highlight w:val="none"/>
        </w:rPr>
      </w:pPr>
      <w:bookmarkStart w:id="191" w:name="_Toc6994"/>
      <w:bookmarkStart w:id="192" w:name="_Toc11581"/>
      <w:r>
        <w:rPr>
          <w:rFonts w:hint="eastAsia"/>
          <w:color w:val="auto"/>
          <w:highlight w:val="none"/>
        </w:rPr>
        <w:br w:type="page"/>
      </w:r>
    </w:p>
    <w:p>
      <w:pPr>
        <w:pStyle w:val="42"/>
        <w:rPr>
          <w:color w:val="auto"/>
          <w:highlight w:val="none"/>
        </w:rPr>
      </w:pPr>
      <w:r>
        <w:rPr>
          <w:rFonts w:hint="eastAsia"/>
          <w:color w:val="auto"/>
          <w:highlight w:val="none"/>
        </w:rPr>
        <w:t>响应文件封面格式</w:t>
      </w:r>
      <w:bookmarkEnd w:id="181"/>
      <w:bookmarkEnd w:id="182"/>
      <w:bookmarkEnd w:id="183"/>
      <w:bookmarkEnd w:id="184"/>
      <w:bookmarkEnd w:id="185"/>
      <w:bookmarkEnd w:id="186"/>
      <w:bookmarkEnd w:id="187"/>
      <w:bookmarkEnd w:id="188"/>
      <w:bookmarkEnd w:id="189"/>
      <w:bookmarkEnd w:id="190"/>
      <w:bookmarkEnd w:id="191"/>
      <w:bookmarkEnd w:id="192"/>
    </w:p>
    <w:p>
      <w:pPr>
        <w:pStyle w:val="42"/>
        <w:rPr>
          <w:color w:val="auto"/>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2"/>
        <w:rPr>
          <w:color w:val="auto"/>
          <w:highlight w:val="none"/>
        </w:rPr>
      </w:pPr>
    </w:p>
    <w:p>
      <w:pPr>
        <w:pStyle w:val="42"/>
        <w:rPr>
          <w:color w:val="auto"/>
          <w:highlight w:val="none"/>
        </w:rPr>
      </w:pPr>
    </w:p>
    <w:p>
      <w:pPr>
        <w:pStyle w:val="42"/>
        <w:rPr>
          <w:color w:val="auto"/>
          <w:highlight w:val="none"/>
        </w:rPr>
      </w:pPr>
    </w:p>
    <w:p>
      <w:pPr>
        <w:pStyle w:val="42"/>
        <w:spacing w:line="360" w:lineRule="auto"/>
        <w:jc w:val="center"/>
        <w:rPr>
          <w:b/>
          <w:bCs/>
          <w:color w:val="auto"/>
          <w:sz w:val="48"/>
          <w:szCs w:val="48"/>
          <w:highlight w:val="none"/>
        </w:rPr>
      </w:pPr>
    </w:p>
    <w:p>
      <w:pPr>
        <w:pStyle w:val="42"/>
        <w:spacing w:line="360" w:lineRule="auto"/>
        <w:jc w:val="center"/>
        <w:rPr>
          <w:b/>
          <w:bCs/>
          <w:color w:val="auto"/>
          <w:sz w:val="48"/>
          <w:szCs w:val="48"/>
          <w:highlight w:val="none"/>
        </w:rPr>
      </w:pPr>
      <w:r>
        <w:rPr>
          <w:rFonts w:hint="eastAsia"/>
          <w:b/>
          <w:bCs/>
          <w:color w:val="auto"/>
          <w:sz w:val="48"/>
          <w:szCs w:val="48"/>
          <w:highlight w:val="none"/>
        </w:rPr>
        <w:t>资格、资质性及其他类似效力响应文件</w:t>
      </w:r>
    </w:p>
    <w:p>
      <w:pPr>
        <w:pStyle w:val="42"/>
        <w:spacing w:line="360" w:lineRule="auto"/>
        <w:jc w:val="center"/>
        <w:rPr>
          <w:b/>
          <w:bCs/>
          <w:color w:val="auto"/>
          <w:sz w:val="48"/>
          <w:szCs w:val="48"/>
          <w:highlight w:val="none"/>
        </w:rPr>
      </w:pPr>
      <w:r>
        <w:rPr>
          <w:rFonts w:hint="eastAsia"/>
          <w:b/>
          <w:bCs/>
          <w:color w:val="auto"/>
          <w:sz w:val="48"/>
          <w:szCs w:val="48"/>
          <w:highlight w:val="none"/>
        </w:rPr>
        <w:t>/其他响应文件</w:t>
      </w:r>
    </w:p>
    <w:p>
      <w:pPr>
        <w:pStyle w:val="42"/>
        <w:rPr>
          <w:color w:val="auto"/>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供应商名称：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磋商日期：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30"/>
        <w:rPr>
          <w:color w:val="auto"/>
          <w:highlight w:val="none"/>
        </w:rPr>
      </w:pPr>
      <w:bookmarkStart w:id="193" w:name="_Toc5565"/>
      <w:bookmarkStart w:id="194" w:name="_Toc31011"/>
      <w:bookmarkStart w:id="195" w:name="_Toc11556"/>
      <w:bookmarkStart w:id="196" w:name="_Toc5306"/>
      <w:r>
        <w:rPr>
          <w:rFonts w:hint="eastAsia"/>
          <w:color w:val="auto"/>
          <w:highlight w:val="none"/>
        </w:rPr>
        <w:br w:type="page"/>
      </w:r>
    </w:p>
    <w:bookmarkEnd w:id="193"/>
    <w:bookmarkEnd w:id="194"/>
    <w:bookmarkEnd w:id="195"/>
    <w:bookmarkEnd w:id="196"/>
    <w:p>
      <w:pPr>
        <w:pStyle w:val="30"/>
        <w:rPr>
          <w:color w:val="auto"/>
          <w:highlight w:val="none"/>
        </w:rPr>
      </w:pPr>
      <w:bookmarkStart w:id="197" w:name="_Toc15611"/>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bookmarkStart w:id="198" w:name="_Toc24630"/>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1"/>
        <w:numPr>
          <w:ilvl w:val="1"/>
          <w:numId w:val="0"/>
        </w:numPr>
        <w:spacing w:before="480" w:beforeLines="200"/>
        <w:jc w:val="center"/>
        <w:rPr>
          <w:color w:val="auto"/>
          <w:sz w:val="32"/>
          <w:szCs w:val="32"/>
          <w:highlight w:val="none"/>
        </w:rPr>
      </w:pPr>
      <w:bookmarkStart w:id="199" w:name="_Toc339"/>
      <w:r>
        <w:rPr>
          <w:rFonts w:hint="eastAsia"/>
          <w:color w:val="auto"/>
          <w:sz w:val="32"/>
          <w:szCs w:val="32"/>
          <w:highlight w:val="none"/>
        </w:rPr>
        <w:t>第一部分 资格、资质性及其他类似效力响应文件(格式)</w:t>
      </w:r>
      <w:bookmarkEnd w:id="197"/>
      <w:bookmarkEnd w:id="198"/>
      <w:bookmarkEnd w:id="199"/>
      <w:bookmarkStart w:id="200" w:name="_Toc23537"/>
      <w:bookmarkStart w:id="201" w:name="_Toc16168"/>
    </w:p>
    <w:p>
      <w:pPr>
        <w:pStyle w:val="30"/>
        <w:rPr>
          <w:color w:val="auto"/>
          <w:highlight w:val="none"/>
        </w:rPr>
      </w:pPr>
      <w:r>
        <w:rPr>
          <w:rFonts w:hint="eastAsia"/>
          <w:color w:val="auto"/>
          <w:highlight w:val="none"/>
        </w:rPr>
        <w:br w:type="page"/>
      </w:r>
      <w:bookmarkEnd w:id="200"/>
      <w:bookmarkEnd w:id="201"/>
      <w:bookmarkStart w:id="202" w:name="_Toc4996"/>
      <w:bookmarkStart w:id="203" w:name="_Toc26837"/>
    </w:p>
    <w:p>
      <w:pPr>
        <w:pStyle w:val="50"/>
        <w:numPr>
          <w:ilvl w:val="0"/>
          <w:numId w:val="17"/>
        </w:numPr>
        <w:spacing w:before="120" w:after="120"/>
        <w:ind w:firstLine="0"/>
        <w:rPr>
          <w:color w:val="auto"/>
          <w:highlight w:val="none"/>
        </w:rPr>
      </w:pPr>
      <w:bookmarkStart w:id="204" w:name="_Toc7316"/>
      <w:r>
        <w:rPr>
          <w:rFonts w:hint="eastAsia"/>
          <w:color w:val="auto"/>
          <w:highlight w:val="none"/>
        </w:rPr>
        <w:t>法定代表人/单位负责人授权书</w:t>
      </w:r>
      <w:bookmarkEnd w:id="202"/>
      <w:bookmarkEnd w:id="203"/>
      <w:bookmarkEnd w:id="204"/>
    </w:p>
    <w:p>
      <w:pPr>
        <w:pStyle w:val="30"/>
        <w:rPr>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(采购代理机构名称)：</w:t>
      </w:r>
    </w:p>
    <w:p>
      <w:pPr>
        <w:pStyle w:val="34"/>
        <w:rPr>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(供应商名称)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(法定代表人/单位负责人姓名、职务)授权</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(项目名称)(项目编号：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)”政府采购活动的合法代表，以我方名义全权处理参与该项目政府采购活动、合同签订以及合同履约中的一切事宜，我单位均予承认，所产生的法律后果均由我单位承担。</w:t>
      </w:r>
    </w:p>
    <w:p>
      <w:pPr>
        <w:pStyle w:val="34"/>
        <w:rPr>
          <w:color w:val="auto"/>
          <w:highlight w:val="none"/>
        </w:rPr>
      </w:pPr>
      <w:r>
        <w:rPr>
          <w:rFonts w:hint="eastAsia"/>
          <w:color w:val="auto"/>
          <w:highlight w:val="none"/>
        </w:rPr>
        <w:t>特此声明。</w:t>
      </w: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法定代表人/单位负责人：</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供应商名称：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磋商日期：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0"/>
        <w:rPr>
          <w:color w:val="auto"/>
          <w:highlight w:val="none"/>
        </w:rPr>
      </w:pPr>
    </w:p>
    <w:p>
      <w:pPr>
        <w:pStyle w:val="52"/>
        <w:ind w:firstLine="482"/>
        <w:rPr>
          <w:color w:val="auto"/>
          <w:highlight w:val="none"/>
        </w:rPr>
      </w:pPr>
      <w:r>
        <w:rPr>
          <w:rFonts w:hint="eastAsia"/>
          <w:color w:val="auto"/>
          <w:highlight w:val="none"/>
        </w:rPr>
        <w:t>注：1.法定代表人/单位负责人不亲自参加磋商，而授权代表参加磋商的适用。</w:t>
      </w:r>
    </w:p>
    <w:p>
      <w:pPr>
        <w:pStyle w:val="52"/>
        <w:ind w:firstLine="482"/>
        <w:rPr>
          <w:color w:val="auto"/>
          <w:highlight w:val="none"/>
        </w:rPr>
      </w:pPr>
      <w:r>
        <w:rPr>
          <w:rFonts w:hint="eastAsia"/>
          <w:color w:val="auto"/>
          <w:highlight w:val="none"/>
        </w:rPr>
        <w:t>2.</w:t>
      </w:r>
      <w:r>
        <w:rPr>
          <w:color w:val="auto"/>
          <w:highlight w:val="none"/>
        </w:rPr>
        <w:t>供应商为法人单位时提供“法定代表人授权书”，供应商为其他组织时提供“单位负责人授权书”，供应商为自然人时提供“自然人身份证明材料”。</w:t>
      </w:r>
    </w:p>
    <w:p>
      <w:pPr>
        <w:pStyle w:val="52"/>
        <w:ind w:firstLine="482"/>
        <w:rPr>
          <w:color w:val="auto"/>
          <w:highlight w:val="none"/>
        </w:rPr>
      </w:pPr>
      <w:r>
        <w:rPr>
          <w:rFonts w:hint="eastAsia"/>
          <w:color w:val="auto"/>
          <w:highlight w:val="none"/>
        </w:rPr>
        <w:t>3.</w:t>
      </w:r>
      <w:r>
        <w:rPr>
          <w:color w:val="auto"/>
          <w:highlight w:val="none"/>
        </w:rPr>
        <w:t>应附法定代表人/单位负责人身份证明材料复印件和授权代表身份证明材料复印件。</w:t>
      </w:r>
    </w:p>
    <w:p>
      <w:pPr>
        <w:pStyle w:val="52"/>
        <w:ind w:firstLine="482"/>
        <w:rPr>
          <w:color w:val="auto"/>
          <w:highlight w:val="none"/>
        </w:rPr>
      </w:pPr>
      <w:r>
        <w:rPr>
          <w:rFonts w:hint="eastAsia"/>
          <w:color w:val="auto"/>
          <w:highlight w:val="none"/>
        </w:rPr>
        <w:t>4.</w:t>
      </w:r>
      <w:r>
        <w:rPr>
          <w:color w:val="auto"/>
          <w:highlight w:val="none"/>
        </w:rPr>
        <w:t>身份证明材料包括居民身份证或户口本或军官证或护照等。</w:t>
      </w:r>
    </w:p>
    <w:p>
      <w:pPr>
        <w:pStyle w:val="52"/>
        <w:ind w:firstLine="482"/>
        <w:rPr>
          <w:color w:val="auto"/>
          <w:highlight w:val="none"/>
        </w:rPr>
      </w:pPr>
      <w:r>
        <w:rPr>
          <w:rFonts w:hint="eastAsia"/>
          <w:color w:val="auto"/>
          <w:highlight w:val="none"/>
        </w:rPr>
        <w:t>5.</w:t>
      </w:r>
      <w:r>
        <w:rPr>
          <w:color w:val="auto"/>
          <w:highlight w:val="none"/>
        </w:rPr>
        <w:t>身份证明材料应同时提供其在有效期的材料，如居民身份证正、反面复印件</w:t>
      </w:r>
      <w:r>
        <w:rPr>
          <w:rFonts w:hint="eastAsia"/>
          <w:color w:val="auto"/>
          <w:highlight w:val="none"/>
        </w:rPr>
        <w:t>。</w:t>
      </w:r>
    </w:p>
    <w:p>
      <w:pPr>
        <w:pStyle w:val="30"/>
        <w:rPr>
          <w:color w:val="auto"/>
          <w:highlight w:val="none"/>
        </w:rPr>
      </w:pPr>
      <w:r>
        <w:rPr>
          <w:rFonts w:hint="eastAsia"/>
          <w:color w:val="auto"/>
          <w:highlight w:val="none"/>
        </w:rPr>
        <w:br w:type="page"/>
      </w:r>
    </w:p>
    <w:p>
      <w:pPr>
        <w:pStyle w:val="50"/>
        <w:numPr>
          <w:ilvl w:val="0"/>
          <w:numId w:val="18"/>
        </w:numPr>
        <w:spacing w:before="120" w:after="120"/>
        <w:ind w:firstLine="0"/>
        <w:rPr>
          <w:color w:val="auto"/>
          <w:highlight w:val="none"/>
        </w:rPr>
      </w:pPr>
      <w:bookmarkStart w:id="205" w:name="_Toc5501"/>
      <w:bookmarkStart w:id="206" w:name="_Toc9688"/>
      <w:bookmarkStart w:id="207" w:name="_Toc9243"/>
      <w:bookmarkStart w:id="208" w:name="_Toc6632"/>
      <w:bookmarkStart w:id="209" w:name="_Toc22140"/>
      <w:r>
        <w:rPr>
          <w:rFonts w:hint="eastAsia"/>
          <w:color w:val="auto"/>
          <w:highlight w:val="none"/>
        </w:rPr>
        <w:t>法定代表人/单位负责人证明书</w:t>
      </w:r>
      <w:bookmarkEnd w:id="205"/>
      <w:bookmarkEnd w:id="206"/>
      <w:bookmarkEnd w:id="207"/>
      <w:bookmarkEnd w:id="208"/>
      <w:bookmarkEnd w:id="209"/>
    </w:p>
    <w:p>
      <w:pPr>
        <w:pStyle w:val="34"/>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4"/>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4"/>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4"/>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(供应商名称)的法定代表人/单位负责人。就参加你单位组织的“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)”的政府采购活动、合同签订以及合同履约等一切事宜，我单位均予承认，所产生的法律后果均由我单位承担。</w:t>
      </w:r>
    </w:p>
    <w:p>
      <w:pPr>
        <w:pStyle w:val="34"/>
        <w:rPr>
          <w:color w:val="auto"/>
          <w:highlight w:val="none"/>
        </w:rPr>
      </w:pPr>
      <w:r>
        <w:rPr>
          <w:rFonts w:hint="eastAsia"/>
          <w:color w:val="auto"/>
          <w:highlight w:val="none"/>
        </w:rPr>
        <w:t>特此证明。</w:t>
      </w: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 xml:space="preserve">(盖章) </w:t>
      </w:r>
    </w:p>
    <w:p>
      <w:pPr>
        <w:pStyle w:val="34"/>
        <w:rPr>
          <w:color w:val="auto"/>
          <w:highlight w:val="none"/>
        </w:rPr>
      </w:pPr>
      <w:r>
        <w:rPr>
          <w:rFonts w:hint="eastAsia"/>
          <w:color w:val="auto"/>
          <w:highlight w:val="none"/>
        </w:rPr>
        <w:t>法定代表人/单位负责人：</w:t>
      </w:r>
      <w:r>
        <w:rPr>
          <w:rFonts w:hint="eastAsia"/>
          <w:color w:val="auto"/>
          <w:highlight w:val="none"/>
          <w:u w:val="single"/>
        </w:rPr>
        <w:t xml:space="preserve">               </w:t>
      </w:r>
      <w:r>
        <w:rPr>
          <w:rFonts w:hint="eastAsia"/>
          <w:color w:val="auto"/>
          <w:highlight w:val="none"/>
        </w:rPr>
        <w:t>(签字或盖章)</w:t>
      </w:r>
    </w:p>
    <w:p>
      <w:pPr>
        <w:pStyle w:val="34"/>
        <w:rPr>
          <w:color w:val="auto"/>
          <w:highlight w:val="none"/>
          <w:u w:val="single"/>
        </w:rPr>
      </w:pPr>
      <w:r>
        <w:rPr>
          <w:rFonts w:hint="eastAsia"/>
          <w:color w:val="auto"/>
          <w:highlight w:val="none"/>
        </w:rPr>
        <w:t>磋商日期：</w:t>
      </w:r>
      <w:r>
        <w:rPr>
          <w:rFonts w:hint="eastAsia"/>
          <w:color w:val="auto"/>
          <w:highlight w:val="none"/>
          <w:u w:val="single"/>
        </w:rPr>
        <w:t xml:space="preserve">             </w:t>
      </w:r>
    </w:p>
    <w:p>
      <w:pPr>
        <w:pStyle w:val="34"/>
        <w:rPr>
          <w:color w:val="auto"/>
          <w:highlight w:val="none"/>
        </w:rPr>
      </w:pPr>
    </w:p>
    <w:p>
      <w:pPr>
        <w:pStyle w:val="52"/>
        <w:ind w:firstLine="482"/>
        <w:rPr>
          <w:color w:val="auto"/>
          <w:highlight w:val="none"/>
        </w:rPr>
      </w:pPr>
      <w:r>
        <w:rPr>
          <w:rFonts w:hint="eastAsia"/>
          <w:color w:val="auto"/>
          <w:highlight w:val="none"/>
        </w:rPr>
        <w:t>注：1.法定代表人</w:t>
      </w:r>
      <w:r>
        <w:rPr>
          <w:color w:val="auto"/>
          <w:highlight w:val="none"/>
        </w:rPr>
        <w:t>/单位负责人</w:t>
      </w:r>
      <w:r>
        <w:rPr>
          <w:rFonts w:hint="eastAsia"/>
          <w:color w:val="auto"/>
          <w:highlight w:val="none"/>
        </w:rPr>
        <w:t>亲自参加磋商时适用本证明书。</w:t>
      </w:r>
    </w:p>
    <w:p>
      <w:pPr>
        <w:pStyle w:val="52"/>
        <w:ind w:firstLine="482"/>
        <w:rPr>
          <w:color w:val="auto"/>
          <w:highlight w:val="none"/>
        </w:rPr>
      </w:pPr>
      <w:r>
        <w:rPr>
          <w:rFonts w:hint="eastAsia"/>
          <w:color w:val="auto"/>
          <w:highlight w:val="none"/>
        </w:rPr>
        <w:t>2.</w:t>
      </w:r>
      <w:r>
        <w:rPr>
          <w:color w:val="auto"/>
          <w:highlight w:val="none"/>
        </w:rPr>
        <w:t>应附法定代表人/单位负责人身份证明材料复印件。</w:t>
      </w:r>
    </w:p>
    <w:p>
      <w:pPr>
        <w:pStyle w:val="52"/>
        <w:ind w:firstLine="482"/>
        <w:rPr>
          <w:color w:val="auto"/>
          <w:highlight w:val="none"/>
        </w:rPr>
      </w:pPr>
      <w:r>
        <w:rPr>
          <w:rFonts w:hint="eastAsia"/>
          <w:color w:val="auto"/>
          <w:highlight w:val="none"/>
        </w:rPr>
        <w:t>3.</w:t>
      </w:r>
      <w:r>
        <w:rPr>
          <w:color w:val="auto"/>
          <w:highlight w:val="none"/>
        </w:rPr>
        <w:t>身份证明材料包括居民身份证或户口本或军官证或护照等。</w:t>
      </w:r>
    </w:p>
    <w:p>
      <w:pPr>
        <w:pStyle w:val="52"/>
        <w:ind w:firstLine="482"/>
        <w:rPr>
          <w:color w:val="auto"/>
          <w:highlight w:val="none"/>
        </w:rPr>
      </w:pPr>
      <w:r>
        <w:rPr>
          <w:rFonts w:hint="eastAsia"/>
          <w:color w:val="auto"/>
          <w:highlight w:val="none"/>
        </w:rPr>
        <w:t>4.</w:t>
      </w:r>
      <w:r>
        <w:rPr>
          <w:color w:val="auto"/>
          <w:highlight w:val="none"/>
        </w:rPr>
        <w:t>身份证明材料应同时提供其在有效期的材料，如居民身份证正、反面复印件</w:t>
      </w:r>
      <w:r>
        <w:rPr>
          <w:rFonts w:hint="eastAsia"/>
          <w:color w:val="auto"/>
          <w:highlight w:val="none"/>
        </w:rPr>
        <w:t>。</w:t>
      </w:r>
    </w:p>
    <w:p>
      <w:pPr>
        <w:pStyle w:val="50"/>
        <w:numPr>
          <w:ilvl w:val="0"/>
          <w:numId w:val="18"/>
        </w:numPr>
        <w:spacing w:before="120" w:after="120"/>
        <w:ind w:firstLine="0"/>
        <w:rPr>
          <w:color w:val="auto"/>
          <w:highlight w:val="none"/>
        </w:rPr>
      </w:pPr>
      <w:bookmarkStart w:id="210" w:name="_Toc21976"/>
      <w:bookmarkStart w:id="211" w:name="_Toc22152"/>
      <w:bookmarkStart w:id="212" w:name="_Toc28837"/>
      <w:bookmarkStart w:id="213" w:name="_Toc28397"/>
      <w:bookmarkStart w:id="214" w:name="_Toc3822"/>
      <w:r>
        <w:rPr>
          <w:rFonts w:hint="eastAsia"/>
          <w:color w:val="auto"/>
          <w:highlight w:val="none"/>
        </w:rPr>
        <w:t>供应商具有独立承担民事责任的能力的证明材料</w:t>
      </w:r>
      <w:bookmarkEnd w:id="210"/>
      <w:bookmarkEnd w:id="211"/>
      <w:bookmarkEnd w:id="212"/>
    </w:p>
    <w:p>
      <w:pPr>
        <w:pStyle w:val="34"/>
        <w:rPr>
          <w:color w:val="auto"/>
          <w:highlight w:val="none"/>
        </w:rPr>
      </w:pPr>
      <w:r>
        <w:rPr>
          <w:rFonts w:hint="eastAsia"/>
          <w:color w:val="auto"/>
          <w:highlight w:val="none"/>
        </w:rPr>
        <w:t>提供营业执照副本复印件(注：①在有效期内；②复印件加盖公章)；组织机构代码证副本复印件(注：①发证机关有年检要求的，应按规定通过年检；②在有效期内；③复印件加盖公章)；税务登记证副本复印件(注：①在有效期内；②复印件加盖公章)</w:t>
      </w:r>
      <w:bookmarkEnd w:id="213"/>
      <w:r>
        <w:rPr>
          <w:rFonts w:hint="eastAsia"/>
          <w:color w:val="auto"/>
          <w:highlight w:val="none"/>
        </w:rPr>
        <w:t>。</w:t>
      </w:r>
    </w:p>
    <w:p>
      <w:pPr>
        <w:pStyle w:val="52"/>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注：1.以上证明材料应满足此条要求①发证机关有年检要求的，应按规定通过年检；②在有效期内；③复印件加盖供应商公章；</w:t>
      </w:r>
    </w:p>
    <w:p>
      <w:pPr>
        <w:pStyle w:val="52"/>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2"/>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bookmarkEnd w:id="214"/>
    </w:p>
    <w:p>
      <w:pPr>
        <w:pStyle w:val="30"/>
        <w:rPr>
          <w:color w:val="auto"/>
          <w:highlight w:val="none"/>
        </w:rPr>
      </w:pPr>
    </w:p>
    <w:p>
      <w:pPr>
        <w:pStyle w:val="50"/>
        <w:numPr>
          <w:ilvl w:val="0"/>
          <w:numId w:val="18"/>
        </w:numPr>
        <w:spacing w:before="120" w:after="120"/>
        <w:ind w:firstLine="0"/>
        <w:rPr>
          <w:color w:val="auto"/>
          <w:highlight w:val="none"/>
        </w:rPr>
      </w:pPr>
      <w:bookmarkStart w:id="215" w:name="_Toc25266"/>
      <w:bookmarkStart w:id="216" w:name="_Toc28024"/>
      <w:bookmarkStart w:id="217" w:name="_Toc29937"/>
      <w:bookmarkStart w:id="218" w:name="_Toc14566"/>
      <w:r>
        <w:rPr>
          <w:rFonts w:hint="eastAsia"/>
          <w:color w:val="auto"/>
          <w:highlight w:val="none"/>
        </w:rPr>
        <w:t>供应商具有良好的商业信誉和健全的财务会计制度的证明材料</w:t>
      </w:r>
      <w:bookmarkEnd w:id="215"/>
      <w:bookmarkEnd w:id="216"/>
      <w:bookmarkEnd w:id="217"/>
    </w:p>
    <w:bookmarkEnd w:id="218"/>
    <w:p>
      <w:pPr>
        <w:pStyle w:val="34"/>
        <w:rPr>
          <w:color w:val="auto"/>
          <w:highlight w:val="none"/>
        </w:rPr>
      </w:pPr>
      <w:r>
        <w:rPr>
          <w:rFonts w:hint="eastAsia"/>
          <w:color w:val="auto"/>
          <w:highlight w:val="none"/>
        </w:rPr>
        <w:t>1.供应商具有良好商业信誉的证明材料</w:t>
      </w:r>
    </w:p>
    <w:p>
      <w:pPr>
        <w:pStyle w:val="34"/>
        <w:rPr>
          <w:color w:val="auto"/>
          <w:highlight w:val="none"/>
        </w:rPr>
      </w:pPr>
      <w:r>
        <w:rPr>
          <w:rFonts w:hint="eastAsia"/>
          <w:color w:val="auto"/>
          <w:highlight w:val="none"/>
        </w:rPr>
        <w:t>提供具有良好的商业信誉的承诺函。</w:t>
      </w:r>
    </w:p>
    <w:p>
      <w:pPr>
        <w:pStyle w:val="34"/>
        <w:ind w:firstLine="482"/>
        <w:rPr>
          <w:rFonts w:hint="eastAsia" w:eastAsia="宋体"/>
          <w:b/>
          <w:bCs/>
          <w:color w:val="auto"/>
          <w:highlight w:val="none"/>
          <w:lang w:eastAsia="zh-CN"/>
        </w:rPr>
      </w:pPr>
      <w:r>
        <w:rPr>
          <w:rFonts w:hint="eastAsia" w:cs="宋体"/>
          <w:b/>
          <w:bCs/>
          <w:color w:val="auto"/>
          <w:highlight w:val="none"/>
        </w:rPr>
        <w:t>注：本项目供应商具有的良好商业信誉是指：至响应文件递交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w:t>
      </w:r>
      <w:r>
        <w:rPr>
          <w:rFonts w:hint="eastAsia"/>
          <w:b/>
          <w:bCs/>
          <w:color w:val="auto"/>
          <w:highlight w:val="none"/>
          <w:lang w:eastAsia="zh-CN"/>
        </w:rPr>
        <w:t>，</w:t>
      </w:r>
      <w:r>
        <w:rPr>
          <w:rFonts w:hint="eastAsia"/>
          <w:b/>
          <w:bCs/>
          <w:color w:val="auto"/>
          <w:highlight w:val="none"/>
          <w:lang w:val="en-US" w:eastAsia="zh-CN"/>
        </w:rPr>
        <w:t>若因投标人为事业单位、团体组织、自然人等原因，在“信用中国”网站、中国政府采购网站未查询到信息的，视为未被列入失信记录。</w:t>
      </w:r>
    </w:p>
    <w:p>
      <w:pPr>
        <w:pStyle w:val="34"/>
        <w:rPr>
          <w:color w:val="auto"/>
          <w:highlight w:val="none"/>
        </w:rPr>
      </w:pPr>
      <w:r>
        <w:rPr>
          <w:rFonts w:hint="eastAsia"/>
          <w:color w:val="auto"/>
          <w:highlight w:val="none"/>
        </w:rPr>
        <w:t>2.供应商具有健全的财务会计制度的证明材料</w:t>
      </w:r>
    </w:p>
    <w:p>
      <w:pPr>
        <w:pStyle w:val="34"/>
        <w:rPr>
          <w:color w:val="auto"/>
          <w:highlight w:val="none"/>
        </w:rPr>
      </w:pPr>
      <w:r>
        <w:rPr>
          <w:rFonts w:hint="eastAsia"/>
          <w:color w:val="auto"/>
          <w:highlight w:val="none"/>
        </w:rPr>
        <w:t>(1)供应商提供2020年度或2021年度经过会计师事务所审计的财务报告复印件(经审计的有效财务报告应包括报告及报告中所附的完整内容，并由注册会计师签名、盖章以及会计师事务所盖章)；</w:t>
      </w:r>
    </w:p>
    <w:p>
      <w:pPr>
        <w:pStyle w:val="34"/>
        <w:rPr>
          <w:color w:val="auto"/>
          <w:highlight w:val="none"/>
        </w:rPr>
      </w:pPr>
      <w:r>
        <w:rPr>
          <w:rFonts w:hint="eastAsia"/>
          <w:color w:val="auto"/>
          <w:highlight w:val="none"/>
        </w:rPr>
        <w:t>(2)供应商提供2020年度或2021年度供应商内部的财务报表复印件(至少包含资产负债表)；</w:t>
      </w:r>
    </w:p>
    <w:p>
      <w:pPr>
        <w:pStyle w:val="34"/>
        <w:rPr>
          <w:color w:val="auto"/>
          <w:highlight w:val="none"/>
        </w:rPr>
      </w:pPr>
      <w:r>
        <w:rPr>
          <w:rFonts w:hint="eastAsia"/>
          <w:color w:val="auto"/>
          <w:highlight w:val="none"/>
        </w:rPr>
        <w:t>(3)供应商提供响应文件递交截止日前一年内银行为其出具的资信证明复印件；</w:t>
      </w:r>
    </w:p>
    <w:p>
      <w:pPr>
        <w:pStyle w:val="34"/>
        <w:rPr>
          <w:color w:val="auto"/>
          <w:highlight w:val="none"/>
        </w:rPr>
      </w:pPr>
      <w:r>
        <w:rPr>
          <w:rFonts w:hint="eastAsia"/>
          <w:color w:val="auto"/>
          <w:highlight w:val="none"/>
        </w:rPr>
        <w:t>(4)供应商注册时间截至响应文件递交截止日不足一年的，可提供公司章程复印件；</w:t>
      </w:r>
    </w:p>
    <w:p>
      <w:pPr>
        <w:pStyle w:val="34"/>
        <w:rPr>
          <w:color w:val="auto"/>
          <w:highlight w:val="none"/>
        </w:rPr>
      </w:pPr>
      <w:r>
        <w:rPr>
          <w:rFonts w:hint="eastAsia"/>
          <w:color w:val="auto"/>
          <w:highlight w:val="none"/>
        </w:rPr>
        <w:t>(5)供应商提供具有健全的财务会计制度的承诺函。</w:t>
      </w:r>
    </w:p>
    <w:p>
      <w:pPr>
        <w:pStyle w:val="52"/>
        <w:ind w:firstLine="482"/>
        <w:rPr>
          <w:color w:val="auto"/>
          <w:highlight w:val="none"/>
        </w:rPr>
      </w:pPr>
      <w:r>
        <w:rPr>
          <w:rFonts w:hint="eastAsia"/>
          <w:bCs/>
          <w:color w:val="auto"/>
          <w:highlight w:val="none"/>
        </w:rPr>
        <w:t>注：具有健全的财务会计制度的证明材料中第(1)-(5)项具有同等的磋商效力，供应商可根据自身实际情况选择提供其中任意一项。</w:t>
      </w:r>
    </w:p>
    <w:p>
      <w:pPr>
        <w:pStyle w:val="52"/>
        <w:ind w:firstLine="482"/>
        <w:rPr>
          <w:color w:val="auto"/>
          <w:highlight w:val="none"/>
        </w:rPr>
      </w:pPr>
    </w:p>
    <w:p>
      <w:pPr>
        <w:pStyle w:val="50"/>
        <w:numPr>
          <w:ilvl w:val="0"/>
          <w:numId w:val="18"/>
        </w:numPr>
        <w:spacing w:before="120" w:after="120"/>
        <w:ind w:firstLine="0"/>
        <w:rPr>
          <w:color w:val="auto"/>
          <w:highlight w:val="none"/>
        </w:rPr>
      </w:pPr>
      <w:bookmarkStart w:id="219" w:name="_Toc19866"/>
      <w:bookmarkStart w:id="220" w:name="_Toc9428"/>
      <w:bookmarkStart w:id="221" w:name="_Toc17744"/>
      <w:bookmarkStart w:id="222" w:name="_Toc5443"/>
      <w:r>
        <w:rPr>
          <w:rFonts w:hint="eastAsia"/>
          <w:color w:val="auto"/>
          <w:highlight w:val="none"/>
        </w:rPr>
        <w:t>供应商具有依法缴纳税收和社会保障资金的良好记录的证明材料</w:t>
      </w:r>
      <w:bookmarkEnd w:id="219"/>
      <w:bookmarkEnd w:id="220"/>
      <w:bookmarkEnd w:id="221"/>
    </w:p>
    <w:bookmarkEnd w:id="222"/>
    <w:p>
      <w:pPr>
        <w:pStyle w:val="34"/>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2"/>
        <w:ind w:firstLine="482"/>
        <w:rPr>
          <w:color w:val="auto"/>
          <w:highlight w:val="none"/>
        </w:rPr>
      </w:pPr>
      <w:r>
        <w:rPr>
          <w:rFonts w:hint="eastAsia"/>
          <w:color w:val="auto"/>
          <w:highlight w:val="none"/>
        </w:rPr>
        <w:t>注：</w:t>
      </w:r>
      <w:r>
        <w:rPr>
          <w:rFonts w:hint="eastAsia" w:asciiTheme="minorEastAsia" w:hAnsiTheme="minorEastAsia" w:eastAsiaTheme="minorEastAsia" w:cstheme="minorEastAsia"/>
          <w:bCs/>
          <w:color w:val="auto"/>
          <w:highlight w:val="none"/>
        </w:rPr>
        <w:t>格式自拟，或参照《符合&lt;中华人民共和国政府采购法&gt;第二十二条规定的条件的承诺及声明函》的格式提供承诺函</w:t>
      </w:r>
      <w:r>
        <w:rPr>
          <w:rFonts w:hint="eastAsia"/>
          <w:color w:val="auto"/>
          <w:highlight w:val="none"/>
        </w:rPr>
        <w:t>。</w:t>
      </w:r>
    </w:p>
    <w:p>
      <w:pPr>
        <w:pStyle w:val="30"/>
        <w:rPr>
          <w:color w:val="auto"/>
          <w:highlight w:val="none"/>
        </w:rPr>
      </w:pPr>
      <w:r>
        <w:rPr>
          <w:rFonts w:hint="eastAsia"/>
          <w:color w:val="auto"/>
          <w:highlight w:val="none"/>
        </w:rPr>
        <w:br w:type="page"/>
      </w:r>
    </w:p>
    <w:p>
      <w:pPr>
        <w:pStyle w:val="50"/>
        <w:numPr>
          <w:ilvl w:val="0"/>
          <w:numId w:val="18"/>
        </w:numPr>
        <w:spacing w:before="120" w:after="120"/>
        <w:ind w:firstLine="0"/>
        <w:rPr>
          <w:color w:val="auto"/>
          <w:highlight w:val="none"/>
        </w:rPr>
      </w:pPr>
      <w:bookmarkStart w:id="223" w:name="_Toc15870"/>
      <w:bookmarkStart w:id="224" w:name="_Toc25679"/>
      <w:bookmarkStart w:id="225" w:name="_Toc16336"/>
      <w:r>
        <w:rPr>
          <w:rFonts w:hint="eastAsia"/>
          <w:color w:val="auto"/>
          <w:highlight w:val="none"/>
        </w:rPr>
        <w:t>供应商具有履行合同所必需的设备和专业技术能力证明材料</w:t>
      </w:r>
      <w:bookmarkEnd w:id="223"/>
      <w:bookmarkEnd w:id="224"/>
      <w:bookmarkEnd w:id="225"/>
    </w:p>
    <w:p>
      <w:pPr>
        <w:pStyle w:val="34"/>
        <w:rPr>
          <w:color w:val="auto"/>
          <w:highlight w:val="none"/>
        </w:rPr>
      </w:pPr>
      <w:r>
        <w:rPr>
          <w:rFonts w:hint="eastAsia"/>
          <w:color w:val="auto"/>
          <w:highlight w:val="none"/>
        </w:rPr>
        <w:t>提供具有履行合同所必需的设备和专业技术能力的承诺函。</w:t>
      </w:r>
    </w:p>
    <w:p>
      <w:pPr>
        <w:pStyle w:val="52"/>
        <w:ind w:firstLine="482"/>
        <w:rPr>
          <w:color w:val="auto"/>
          <w:highlight w:val="none"/>
        </w:rPr>
      </w:pPr>
      <w:r>
        <w:rPr>
          <w:rFonts w:hint="eastAsia"/>
          <w:color w:val="auto"/>
          <w:highlight w:val="none"/>
        </w:rPr>
        <w:t>注：</w:t>
      </w:r>
      <w:r>
        <w:rPr>
          <w:rFonts w:hint="eastAsia" w:asciiTheme="minorEastAsia" w:hAnsiTheme="minorEastAsia" w:eastAsiaTheme="minorEastAsia" w:cstheme="minorEastAsia"/>
          <w:bCs/>
          <w:color w:val="auto"/>
          <w:highlight w:val="none"/>
        </w:rPr>
        <w:t>格式自拟，或参照《符合&lt;中华人民共和国政府采购法&gt;第二十二条规定的条件的承诺及声明函》的格式提供承诺函</w:t>
      </w:r>
      <w:r>
        <w:rPr>
          <w:rFonts w:hint="eastAsia"/>
          <w:color w:val="auto"/>
          <w:highlight w:val="none"/>
        </w:rPr>
        <w:t>。</w:t>
      </w:r>
    </w:p>
    <w:p>
      <w:pPr>
        <w:pStyle w:val="30"/>
        <w:rPr>
          <w:color w:val="auto"/>
          <w:highlight w:val="none"/>
        </w:rPr>
      </w:pPr>
      <w:r>
        <w:rPr>
          <w:rFonts w:hint="eastAsia"/>
          <w:color w:val="auto"/>
          <w:highlight w:val="none"/>
        </w:rPr>
        <w:br w:type="page"/>
      </w:r>
    </w:p>
    <w:p>
      <w:pPr>
        <w:pStyle w:val="50"/>
        <w:numPr>
          <w:ilvl w:val="0"/>
          <w:numId w:val="18"/>
        </w:numPr>
        <w:spacing w:before="120" w:after="120"/>
        <w:ind w:firstLine="0"/>
        <w:rPr>
          <w:color w:val="auto"/>
          <w:highlight w:val="none"/>
        </w:rPr>
      </w:pPr>
      <w:bookmarkStart w:id="226" w:name="_Toc21379"/>
      <w:bookmarkStart w:id="227" w:name="_Toc5224"/>
      <w:r>
        <w:rPr>
          <w:rFonts w:hint="eastAsia"/>
          <w:color w:val="auto"/>
          <w:highlight w:val="none"/>
        </w:rPr>
        <w:t>供应商参加政府采购活动前三年内，在经营活动中没有重大违法记录的证明材料</w:t>
      </w:r>
      <w:bookmarkEnd w:id="226"/>
      <w:bookmarkEnd w:id="227"/>
    </w:p>
    <w:p>
      <w:pPr>
        <w:pStyle w:val="34"/>
        <w:rPr>
          <w:color w:val="auto"/>
          <w:highlight w:val="none"/>
        </w:rPr>
      </w:pPr>
      <w:bookmarkStart w:id="228" w:name="_Toc14299"/>
      <w:bookmarkStart w:id="229" w:name="_Toc9591"/>
      <w:r>
        <w:rPr>
          <w:rFonts w:hint="eastAsia"/>
          <w:color w:val="auto"/>
          <w:highlight w:val="none"/>
        </w:rPr>
        <w:t>提供参加本次政府采购活动前三年内，在经营活动中没有重大违法记录的书面声明(成立不足三年的，从成立之日起计算)。</w:t>
      </w:r>
    </w:p>
    <w:p>
      <w:pPr>
        <w:pStyle w:val="52"/>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注：格式自拟，或参照《符合&lt;中华人民共和国政府采购法&gt;第二十二条规定的条件的承诺及声明函》的格式提供声明函。</w:t>
      </w:r>
    </w:p>
    <w:p>
      <w:pPr>
        <w:pStyle w:val="50"/>
        <w:numPr>
          <w:ilvl w:val="0"/>
          <w:numId w:val="18"/>
        </w:numPr>
        <w:spacing w:before="120" w:after="120"/>
        <w:ind w:firstLine="0"/>
        <w:rPr>
          <w:color w:val="auto"/>
          <w:highlight w:val="none"/>
          <w:lang w:val="zh-CN"/>
        </w:rPr>
      </w:pPr>
      <w:bookmarkStart w:id="230" w:name="_Toc3840"/>
      <w:bookmarkStart w:id="231" w:name="_Toc17558"/>
      <w:bookmarkStart w:id="232" w:name="_Toc30704"/>
      <w:r>
        <w:rPr>
          <w:rFonts w:hint="eastAsia"/>
          <w:color w:val="auto"/>
          <w:w w:val="95"/>
          <w:highlight w:val="none"/>
        </w:rPr>
        <w:t>供应商单位</w:t>
      </w:r>
      <w:r>
        <w:rPr>
          <w:rFonts w:hint="eastAsia"/>
          <w:color w:val="auto"/>
          <w:w w:val="95"/>
          <w:highlight w:val="none"/>
          <w:lang w:val="zh-CN"/>
        </w:rPr>
        <w:t>及其现任法定代表人、主要负责人不得具有行贿犯罪记录</w:t>
      </w:r>
      <w:r>
        <w:rPr>
          <w:rFonts w:hint="eastAsia"/>
          <w:color w:val="auto"/>
          <w:w w:val="95"/>
          <w:highlight w:val="none"/>
        </w:rPr>
        <w:t>的</w:t>
      </w:r>
      <w:bookmarkEnd w:id="230"/>
      <w:bookmarkEnd w:id="231"/>
      <w:r>
        <w:rPr>
          <w:rFonts w:hint="eastAsia"/>
          <w:color w:val="auto"/>
          <w:w w:val="95"/>
          <w:highlight w:val="none"/>
        </w:rPr>
        <w:t>承诺函</w:t>
      </w:r>
      <w:bookmarkEnd w:id="232"/>
    </w:p>
    <w:bookmarkEnd w:id="228"/>
    <w:bookmarkEnd w:id="229"/>
    <w:p>
      <w:pPr>
        <w:pStyle w:val="30"/>
        <w:rPr>
          <w:rFonts w:cs="宋体"/>
          <w:color w:val="auto"/>
          <w:highlight w:val="none"/>
        </w:rPr>
      </w:pPr>
      <w:bookmarkStart w:id="233" w:name="_Toc8455"/>
      <w:r>
        <w:rPr>
          <w:rFonts w:hint="eastAsia" w:cs="宋体"/>
          <w:color w:val="auto"/>
          <w:highlight w:val="none"/>
          <w:u w:val="single"/>
        </w:rPr>
        <w:t xml:space="preserve">                   </w:t>
      </w:r>
      <w:r>
        <w:rPr>
          <w:rFonts w:hint="eastAsia" w:cs="宋体"/>
          <w:color w:val="auto"/>
          <w:highlight w:val="none"/>
        </w:rPr>
        <w:t>(采购代理机构名称)：</w:t>
      </w:r>
    </w:p>
    <w:p>
      <w:pPr>
        <w:pStyle w:val="30"/>
        <w:ind w:firstLine="480" w:firstLineChars="200"/>
        <w:rPr>
          <w:rFonts w:cs="宋体"/>
          <w:color w:val="auto"/>
          <w:highlight w:val="none"/>
        </w:rPr>
      </w:pPr>
      <w:r>
        <w:rPr>
          <w:rFonts w:hint="eastAsia" w:cs="宋体"/>
          <w:color w:val="auto"/>
          <w:highlight w:val="none"/>
        </w:rPr>
        <w:t>我单位作为本次采购项目的供应商，根据磋商文件要求，现郑重承诺如下：</w:t>
      </w:r>
    </w:p>
    <w:p>
      <w:pPr>
        <w:pStyle w:val="34"/>
        <w:rPr>
          <w:rFonts w:cs="宋体"/>
          <w:color w:val="auto"/>
          <w:highlight w:val="none"/>
        </w:rPr>
      </w:pPr>
      <w:r>
        <w:rPr>
          <w:rFonts w:hint="eastAsia" w:cs="宋体"/>
          <w:color w:val="auto"/>
          <w:highlight w:val="none"/>
          <w:u w:val="single"/>
        </w:rPr>
        <w:t xml:space="preserve">        </w:t>
      </w:r>
      <w:r>
        <w:rPr>
          <w:rFonts w:hint="eastAsia" w:cs="宋体"/>
          <w:color w:val="auto"/>
          <w:highlight w:val="none"/>
        </w:rPr>
        <w:t>(供应商名称)及其现任法定代表人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(无行贿犯罪记录的期限)均无行贿犯罪记录。</w:t>
      </w:r>
    </w:p>
    <w:p>
      <w:pPr>
        <w:pStyle w:val="34"/>
        <w:rPr>
          <w:rFonts w:cs="宋体"/>
          <w:color w:val="auto"/>
          <w:highlight w:val="none"/>
        </w:rPr>
      </w:pPr>
      <w:r>
        <w:rPr>
          <w:rFonts w:hint="eastAsia" w:cs="宋体"/>
          <w:color w:val="auto"/>
          <w:highlight w:val="none"/>
        </w:rPr>
        <w:t>本单位对上述承诺的内容事项真实性、合法性负责。如经查实上述承诺的内容事项存在虚假，我单位自愿接受以提供虚假材料谋取成交所带来的所有法律责任。</w:t>
      </w:r>
    </w:p>
    <w:p>
      <w:pPr>
        <w:pStyle w:val="30"/>
        <w:rPr>
          <w:rFonts w:cs="宋体"/>
          <w:color w:val="auto"/>
          <w:highlight w:val="none"/>
        </w:rPr>
      </w:pPr>
    </w:p>
    <w:p>
      <w:pPr>
        <w:pStyle w:val="30"/>
        <w:rPr>
          <w:rFonts w:cs="宋体"/>
          <w:color w:val="auto"/>
          <w:highlight w:val="none"/>
        </w:rPr>
      </w:pPr>
    </w:p>
    <w:p>
      <w:pPr>
        <w:pStyle w:val="34"/>
        <w:rPr>
          <w:rFonts w:cs="宋体"/>
          <w:color w:val="auto"/>
          <w:highlight w:val="none"/>
        </w:rPr>
      </w:pPr>
      <w:r>
        <w:rPr>
          <w:rFonts w:hint="eastAsia" w:cs="宋体"/>
          <w:color w:val="auto"/>
          <w:highlight w:val="none"/>
        </w:rPr>
        <w:t>供应商名称：</w:t>
      </w:r>
      <w:r>
        <w:rPr>
          <w:rFonts w:hint="eastAsia" w:cs="宋体"/>
          <w:color w:val="auto"/>
          <w:highlight w:val="none"/>
          <w:u w:val="single"/>
        </w:rPr>
        <w:t xml:space="preserve">             </w:t>
      </w:r>
      <w:r>
        <w:rPr>
          <w:rFonts w:hint="eastAsia" w:cs="宋体"/>
          <w:color w:val="auto"/>
          <w:highlight w:val="none"/>
        </w:rPr>
        <w:t>(盖章)</w:t>
      </w:r>
    </w:p>
    <w:p>
      <w:pPr>
        <w:pStyle w:val="34"/>
        <w:rPr>
          <w:rFonts w:cs="宋体"/>
          <w:color w:val="auto"/>
          <w:highlight w:val="none"/>
        </w:rPr>
      </w:pPr>
      <w:r>
        <w:rPr>
          <w:rFonts w:hint="eastAsia" w:cs="宋体"/>
          <w:color w:val="auto"/>
          <w:highlight w:val="none"/>
        </w:rPr>
        <w:t>法定代表人/单位负责人或授权代表：</w:t>
      </w:r>
      <w:r>
        <w:rPr>
          <w:rFonts w:hint="eastAsia" w:cs="宋体"/>
          <w:color w:val="auto"/>
          <w:highlight w:val="none"/>
          <w:u w:val="single"/>
        </w:rPr>
        <w:t xml:space="preserve">            </w:t>
      </w:r>
      <w:r>
        <w:rPr>
          <w:rFonts w:hint="eastAsia" w:cs="宋体"/>
          <w:color w:val="auto"/>
          <w:highlight w:val="none"/>
        </w:rPr>
        <w:t>(签字或盖章)</w:t>
      </w:r>
    </w:p>
    <w:p>
      <w:pPr>
        <w:pStyle w:val="34"/>
        <w:rPr>
          <w:rFonts w:cs="宋体"/>
          <w:color w:val="auto"/>
          <w:highlight w:val="none"/>
        </w:rPr>
      </w:pPr>
      <w:r>
        <w:rPr>
          <w:rFonts w:hint="eastAsia" w:cs="宋体"/>
          <w:color w:val="auto"/>
          <w:highlight w:val="none"/>
        </w:rPr>
        <w:t>磋商日期：</w:t>
      </w:r>
      <w:r>
        <w:rPr>
          <w:rFonts w:hint="eastAsia" w:cs="宋体"/>
          <w:color w:val="auto"/>
          <w:highlight w:val="none"/>
          <w:u w:val="single"/>
        </w:rPr>
        <w:t xml:space="preserve">                </w:t>
      </w:r>
      <w:r>
        <w:rPr>
          <w:rFonts w:hint="eastAsia" w:cs="宋体"/>
          <w:color w:val="auto"/>
          <w:highlight w:val="none"/>
        </w:rPr>
        <w:t xml:space="preserve">  </w:t>
      </w:r>
    </w:p>
    <w:p>
      <w:pPr>
        <w:pStyle w:val="33"/>
        <w:numPr>
          <w:ilvl w:val="3"/>
          <w:numId w:val="0"/>
        </w:numPr>
        <w:ind w:firstLine="482" w:firstLineChars="200"/>
        <w:jc w:val="both"/>
        <w:rPr>
          <w:b/>
          <w:bCs/>
          <w:color w:val="auto"/>
          <w:highlight w:val="none"/>
        </w:rPr>
      </w:pPr>
    </w:p>
    <w:p>
      <w:pPr>
        <w:pStyle w:val="33"/>
        <w:numPr>
          <w:ilvl w:val="3"/>
          <w:numId w:val="0"/>
        </w:numPr>
        <w:ind w:firstLine="482" w:firstLineChars="200"/>
        <w:rPr>
          <w:b/>
          <w:bCs/>
          <w:color w:val="auto"/>
          <w:highlight w:val="none"/>
        </w:rPr>
      </w:pPr>
      <w:r>
        <w:rPr>
          <w:rFonts w:hint="eastAsia"/>
          <w:b/>
          <w:bCs/>
          <w:color w:val="auto"/>
          <w:highlight w:val="none"/>
        </w:rPr>
        <w:t>注：供应商成立时间超过十年的，在“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w:t>
      </w:r>
      <w:r>
        <w:rPr>
          <w:rFonts w:hint="eastAsia"/>
          <w:b/>
          <w:bCs/>
          <w:color w:val="auto"/>
          <w:highlight w:val="none"/>
        </w:rPr>
        <w:t>供应商</w:t>
      </w:r>
      <w:r>
        <w:rPr>
          <w:rFonts w:hint="eastAsia" w:cs="宋体"/>
          <w:b/>
          <w:bCs/>
          <w:color w:val="auto"/>
          <w:highlight w:val="none"/>
        </w:rPr>
        <w:t>成立时间不足十年的，</w:t>
      </w:r>
      <w:r>
        <w:rPr>
          <w:rFonts w:hint="eastAsia"/>
          <w:b/>
          <w:bCs/>
          <w:color w:val="auto"/>
          <w:highlight w:val="none"/>
        </w:rPr>
        <w:t>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处填写“自我单位成立之日起至今”</w:t>
      </w:r>
      <w:r>
        <w:rPr>
          <w:rFonts w:hint="eastAsia"/>
          <w:b/>
          <w:bCs/>
          <w:color w:val="auto"/>
          <w:highlight w:val="none"/>
        </w:rPr>
        <w:t>。</w:t>
      </w:r>
    </w:p>
    <w:p>
      <w:pPr>
        <w:pStyle w:val="30"/>
        <w:rPr>
          <w:color w:val="auto"/>
          <w:highlight w:val="none"/>
          <w:lang w:val="zh-CN"/>
        </w:rPr>
      </w:pPr>
    </w:p>
    <w:p>
      <w:pPr>
        <w:pStyle w:val="30"/>
        <w:rPr>
          <w:color w:val="auto"/>
          <w:highlight w:val="none"/>
        </w:rPr>
      </w:pPr>
      <w:r>
        <w:rPr>
          <w:rFonts w:hint="eastAsia"/>
          <w:color w:val="auto"/>
          <w:highlight w:val="none"/>
        </w:rPr>
        <w:br w:type="page"/>
      </w:r>
      <w:bookmarkEnd w:id="233"/>
      <w:bookmarkStart w:id="234" w:name="_Toc2151"/>
    </w:p>
    <w:bookmarkEnd w:id="234"/>
    <w:p>
      <w:pPr>
        <w:pStyle w:val="50"/>
        <w:numPr>
          <w:ilvl w:val="0"/>
          <w:numId w:val="18"/>
        </w:numPr>
        <w:spacing w:before="120" w:after="120"/>
        <w:ind w:firstLine="0"/>
        <w:rPr>
          <w:color w:val="auto"/>
          <w:highlight w:val="none"/>
        </w:rPr>
      </w:pPr>
      <w:bookmarkStart w:id="235" w:name="_Toc15054"/>
      <w:bookmarkStart w:id="236" w:name="_Toc19166"/>
      <w:bookmarkStart w:id="237" w:name="_Toc29579"/>
      <w:bookmarkStart w:id="238" w:name="_Toc4865"/>
      <w:r>
        <w:rPr>
          <w:rFonts w:hint="eastAsia"/>
          <w:color w:val="auto"/>
          <w:highlight w:val="none"/>
        </w:rPr>
        <w:t>根据采购项目的特殊要求，规定供应商提供的特定条件</w:t>
      </w:r>
      <w:bookmarkEnd w:id="235"/>
      <w:r>
        <w:rPr>
          <w:rFonts w:hint="eastAsia"/>
          <w:color w:val="auto"/>
          <w:highlight w:val="none"/>
        </w:rPr>
        <w:t>的证明材料</w:t>
      </w:r>
      <w:bookmarkEnd w:id="236"/>
      <w:bookmarkEnd w:id="237"/>
      <w:bookmarkEnd w:id="238"/>
    </w:p>
    <w:p>
      <w:pPr>
        <w:pStyle w:val="34"/>
        <w:rPr>
          <w:color w:val="auto"/>
          <w:highlight w:val="none"/>
        </w:rPr>
      </w:pPr>
      <w:r>
        <w:rPr>
          <w:rFonts w:hint="eastAsia"/>
          <w:color w:val="auto"/>
          <w:highlight w:val="none"/>
        </w:rPr>
        <w:t>1.提供国家行政主管部门颁发的有效期内的《医疗机构执业许可证》复印件；</w:t>
      </w:r>
    </w:p>
    <w:p>
      <w:pPr>
        <w:pStyle w:val="34"/>
        <w:rPr>
          <w:color w:val="auto"/>
          <w:highlight w:val="none"/>
        </w:rPr>
      </w:pPr>
      <w:r>
        <w:rPr>
          <w:rFonts w:hint="eastAsia"/>
          <w:color w:val="auto"/>
          <w:highlight w:val="none"/>
        </w:rPr>
        <w:t>2.提供未与其他供应商组成联合体参加本次采购活动的承诺函。</w:t>
      </w:r>
    </w:p>
    <w:p>
      <w:pPr>
        <w:pStyle w:val="34"/>
        <w:ind w:firstLine="482"/>
        <w:rPr>
          <w:b/>
          <w:bCs/>
          <w:color w:val="auto"/>
          <w:highlight w:val="none"/>
        </w:rPr>
      </w:pPr>
      <w:r>
        <w:rPr>
          <w:rFonts w:hint="eastAsia" w:cs="宋体" w:asciiTheme="minorEastAsia" w:hAnsiTheme="minorEastAsia" w:eastAsiaTheme="minorEastAsia"/>
          <w:b/>
          <w:bCs/>
          <w:color w:val="auto"/>
          <w:highlight w:val="none"/>
        </w:rPr>
        <w:t>注：承诺函格式自拟，或参照《符合&lt;中华人民共和国政府采购法&gt;第二十二条规定的条件的承诺及声明函》的格式提供承诺函。</w:t>
      </w:r>
    </w:p>
    <w:p>
      <w:pPr>
        <w:pStyle w:val="34"/>
        <w:rPr>
          <w:color w:val="auto"/>
          <w:highlight w:val="none"/>
        </w:rPr>
      </w:pPr>
    </w:p>
    <w:p>
      <w:pPr>
        <w:pStyle w:val="50"/>
        <w:numPr>
          <w:ilvl w:val="0"/>
          <w:numId w:val="18"/>
        </w:numPr>
        <w:spacing w:before="120" w:after="120"/>
        <w:ind w:firstLine="0"/>
        <w:rPr>
          <w:color w:val="auto"/>
          <w:w w:val="95"/>
          <w:highlight w:val="none"/>
        </w:rPr>
      </w:pPr>
      <w:bookmarkStart w:id="239" w:name="_Toc18707"/>
      <w:bookmarkStart w:id="240" w:name="_Toc21855"/>
      <w:bookmarkStart w:id="241" w:name="_Toc15708"/>
      <w:r>
        <w:rPr>
          <w:rFonts w:hint="eastAsia"/>
          <w:color w:val="auto"/>
          <w:w w:val="95"/>
          <w:highlight w:val="none"/>
        </w:rPr>
        <w:t>符合《中华人民共和国政府采购法》第二十二条规定的条件的承诺及声明函</w:t>
      </w:r>
      <w:bookmarkEnd w:id="239"/>
      <w:bookmarkEnd w:id="240"/>
      <w:bookmarkEnd w:id="241"/>
    </w:p>
    <w:p>
      <w:pPr>
        <w:pStyle w:val="30"/>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0"/>
        <w:ind w:firstLine="480" w:firstLineChars="200"/>
        <w:rPr>
          <w:color w:val="auto"/>
          <w:highlight w:val="none"/>
        </w:rPr>
      </w:pPr>
      <w:r>
        <w:rPr>
          <w:rFonts w:hint="eastAsia"/>
          <w:color w:val="auto"/>
          <w:highlight w:val="none"/>
        </w:rPr>
        <w:t>我公司作为本次采购项目的供应商，根据磋商文件要求，现郑重承诺及声明如下：</w:t>
      </w:r>
    </w:p>
    <w:p>
      <w:pPr>
        <w:pStyle w:val="43"/>
        <w:numPr>
          <w:ilvl w:val="2"/>
          <w:numId w:val="19"/>
        </w:numPr>
        <w:ind w:firstLine="480"/>
        <w:rPr>
          <w:color w:val="auto"/>
          <w:highlight w:val="none"/>
        </w:rPr>
      </w:pPr>
      <w:r>
        <w:rPr>
          <w:rFonts w:hint="eastAsia"/>
          <w:color w:val="auto"/>
          <w:highlight w:val="none"/>
        </w:rPr>
        <w:t xml:space="preserve">具有良好的商业信誉和健全的财务会计制度； </w:t>
      </w:r>
    </w:p>
    <w:p>
      <w:pPr>
        <w:pStyle w:val="43"/>
        <w:numPr>
          <w:ilvl w:val="2"/>
          <w:numId w:val="19"/>
        </w:numPr>
        <w:ind w:firstLine="480"/>
        <w:rPr>
          <w:color w:val="auto"/>
          <w:highlight w:val="none"/>
        </w:rPr>
      </w:pPr>
      <w:r>
        <w:rPr>
          <w:rFonts w:hint="eastAsia"/>
          <w:color w:val="auto"/>
          <w:highlight w:val="none"/>
        </w:rPr>
        <w:t xml:space="preserve">具有履行合同所必需的设备和专业技术能力； </w:t>
      </w:r>
    </w:p>
    <w:p>
      <w:pPr>
        <w:pStyle w:val="43"/>
        <w:numPr>
          <w:ilvl w:val="2"/>
          <w:numId w:val="19"/>
        </w:numPr>
        <w:ind w:firstLine="480"/>
        <w:rPr>
          <w:color w:val="auto"/>
          <w:highlight w:val="none"/>
        </w:rPr>
      </w:pPr>
      <w:r>
        <w:rPr>
          <w:rFonts w:hint="eastAsia"/>
          <w:color w:val="auto"/>
          <w:highlight w:val="none"/>
        </w:rPr>
        <w:t xml:space="preserve">具有依法缴纳税收和社会保障资金的良好记录； </w:t>
      </w:r>
    </w:p>
    <w:p>
      <w:pPr>
        <w:pStyle w:val="43"/>
        <w:numPr>
          <w:ilvl w:val="2"/>
          <w:numId w:val="19"/>
        </w:numPr>
        <w:ind w:firstLine="480"/>
        <w:rPr>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43"/>
        <w:numPr>
          <w:ilvl w:val="2"/>
          <w:numId w:val="19"/>
        </w:numPr>
        <w:ind w:firstLine="480"/>
        <w:rPr>
          <w:color w:val="auto"/>
          <w:highlight w:val="none"/>
        </w:rPr>
      </w:pPr>
      <w:r>
        <w:rPr>
          <w:rFonts w:hint="eastAsia"/>
          <w:color w:val="auto"/>
          <w:highlight w:val="none"/>
        </w:rPr>
        <w:t>符合法律、行政法规规定的其他条件；</w:t>
      </w:r>
    </w:p>
    <w:p>
      <w:pPr>
        <w:pStyle w:val="43"/>
        <w:numPr>
          <w:ilvl w:val="2"/>
          <w:numId w:val="19"/>
        </w:numPr>
        <w:ind w:firstLine="480"/>
        <w:rPr>
          <w:color w:val="auto"/>
          <w:highlight w:val="none"/>
        </w:rPr>
      </w:pPr>
      <w:r>
        <w:rPr>
          <w:rFonts w:hint="eastAsia"/>
          <w:color w:val="auto"/>
          <w:highlight w:val="none"/>
        </w:rPr>
        <w:t>未与其他供应商组成联合体参加本次采购活动。</w:t>
      </w:r>
    </w:p>
    <w:p>
      <w:pPr>
        <w:pStyle w:val="34"/>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本公司对上述承诺的内容事项真实性、合法性负责。如经查实上述承诺的内容事项存在虚假，我公司自愿接受以提供虚假材料谋取成交所带来的所有法律责任。</w:t>
      </w: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color w:val="auto"/>
          <w:highlight w:val="none"/>
          <w:u w:val="single"/>
        </w:rPr>
        <w:t xml:space="preserve">                </w:t>
      </w:r>
      <w:r>
        <w:rPr>
          <w:rFonts w:hint="eastAsia"/>
          <w:color w:val="auto"/>
          <w:highlight w:val="none"/>
        </w:rPr>
        <w:t xml:space="preserve">  </w:t>
      </w:r>
    </w:p>
    <w:p>
      <w:pPr>
        <w:pStyle w:val="52"/>
        <w:ind w:firstLine="482"/>
        <w:rPr>
          <w:color w:val="auto"/>
          <w:highlight w:val="none"/>
        </w:rPr>
      </w:pPr>
      <w:r>
        <w:rPr>
          <w:rFonts w:hint="eastAsia"/>
          <w:color w:val="auto"/>
          <w:highlight w:val="none"/>
        </w:rPr>
        <w:t>注：本部分所要求的承诺函可参照本格式或自拟格式填写均有效。</w:t>
      </w:r>
    </w:p>
    <w:p>
      <w:pPr>
        <w:rPr>
          <w:color w:val="auto"/>
          <w:highlight w:val="none"/>
        </w:rPr>
      </w:pPr>
      <w:r>
        <w:rPr>
          <w:rFonts w:hint="eastAsia"/>
          <w:color w:val="auto"/>
          <w:highlight w:val="none"/>
        </w:rPr>
        <w:br w:type="page"/>
      </w:r>
    </w:p>
    <w:p>
      <w:pPr>
        <w:pStyle w:val="30"/>
        <w:rPr>
          <w:color w:val="auto"/>
          <w:highlight w:val="none"/>
        </w:rPr>
      </w:pPr>
      <w:bookmarkStart w:id="242" w:name="_Toc18702"/>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bookmarkStart w:id="243" w:name="_Toc14607"/>
    </w:p>
    <w:p>
      <w:pPr>
        <w:pStyle w:val="30"/>
        <w:rPr>
          <w:color w:val="auto"/>
          <w:highlight w:val="none"/>
        </w:rPr>
      </w:pPr>
    </w:p>
    <w:p>
      <w:pPr>
        <w:pStyle w:val="30"/>
        <w:rPr>
          <w:color w:val="auto"/>
          <w:highlight w:val="none"/>
        </w:rPr>
      </w:pPr>
    </w:p>
    <w:p>
      <w:pPr>
        <w:pStyle w:val="30"/>
        <w:rPr>
          <w:color w:val="auto"/>
          <w:highlight w:val="none"/>
        </w:rPr>
      </w:pPr>
    </w:p>
    <w:p>
      <w:pPr>
        <w:pStyle w:val="31"/>
        <w:numPr>
          <w:ilvl w:val="1"/>
          <w:numId w:val="0"/>
        </w:numPr>
        <w:jc w:val="center"/>
        <w:rPr>
          <w:color w:val="auto"/>
          <w:sz w:val="32"/>
          <w:szCs w:val="32"/>
          <w:highlight w:val="none"/>
        </w:rPr>
      </w:pPr>
      <w:bookmarkStart w:id="244" w:name="_Toc32413"/>
      <w:r>
        <w:rPr>
          <w:rFonts w:hint="eastAsia"/>
          <w:color w:val="auto"/>
          <w:sz w:val="32"/>
          <w:szCs w:val="32"/>
          <w:highlight w:val="none"/>
        </w:rPr>
        <w:t>第二部分 其他响应文件(格式)</w:t>
      </w:r>
      <w:bookmarkEnd w:id="243"/>
      <w:bookmarkEnd w:id="244"/>
    </w:p>
    <w:p>
      <w:pPr>
        <w:pStyle w:val="30"/>
        <w:rPr>
          <w:color w:val="auto"/>
          <w:highlight w:val="none"/>
        </w:rPr>
      </w:pPr>
      <w:bookmarkStart w:id="245" w:name="_Toc26038"/>
      <w:r>
        <w:rPr>
          <w:rFonts w:hint="eastAsia"/>
          <w:color w:val="auto"/>
          <w:highlight w:val="none"/>
        </w:rPr>
        <w:br w:type="page"/>
      </w:r>
    </w:p>
    <w:p>
      <w:pPr>
        <w:pStyle w:val="50"/>
        <w:numPr>
          <w:ilvl w:val="0"/>
          <w:numId w:val="20"/>
        </w:numPr>
        <w:spacing w:before="120" w:after="120"/>
        <w:ind w:firstLine="0"/>
        <w:rPr>
          <w:color w:val="auto"/>
          <w:highlight w:val="none"/>
        </w:rPr>
      </w:pPr>
      <w:bookmarkStart w:id="246" w:name="_Toc2311"/>
      <w:bookmarkStart w:id="247" w:name="_Toc19978"/>
      <w:r>
        <w:rPr>
          <w:rFonts w:hint="eastAsia"/>
          <w:color w:val="auto"/>
          <w:highlight w:val="none"/>
        </w:rPr>
        <w:t>磋商函</w:t>
      </w:r>
      <w:bookmarkEnd w:id="242"/>
      <w:bookmarkEnd w:id="245"/>
      <w:bookmarkEnd w:id="246"/>
      <w:bookmarkEnd w:id="247"/>
    </w:p>
    <w:p>
      <w:pPr>
        <w:pStyle w:val="30"/>
        <w:rPr>
          <w:color w:val="auto"/>
          <w:highlight w:val="none"/>
          <w:lang w:val="zh-CN"/>
        </w:rPr>
      </w:pPr>
      <w:r>
        <w:rPr>
          <w:rFonts w:hint="eastAsia"/>
          <w:color w:val="auto"/>
          <w:highlight w:val="none"/>
          <w:lang w:val="zh-CN"/>
        </w:rPr>
        <w:t>致：四川乾新招投标代理有限公司　</w:t>
      </w:r>
    </w:p>
    <w:p>
      <w:pPr>
        <w:pStyle w:val="34"/>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)”的磋商文件，决定参加贵单位组织的本项目的政府采购活动。我方授权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(供应商名称)全权处理本项目磋商的有关事宜。</w:t>
      </w:r>
    </w:p>
    <w:p>
      <w:pPr>
        <w:pStyle w:val="43"/>
        <w:numPr>
          <w:ilvl w:val="2"/>
          <w:numId w:val="21"/>
        </w:numPr>
        <w:ind w:firstLine="480"/>
        <w:rPr>
          <w:color w:val="auto"/>
          <w:highlight w:val="none"/>
        </w:rPr>
      </w:pPr>
      <w:r>
        <w:rPr>
          <w:rFonts w:hint="eastAsia"/>
          <w:color w:val="auto"/>
          <w:highlight w:val="none"/>
        </w:rPr>
        <w:t>我方自愿按照磋商文件规定的各项要求向采购人提供所需相应服务，履约时间为</w:t>
      </w:r>
      <w:r>
        <w:rPr>
          <w:rFonts w:hint="eastAsia"/>
          <w:color w:val="auto"/>
          <w:highlight w:val="none"/>
          <w:u w:val="single"/>
        </w:rPr>
        <w:t xml:space="preserve">            </w:t>
      </w:r>
      <w:r>
        <w:rPr>
          <w:rFonts w:hint="eastAsia"/>
          <w:color w:val="auto"/>
          <w:highlight w:val="none"/>
        </w:rPr>
        <w:t>。</w:t>
      </w:r>
    </w:p>
    <w:p>
      <w:pPr>
        <w:pStyle w:val="43"/>
        <w:numPr>
          <w:ilvl w:val="2"/>
          <w:numId w:val="21"/>
        </w:numPr>
        <w:ind w:firstLine="480"/>
        <w:rPr>
          <w:color w:val="auto"/>
          <w:highlight w:val="none"/>
        </w:rPr>
      </w:pPr>
      <w:r>
        <w:rPr>
          <w:rFonts w:hint="eastAsia"/>
          <w:color w:val="auto"/>
          <w:highlight w:val="none"/>
        </w:rPr>
        <w:t>我方承诺：磋商有效期为</w:t>
      </w:r>
      <w:r>
        <w:rPr>
          <w:rFonts w:hint="eastAsia"/>
          <w:color w:val="auto"/>
          <w:highlight w:val="none"/>
          <w:u w:val="single"/>
        </w:rPr>
        <w:t xml:space="preserve">                    </w:t>
      </w:r>
      <w:r>
        <w:rPr>
          <w:rFonts w:hint="eastAsia"/>
          <w:color w:val="auto"/>
          <w:highlight w:val="none"/>
        </w:rPr>
        <w:t>，在此期间内不修改、撤销响应文件。</w:t>
      </w:r>
    </w:p>
    <w:p>
      <w:pPr>
        <w:pStyle w:val="43"/>
        <w:numPr>
          <w:ilvl w:val="2"/>
          <w:numId w:val="21"/>
        </w:numPr>
        <w:ind w:firstLine="480"/>
        <w:rPr>
          <w:color w:val="auto"/>
          <w:highlight w:val="none"/>
        </w:rPr>
      </w:pPr>
      <w:r>
        <w:rPr>
          <w:rFonts w:hint="eastAsia"/>
          <w:color w:val="auto"/>
          <w:highlight w:val="none"/>
        </w:rPr>
        <w:t>如我方成交：</w:t>
      </w:r>
    </w:p>
    <w:p>
      <w:pPr>
        <w:pStyle w:val="44"/>
        <w:ind w:firstLine="480"/>
        <w:rPr>
          <w:color w:val="auto"/>
          <w:highlight w:val="none"/>
        </w:rPr>
      </w:pPr>
      <w:r>
        <w:rPr>
          <w:rFonts w:hint="eastAsia"/>
          <w:color w:val="auto"/>
          <w:highlight w:val="none"/>
        </w:rPr>
        <w:t>我方承诺积极配合招标代理机构办理领取成交通知书事宜，同时在收到成交通知书后，在规定的期限内与采购人签订合同。</w:t>
      </w:r>
    </w:p>
    <w:p>
      <w:pPr>
        <w:pStyle w:val="44"/>
        <w:ind w:firstLine="480"/>
        <w:rPr>
          <w:color w:val="auto"/>
          <w:highlight w:val="none"/>
        </w:rPr>
      </w:pPr>
      <w:r>
        <w:rPr>
          <w:rFonts w:hint="eastAsia"/>
          <w:color w:val="auto"/>
          <w:highlight w:val="none"/>
        </w:rPr>
        <w:t>我方承诺按照磋商文件规定的金额和方式向采购人缴纳履约保证金。</w:t>
      </w:r>
    </w:p>
    <w:p>
      <w:pPr>
        <w:pStyle w:val="44"/>
        <w:ind w:firstLine="480"/>
        <w:rPr>
          <w:color w:val="auto"/>
          <w:highlight w:val="none"/>
        </w:rPr>
      </w:pPr>
      <w:r>
        <w:rPr>
          <w:rFonts w:hint="eastAsia"/>
          <w:color w:val="auto"/>
          <w:highlight w:val="none"/>
        </w:rPr>
        <w:t>我方将严格履行政府采购合同规定的责任和义务。</w:t>
      </w:r>
    </w:p>
    <w:p>
      <w:pPr>
        <w:pStyle w:val="44"/>
        <w:ind w:firstLine="480"/>
        <w:rPr>
          <w:color w:val="auto"/>
          <w:highlight w:val="none"/>
        </w:rPr>
      </w:pPr>
      <w:r>
        <w:rPr>
          <w:rFonts w:hint="eastAsia"/>
          <w:color w:val="auto"/>
          <w:highlight w:val="none"/>
        </w:rPr>
        <w:t>我方愿意提供贵单位可能另外要求的，与磋商报价有关的文件资料，并保证我方已提供和将要提供的文件资料是真实、准确的。</w:t>
      </w:r>
    </w:p>
    <w:p>
      <w:pPr>
        <w:pStyle w:val="44"/>
        <w:ind w:firstLine="480"/>
        <w:rPr>
          <w:color w:val="auto"/>
          <w:highlight w:val="none"/>
        </w:rPr>
      </w:pPr>
      <w:r>
        <w:rPr>
          <w:rFonts w:hint="eastAsia"/>
          <w:color w:val="auto"/>
          <w:highlight w:val="none"/>
        </w:rPr>
        <w:t>我方自愿按照磋商文件规定的各项要求完成采购项目，最后报价以《最后报价表》为准，接受采购人按照政府采购合同约定金额支付采购资金。</w:t>
      </w:r>
    </w:p>
    <w:p>
      <w:pPr>
        <w:pStyle w:val="43"/>
        <w:numPr>
          <w:ilvl w:val="2"/>
          <w:numId w:val="0"/>
        </w:numPr>
        <w:ind w:firstLine="480" w:firstLineChars="200"/>
        <w:rPr>
          <w:color w:val="auto"/>
          <w:highlight w:val="none"/>
        </w:rPr>
      </w:pPr>
      <w:r>
        <w:rPr>
          <w:rFonts w:hint="eastAsia"/>
          <w:color w:val="auto"/>
          <w:highlight w:val="none"/>
        </w:rPr>
        <w:t>4.我方在参加本次政府采购活动中，涉及的询问、质疑、邮寄(快递)成交通知书等采购文书资料送达地址为：</w:t>
      </w:r>
      <w:r>
        <w:rPr>
          <w:rFonts w:hint="eastAsia"/>
          <w:color w:val="auto"/>
          <w:highlight w:val="none"/>
          <w:u w:val="single"/>
        </w:rPr>
        <w:t xml:space="preserve">                                     </w:t>
      </w:r>
      <w:r>
        <w:rPr>
          <w:rFonts w:hint="eastAsia"/>
          <w:color w:val="auto"/>
          <w:highlight w:val="none"/>
        </w:rPr>
        <w:t>；联系人：</w:t>
      </w:r>
      <w:r>
        <w:rPr>
          <w:rFonts w:hint="eastAsia"/>
          <w:color w:val="auto"/>
          <w:highlight w:val="none"/>
          <w:u w:val="single"/>
        </w:rPr>
        <w:t xml:space="preserve">           </w:t>
      </w:r>
      <w:r>
        <w:rPr>
          <w:rFonts w:hint="eastAsia"/>
          <w:color w:val="auto"/>
          <w:highlight w:val="none"/>
        </w:rPr>
        <w:t>；联系电话：</w:t>
      </w:r>
      <w:r>
        <w:rPr>
          <w:rFonts w:hint="eastAsia"/>
          <w:color w:val="auto"/>
          <w:highlight w:val="none"/>
          <w:u w:val="single"/>
        </w:rPr>
        <w:t xml:space="preserve">            </w:t>
      </w:r>
      <w:r>
        <w:rPr>
          <w:rFonts w:hint="eastAsia"/>
          <w:color w:val="auto"/>
          <w:highlight w:val="none"/>
        </w:rPr>
        <w:t>，如在采购结果公告发布前变更送达地址的，将及时以书面方式告知贵公司。</w:t>
      </w:r>
    </w:p>
    <w:p>
      <w:pPr>
        <w:pStyle w:val="43"/>
        <w:numPr>
          <w:ilvl w:val="2"/>
          <w:numId w:val="0"/>
        </w:numPr>
        <w:spacing w:line="460" w:lineRule="exact"/>
        <w:ind w:firstLine="480" w:firstLineChars="200"/>
        <w:rPr>
          <w:color w:val="auto"/>
          <w:highlight w:val="none"/>
        </w:rPr>
      </w:pPr>
      <w:r>
        <w:rPr>
          <w:rFonts w:hint="eastAsia"/>
          <w:color w:val="auto"/>
          <w:highlight w:val="none"/>
        </w:rPr>
        <w:t>4.1我方承诺：如未提供自己的送达地址，经招标代理机构告知后仍不提供的，自然人以其户籍登记中的住所地为送达地址;法人或者其他组织以其工商登记或者其他依法登记、备案中的住所地为送达地址。</w:t>
      </w:r>
    </w:p>
    <w:p>
      <w:pPr>
        <w:pStyle w:val="43"/>
        <w:numPr>
          <w:ilvl w:val="2"/>
          <w:numId w:val="0"/>
        </w:numPr>
        <w:spacing w:line="460" w:lineRule="exact"/>
        <w:ind w:firstLine="480" w:firstLineChars="200"/>
        <w:rPr>
          <w:color w:val="auto"/>
          <w:highlight w:val="none"/>
        </w:rPr>
      </w:pPr>
      <w:r>
        <w:rPr>
          <w:rFonts w:hint="eastAsia"/>
          <w:color w:val="auto"/>
          <w:highlight w:val="none"/>
        </w:rPr>
        <w:t>4.2因我方提供的送达地址不准确、拒不提供送达地址、送达地址变更未及时告知招标代理机构、受送达人本人或者受送达人指定的代收人拒绝签收，导致采购文书等资料未能被受送达人实际接收的，采购文书退回之日视为送达之日。邮寄送达的，邮件回执上注明的退回之日视为送达之日；直接送达的，送达人当场在送达回执上签收之日视为送达之日。</w:t>
      </w:r>
    </w:p>
    <w:p>
      <w:pPr>
        <w:pStyle w:val="43"/>
        <w:numPr>
          <w:ilvl w:val="2"/>
          <w:numId w:val="0"/>
        </w:numPr>
        <w:ind w:firstLine="480" w:firstLineChars="200"/>
        <w:rPr>
          <w:color w:val="auto"/>
          <w:highlight w:val="none"/>
        </w:rPr>
      </w:pPr>
      <w:r>
        <w:rPr>
          <w:rFonts w:hint="eastAsia"/>
          <w:color w:val="auto"/>
          <w:highlight w:val="none"/>
        </w:rPr>
        <w:t>5.完全接受磋商文件中规定的实质性要求，如对磋商文件有异议，已经在响应文件递交截止时间届满前依法进行维权救济，不存在对磋商文件有异议的同时又参加磋商以求侥幸成交或者为实现其他非法目的的行为。</w:t>
      </w:r>
    </w:p>
    <w:p>
      <w:pPr>
        <w:pStyle w:val="30"/>
        <w:ind w:firstLine="480" w:firstLineChars="200"/>
        <w:rPr>
          <w:color w:val="auto"/>
          <w:highlight w:val="none"/>
        </w:rPr>
      </w:pPr>
    </w:p>
    <w:p>
      <w:pPr>
        <w:pStyle w:val="30"/>
        <w:ind w:firstLine="480" w:firstLineChars="200"/>
        <w:rPr>
          <w:color w:val="auto"/>
          <w:highlight w:val="none"/>
        </w:rPr>
      </w:pPr>
      <w:r>
        <w:rPr>
          <w:rFonts w:hint="eastAsia"/>
          <w:color w:val="auto"/>
          <w:highlight w:val="none"/>
        </w:rPr>
        <w:t>供应商名称：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0"/>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0"/>
        <w:ind w:firstLine="480" w:firstLineChars="200"/>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0"/>
        <w:ind w:firstLine="480" w:firstLineChars="200"/>
        <w:rPr>
          <w:color w:val="auto"/>
          <w:highlight w:val="none"/>
        </w:rPr>
      </w:pPr>
      <w:r>
        <w:rPr>
          <w:rFonts w:hint="eastAsia"/>
          <w:color w:val="auto"/>
          <w:highlight w:val="none"/>
        </w:rPr>
        <w:t>联系人：</w:t>
      </w:r>
      <w:r>
        <w:rPr>
          <w:rFonts w:hint="eastAsia" w:cs="宋体"/>
          <w:bCs/>
          <w:color w:val="auto"/>
          <w:highlight w:val="none"/>
          <w:u w:val="single"/>
        </w:rPr>
        <w:t xml:space="preserve">                 </w:t>
      </w:r>
    </w:p>
    <w:p>
      <w:pPr>
        <w:pStyle w:val="30"/>
        <w:ind w:firstLine="480" w:firstLineChars="200"/>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0"/>
        <w:ind w:firstLine="480" w:firstLineChars="200"/>
        <w:rPr>
          <w:color w:val="auto"/>
          <w:highlight w:val="none"/>
        </w:rPr>
      </w:pPr>
      <w:r>
        <w:rPr>
          <w:rFonts w:hint="eastAsia"/>
          <w:color w:val="auto"/>
          <w:highlight w:val="none"/>
        </w:rPr>
        <w:t>磋商日期：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rPr>
          <w:color w:val="auto"/>
          <w:highlight w:val="none"/>
        </w:rPr>
      </w:pPr>
      <w:bookmarkStart w:id="248" w:name="_Toc5912"/>
      <w:bookmarkStart w:id="249" w:name="_Toc439161752"/>
      <w:bookmarkStart w:id="250" w:name="_Toc302997926"/>
      <w:bookmarkStart w:id="251" w:name="_Toc6982"/>
      <w:bookmarkStart w:id="252" w:name="_Toc10493"/>
      <w:bookmarkStart w:id="253" w:name="_Toc3690"/>
      <w:r>
        <w:rPr>
          <w:rFonts w:hint="eastAsia"/>
          <w:color w:val="auto"/>
          <w:highlight w:val="none"/>
        </w:rPr>
        <w:br w:type="page"/>
      </w:r>
    </w:p>
    <w:p>
      <w:pPr>
        <w:pStyle w:val="50"/>
        <w:numPr>
          <w:ilvl w:val="0"/>
          <w:numId w:val="20"/>
        </w:numPr>
        <w:spacing w:before="120" w:after="120"/>
        <w:ind w:firstLine="0"/>
        <w:rPr>
          <w:color w:val="auto"/>
          <w:highlight w:val="none"/>
        </w:rPr>
      </w:pPr>
      <w:bookmarkStart w:id="254" w:name="_Toc22640"/>
      <w:bookmarkStart w:id="255" w:name="_Toc6228"/>
      <w:r>
        <w:rPr>
          <w:rFonts w:hint="eastAsia"/>
          <w:color w:val="auto"/>
          <w:highlight w:val="none"/>
        </w:rPr>
        <w:t>承诺函(实质性要求</w:t>
      </w:r>
      <w:bookmarkEnd w:id="254"/>
      <w:r>
        <w:rPr>
          <w:rFonts w:hint="eastAsia"/>
          <w:color w:val="auto"/>
          <w:highlight w:val="none"/>
        </w:rPr>
        <w:t>)</w:t>
      </w:r>
      <w:bookmarkEnd w:id="255"/>
    </w:p>
    <w:p>
      <w:pPr>
        <w:pStyle w:val="30"/>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4"/>
        <w:rPr>
          <w:color w:val="auto"/>
          <w:highlight w:val="none"/>
        </w:rPr>
      </w:pPr>
      <w:r>
        <w:rPr>
          <w:rFonts w:hint="eastAsia"/>
          <w:color w:val="auto"/>
          <w:highlight w:val="none"/>
        </w:rPr>
        <w:t>我方作为本次采购项目的供应商，根据磋商文件要求，现郑重承诺及声明如下：</w:t>
      </w:r>
    </w:p>
    <w:p>
      <w:pPr>
        <w:pStyle w:val="43"/>
        <w:numPr>
          <w:ilvl w:val="2"/>
          <w:numId w:val="22"/>
        </w:numPr>
        <w:ind w:firstLine="480"/>
        <w:rPr>
          <w:color w:val="auto"/>
          <w:highlight w:val="none"/>
        </w:rPr>
      </w:pPr>
      <w:r>
        <w:rPr>
          <w:rFonts w:hint="eastAsia"/>
          <w:color w:val="auto"/>
          <w:highlight w:val="none"/>
        </w:rPr>
        <w:t>我方已认真阅读并接受本项目磋商文件的全部实质性要求。</w:t>
      </w:r>
    </w:p>
    <w:p>
      <w:pPr>
        <w:pStyle w:val="43"/>
        <w:numPr>
          <w:ilvl w:val="2"/>
          <w:numId w:val="22"/>
        </w:numPr>
        <w:ind w:firstLine="480"/>
        <w:rPr>
          <w:color w:val="auto"/>
          <w:highlight w:val="none"/>
        </w:rPr>
      </w:pPr>
      <w:r>
        <w:rPr>
          <w:rFonts w:hint="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olor w:val="auto"/>
          <w:highlight w:val="none"/>
          <w:u w:val="single"/>
        </w:rPr>
        <w:t xml:space="preserve">                  </w:t>
      </w:r>
      <w:r>
        <w:rPr>
          <w:rFonts w:hint="eastAsia"/>
          <w:color w:val="auto"/>
          <w:highlight w:val="none"/>
        </w:rPr>
        <w:t>；存在管理关系的单位为：</w:t>
      </w:r>
      <w:r>
        <w:rPr>
          <w:rFonts w:hint="eastAsia"/>
          <w:color w:val="auto"/>
          <w:highlight w:val="none"/>
          <w:u w:val="single"/>
        </w:rPr>
        <w:t xml:space="preserve">                      </w:t>
      </w:r>
      <w:r>
        <w:rPr>
          <w:rFonts w:hint="eastAsia"/>
          <w:color w:val="auto"/>
          <w:highlight w:val="none"/>
        </w:rPr>
        <w:t>(如不存在直接控股、管理关系的相关供应商填“无”)。</w:t>
      </w:r>
    </w:p>
    <w:p>
      <w:pPr>
        <w:pStyle w:val="43"/>
        <w:numPr>
          <w:ilvl w:val="2"/>
          <w:numId w:val="22"/>
        </w:numPr>
        <w:ind w:firstLine="480"/>
        <w:rPr>
          <w:color w:val="auto"/>
          <w:highlight w:val="none"/>
        </w:rPr>
      </w:pPr>
      <w:r>
        <w:rPr>
          <w:rFonts w:hint="eastAsia"/>
          <w:color w:val="auto"/>
          <w:highlight w:val="none"/>
        </w:rPr>
        <w:t>我方参加本次采购活动前本单位未对本次采购项目提供过整体设计、规范编制或者项目管理、监理、检测等服务。</w:t>
      </w:r>
    </w:p>
    <w:p>
      <w:pPr>
        <w:pStyle w:val="43"/>
        <w:numPr>
          <w:ilvl w:val="2"/>
          <w:numId w:val="22"/>
        </w:numPr>
        <w:ind w:firstLine="480"/>
        <w:rPr>
          <w:color w:val="auto"/>
          <w:highlight w:val="none"/>
        </w:rPr>
      </w:pPr>
      <w:r>
        <w:rPr>
          <w:rFonts w:hint="eastAsia"/>
          <w:color w:val="auto"/>
          <w:highlight w:val="none"/>
        </w:rPr>
        <w:t>我方参加本次采购活动，不存在我单位实际控制人或者中高级管理人员是本项目采购代理机构的工作人员的情形。</w:t>
      </w:r>
    </w:p>
    <w:p>
      <w:pPr>
        <w:pStyle w:val="43"/>
        <w:numPr>
          <w:ilvl w:val="2"/>
          <w:numId w:val="22"/>
        </w:numPr>
        <w:ind w:firstLine="480"/>
        <w:rPr>
          <w:color w:val="auto"/>
          <w:highlight w:val="none"/>
        </w:rPr>
      </w:pPr>
      <w:r>
        <w:rPr>
          <w:rFonts w:hint="eastAsia"/>
          <w:color w:val="auto"/>
          <w:highlight w:val="none"/>
        </w:rPr>
        <w:t>我方参加本次采购活动，不存在同一母公司的两家以上的子公司以不同供应商身份同时参加本项目同一合同项下的采购活动的情形。</w:t>
      </w:r>
    </w:p>
    <w:p>
      <w:pPr>
        <w:pStyle w:val="43"/>
        <w:numPr>
          <w:ilvl w:val="2"/>
          <w:numId w:val="22"/>
        </w:numPr>
        <w:ind w:firstLine="480"/>
        <w:rPr>
          <w:color w:val="auto"/>
          <w:highlight w:val="none"/>
        </w:rPr>
      </w:pPr>
      <w:r>
        <w:rPr>
          <w:rFonts w:hint="eastAsia"/>
          <w:color w:val="auto"/>
          <w:highlight w:val="none"/>
        </w:rPr>
        <w:t>我方参加本次采购活动，与采购代理机构不存在关联关系，不为采购代理机构的母公司或子公司。</w:t>
      </w:r>
    </w:p>
    <w:p>
      <w:pPr>
        <w:pStyle w:val="43"/>
        <w:numPr>
          <w:ilvl w:val="2"/>
          <w:numId w:val="22"/>
        </w:numPr>
        <w:ind w:firstLine="480"/>
        <w:rPr>
          <w:color w:val="auto"/>
          <w:highlight w:val="none"/>
        </w:rPr>
      </w:pPr>
      <w:r>
        <w:rPr>
          <w:rFonts w:hint="eastAsia"/>
          <w:color w:val="auto"/>
          <w:highlight w:val="none"/>
        </w:rPr>
        <w:t>我方参加本次采购活动，不存在和其他供应商在同一合同项下的采购项目中，同时委托同一个自然人、同一家庭的人员、同一单位的人员作为代理人的行为。</w:t>
      </w:r>
    </w:p>
    <w:p>
      <w:pPr>
        <w:pStyle w:val="43"/>
        <w:numPr>
          <w:ilvl w:val="2"/>
          <w:numId w:val="22"/>
        </w:numPr>
        <w:ind w:firstLine="480"/>
        <w:rPr>
          <w:color w:val="auto"/>
          <w:highlight w:val="none"/>
        </w:rPr>
      </w:pPr>
      <w:r>
        <w:rPr>
          <w:rFonts w:hint="eastAsia"/>
          <w:color w:val="auto"/>
          <w:highlight w:val="none"/>
        </w:rPr>
        <w:t>我方响应文件中提供的任何资料和技术、服务、商务等响应承诺情况都是真实的、有效的、合法的。</w:t>
      </w:r>
    </w:p>
    <w:p>
      <w:pPr>
        <w:pStyle w:val="43"/>
        <w:numPr>
          <w:ilvl w:val="2"/>
          <w:numId w:val="22"/>
        </w:numPr>
        <w:ind w:firstLine="480"/>
        <w:rPr>
          <w:color w:val="auto"/>
          <w:highlight w:val="none"/>
        </w:rPr>
      </w:pPr>
      <w:r>
        <w:rPr>
          <w:rFonts w:hint="eastAsia"/>
          <w:color w:val="auto"/>
          <w:highlight w:val="none"/>
        </w:rPr>
        <w:t>我方参加本次采购活动，我方完全同意竞争性磋商文件中关于“</w:t>
      </w:r>
      <w:r>
        <w:rPr>
          <w:rFonts w:hint="eastAsia"/>
          <w:color w:val="auto"/>
          <w:highlight w:val="none"/>
          <w:lang w:val="en-US" w:eastAsia="zh-CN"/>
        </w:rPr>
        <w:t>竞争性</w:t>
      </w:r>
      <w:r>
        <w:rPr>
          <w:rFonts w:hint="eastAsia"/>
          <w:color w:val="auto"/>
          <w:highlight w:val="none"/>
        </w:rPr>
        <w:t>磋商费用”、“合同分包”、“合同转包”、“履约保证金”等实质性要求，并承诺严格按照竞争性磋商文件政府采购合同要求履行。</w:t>
      </w:r>
    </w:p>
    <w:p>
      <w:pPr>
        <w:pStyle w:val="43"/>
        <w:numPr>
          <w:ilvl w:val="2"/>
          <w:numId w:val="22"/>
        </w:numPr>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报价中已包括合法获取该知识产权的相关费用。</w:t>
      </w:r>
    </w:p>
    <w:p>
      <w:pPr>
        <w:pStyle w:val="34"/>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本公司对上述承诺的内容事项真实性、合法性负责。如经查实上述承诺的内容事项存在虚假，我公司自愿接受以提供虚假材料谋取成交所带来的所有法律责任。</w:t>
      </w: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color w:val="auto"/>
          <w:highlight w:val="none"/>
          <w:u w:val="single"/>
        </w:rPr>
        <w:t xml:space="preserve">                  </w:t>
      </w:r>
    </w:p>
    <w:p>
      <w:pPr>
        <w:rPr>
          <w:color w:val="auto"/>
          <w:highlight w:val="none"/>
        </w:rPr>
      </w:pPr>
      <w:r>
        <w:rPr>
          <w:rFonts w:hint="eastAsia"/>
          <w:color w:val="auto"/>
          <w:highlight w:val="none"/>
        </w:rPr>
        <w:br w:type="page"/>
      </w:r>
    </w:p>
    <w:p>
      <w:pPr>
        <w:pStyle w:val="50"/>
        <w:numPr>
          <w:ilvl w:val="0"/>
          <w:numId w:val="20"/>
        </w:numPr>
        <w:spacing w:before="120" w:after="120"/>
        <w:ind w:firstLine="0"/>
        <w:rPr>
          <w:color w:val="auto"/>
          <w:highlight w:val="none"/>
        </w:rPr>
      </w:pPr>
      <w:bookmarkStart w:id="256" w:name="_Toc13749"/>
      <w:r>
        <w:rPr>
          <w:rFonts w:hint="eastAsia"/>
          <w:color w:val="auto"/>
          <w:highlight w:val="none"/>
        </w:rPr>
        <w:t>供应商基本情况表</w:t>
      </w:r>
      <w:bookmarkEnd w:id="248"/>
      <w:bookmarkEnd w:id="249"/>
      <w:bookmarkEnd w:id="250"/>
      <w:bookmarkEnd w:id="251"/>
      <w:bookmarkEnd w:id="252"/>
      <w:bookmarkEnd w:id="253"/>
      <w:bookmarkEnd w:id="256"/>
    </w:p>
    <w:tbl>
      <w:tblPr>
        <w:tblStyle w:val="24"/>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125"/>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770" w:type="dxa"/>
            <w:vAlign w:val="center"/>
          </w:tcPr>
          <w:p>
            <w:pPr>
              <w:pStyle w:val="51"/>
              <w:spacing w:line="480" w:lineRule="exact"/>
              <w:rPr>
                <w:color w:val="auto"/>
                <w:highlight w:val="none"/>
              </w:rPr>
            </w:pPr>
            <w:r>
              <w:rPr>
                <w:rFonts w:hint="eastAsia"/>
                <w:color w:val="auto"/>
                <w:highlight w:val="none"/>
              </w:rPr>
              <w:t>供应商名称</w:t>
            </w:r>
          </w:p>
        </w:tc>
        <w:tc>
          <w:tcPr>
            <w:tcW w:w="8186" w:type="dxa"/>
            <w:gridSpan w:val="7"/>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770" w:type="dxa"/>
            <w:vAlign w:val="center"/>
          </w:tcPr>
          <w:p>
            <w:pPr>
              <w:pStyle w:val="51"/>
              <w:spacing w:line="480" w:lineRule="exact"/>
              <w:rPr>
                <w:color w:val="auto"/>
                <w:highlight w:val="none"/>
              </w:rPr>
            </w:pPr>
            <w:r>
              <w:rPr>
                <w:rFonts w:hint="eastAsia"/>
                <w:color w:val="auto"/>
                <w:highlight w:val="none"/>
              </w:rPr>
              <w:t>注册地址</w:t>
            </w:r>
          </w:p>
        </w:tc>
        <w:tc>
          <w:tcPr>
            <w:tcW w:w="4012" w:type="dxa"/>
            <w:gridSpan w:val="3"/>
            <w:vAlign w:val="center"/>
          </w:tcPr>
          <w:p>
            <w:pPr>
              <w:pStyle w:val="51"/>
              <w:spacing w:line="480" w:lineRule="exact"/>
              <w:rPr>
                <w:color w:val="auto"/>
                <w:highlight w:val="none"/>
              </w:rPr>
            </w:pPr>
          </w:p>
        </w:tc>
        <w:tc>
          <w:tcPr>
            <w:tcW w:w="1548" w:type="dxa"/>
            <w:vAlign w:val="center"/>
          </w:tcPr>
          <w:p>
            <w:pPr>
              <w:pStyle w:val="51"/>
              <w:spacing w:line="480" w:lineRule="exact"/>
              <w:rPr>
                <w:color w:val="auto"/>
                <w:highlight w:val="none"/>
              </w:rPr>
            </w:pPr>
            <w:r>
              <w:rPr>
                <w:rFonts w:hint="eastAsia"/>
                <w:color w:val="auto"/>
                <w:highlight w:val="none"/>
              </w:rPr>
              <w:t>邮政编码</w:t>
            </w:r>
          </w:p>
        </w:tc>
        <w:tc>
          <w:tcPr>
            <w:tcW w:w="2626" w:type="dxa"/>
            <w:gridSpan w:val="3"/>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770" w:type="dxa"/>
            <w:vMerge w:val="restart"/>
            <w:vAlign w:val="center"/>
          </w:tcPr>
          <w:p>
            <w:pPr>
              <w:pStyle w:val="51"/>
              <w:spacing w:line="480" w:lineRule="exact"/>
              <w:rPr>
                <w:color w:val="auto"/>
                <w:highlight w:val="none"/>
              </w:rPr>
            </w:pPr>
            <w:r>
              <w:rPr>
                <w:rFonts w:hint="eastAsia"/>
                <w:color w:val="auto"/>
                <w:highlight w:val="none"/>
              </w:rPr>
              <w:t>联系方式</w:t>
            </w:r>
          </w:p>
        </w:tc>
        <w:tc>
          <w:tcPr>
            <w:tcW w:w="1125" w:type="dxa"/>
            <w:vAlign w:val="center"/>
          </w:tcPr>
          <w:p>
            <w:pPr>
              <w:pStyle w:val="51"/>
              <w:spacing w:line="480" w:lineRule="exact"/>
              <w:rPr>
                <w:color w:val="auto"/>
                <w:highlight w:val="none"/>
              </w:rPr>
            </w:pPr>
            <w:r>
              <w:rPr>
                <w:rFonts w:hint="eastAsia"/>
                <w:color w:val="auto"/>
                <w:highlight w:val="none"/>
              </w:rPr>
              <w:t>联系人</w:t>
            </w:r>
          </w:p>
        </w:tc>
        <w:tc>
          <w:tcPr>
            <w:tcW w:w="2887" w:type="dxa"/>
            <w:gridSpan w:val="2"/>
            <w:vAlign w:val="center"/>
          </w:tcPr>
          <w:p>
            <w:pPr>
              <w:pStyle w:val="51"/>
              <w:spacing w:line="480" w:lineRule="exact"/>
              <w:rPr>
                <w:color w:val="auto"/>
                <w:highlight w:val="none"/>
              </w:rPr>
            </w:pPr>
          </w:p>
        </w:tc>
        <w:tc>
          <w:tcPr>
            <w:tcW w:w="1548" w:type="dxa"/>
            <w:vAlign w:val="center"/>
          </w:tcPr>
          <w:p>
            <w:pPr>
              <w:pStyle w:val="51"/>
              <w:spacing w:line="480" w:lineRule="exact"/>
              <w:rPr>
                <w:color w:val="auto"/>
                <w:highlight w:val="none"/>
              </w:rPr>
            </w:pPr>
            <w:r>
              <w:rPr>
                <w:rFonts w:hint="eastAsia"/>
                <w:color w:val="auto"/>
                <w:highlight w:val="none"/>
              </w:rPr>
              <w:t>电话</w:t>
            </w:r>
          </w:p>
        </w:tc>
        <w:tc>
          <w:tcPr>
            <w:tcW w:w="2626" w:type="dxa"/>
            <w:gridSpan w:val="3"/>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770" w:type="dxa"/>
            <w:vMerge w:val="continue"/>
            <w:vAlign w:val="center"/>
          </w:tcPr>
          <w:p>
            <w:pPr>
              <w:pStyle w:val="51"/>
              <w:spacing w:line="480" w:lineRule="exact"/>
              <w:rPr>
                <w:color w:val="auto"/>
                <w:highlight w:val="none"/>
              </w:rPr>
            </w:pPr>
          </w:p>
        </w:tc>
        <w:tc>
          <w:tcPr>
            <w:tcW w:w="1125" w:type="dxa"/>
            <w:vAlign w:val="center"/>
          </w:tcPr>
          <w:p>
            <w:pPr>
              <w:pStyle w:val="51"/>
              <w:spacing w:line="480" w:lineRule="exact"/>
              <w:rPr>
                <w:color w:val="auto"/>
                <w:highlight w:val="none"/>
              </w:rPr>
            </w:pPr>
            <w:r>
              <w:rPr>
                <w:rFonts w:hint="eastAsia"/>
                <w:color w:val="auto"/>
                <w:highlight w:val="none"/>
              </w:rPr>
              <w:t>传真</w:t>
            </w:r>
          </w:p>
        </w:tc>
        <w:tc>
          <w:tcPr>
            <w:tcW w:w="2887" w:type="dxa"/>
            <w:gridSpan w:val="2"/>
            <w:vAlign w:val="center"/>
          </w:tcPr>
          <w:p>
            <w:pPr>
              <w:pStyle w:val="51"/>
              <w:spacing w:line="480" w:lineRule="exact"/>
              <w:rPr>
                <w:color w:val="auto"/>
                <w:highlight w:val="none"/>
              </w:rPr>
            </w:pPr>
          </w:p>
        </w:tc>
        <w:tc>
          <w:tcPr>
            <w:tcW w:w="1548" w:type="dxa"/>
            <w:vAlign w:val="center"/>
          </w:tcPr>
          <w:p>
            <w:pPr>
              <w:pStyle w:val="51"/>
              <w:spacing w:line="480" w:lineRule="exact"/>
              <w:rPr>
                <w:color w:val="auto"/>
                <w:highlight w:val="none"/>
              </w:rPr>
            </w:pPr>
            <w:r>
              <w:rPr>
                <w:rFonts w:hint="eastAsia"/>
                <w:color w:val="auto"/>
                <w:highlight w:val="none"/>
              </w:rPr>
              <w:t>网址</w:t>
            </w:r>
          </w:p>
        </w:tc>
        <w:tc>
          <w:tcPr>
            <w:tcW w:w="2626" w:type="dxa"/>
            <w:gridSpan w:val="3"/>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770" w:type="dxa"/>
            <w:vAlign w:val="center"/>
          </w:tcPr>
          <w:p>
            <w:pPr>
              <w:pStyle w:val="51"/>
              <w:spacing w:line="480" w:lineRule="exact"/>
              <w:rPr>
                <w:color w:val="auto"/>
                <w:highlight w:val="none"/>
              </w:rPr>
            </w:pPr>
            <w:r>
              <w:rPr>
                <w:rFonts w:hint="eastAsia"/>
                <w:color w:val="auto"/>
                <w:highlight w:val="none"/>
              </w:rPr>
              <w:t>法定代表人</w:t>
            </w:r>
          </w:p>
        </w:tc>
        <w:tc>
          <w:tcPr>
            <w:tcW w:w="1125" w:type="dxa"/>
            <w:vAlign w:val="center"/>
          </w:tcPr>
          <w:p>
            <w:pPr>
              <w:pStyle w:val="51"/>
              <w:spacing w:line="480" w:lineRule="exact"/>
              <w:rPr>
                <w:color w:val="auto"/>
                <w:highlight w:val="none"/>
              </w:rPr>
            </w:pPr>
            <w:r>
              <w:rPr>
                <w:rFonts w:hint="eastAsia"/>
                <w:color w:val="auto"/>
                <w:highlight w:val="none"/>
              </w:rPr>
              <w:t>姓名</w:t>
            </w:r>
          </w:p>
        </w:tc>
        <w:tc>
          <w:tcPr>
            <w:tcW w:w="1432" w:type="dxa"/>
            <w:vAlign w:val="center"/>
          </w:tcPr>
          <w:p>
            <w:pPr>
              <w:pStyle w:val="51"/>
              <w:spacing w:line="480" w:lineRule="exact"/>
              <w:rPr>
                <w:color w:val="auto"/>
                <w:highlight w:val="none"/>
              </w:rPr>
            </w:pPr>
          </w:p>
        </w:tc>
        <w:tc>
          <w:tcPr>
            <w:tcW w:w="1455" w:type="dxa"/>
            <w:vAlign w:val="center"/>
          </w:tcPr>
          <w:p>
            <w:pPr>
              <w:pStyle w:val="51"/>
              <w:spacing w:line="480" w:lineRule="exact"/>
              <w:rPr>
                <w:color w:val="auto"/>
                <w:highlight w:val="none"/>
              </w:rPr>
            </w:pPr>
            <w:r>
              <w:rPr>
                <w:rFonts w:hint="eastAsia"/>
                <w:color w:val="auto"/>
                <w:highlight w:val="none"/>
              </w:rPr>
              <w:t>技术职称</w:t>
            </w:r>
          </w:p>
        </w:tc>
        <w:tc>
          <w:tcPr>
            <w:tcW w:w="1548" w:type="dxa"/>
            <w:vAlign w:val="center"/>
          </w:tcPr>
          <w:p>
            <w:pPr>
              <w:pStyle w:val="51"/>
              <w:spacing w:line="480" w:lineRule="exact"/>
              <w:rPr>
                <w:color w:val="auto"/>
                <w:highlight w:val="none"/>
              </w:rPr>
            </w:pPr>
          </w:p>
        </w:tc>
        <w:tc>
          <w:tcPr>
            <w:tcW w:w="1364" w:type="dxa"/>
            <w:gridSpan w:val="2"/>
            <w:vAlign w:val="center"/>
          </w:tcPr>
          <w:p>
            <w:pPr>
              <w:pStyle w:val="51"/>
              <w:spacing w:line="480" w:lineRule="exact"/>
              <w:rPr>
                <w:color w:val="auto"/>
                <w:highlight w:val="none"/>
              </w:rPr>
            </w:pPr>
            <w:r>
              <w:rPr>
                <w:rFonts w:hint="eastAsia"/>
                <w:color w:val="auto"/>
                <w:highlight w:val="none"/>
              </w:rPr>
              <w:t>电话</w:t>
            </w:r>
          </w:p>
        </w:tc>
        <w:tc>
          <w:tcPr>
            <w:tcW w:w="1262" w:type="dxa"/>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70" w:type="dxa"/>
            <w:vAlign w:val="center"/>
          </w:tcPr>
          <w:p>
            <w:pPr>
              <w:pStyle w:val="51"/>
              <w:spacing w:line="480" w:lineRule="exact"/>
              <w:rPr>
                <w:color w:val="auto"/>
                <w:highlight w:val="none"/>
              </w:rPr>
            </w:pPr>
            <w:r>
              <w:rPr>
                <w:rFonts w:hint="eastAsia"/>
                <w:color w:val="auto"/>
                <w:highlight w:val="none"/>
              </w:rPr>
              <w:t>技术负责人</w:t>
            </w:r>
          </w:p>
        </w:tc>
        <w:tc>
          <w:tcPr>
            <w:tcW w:w="1125" w:type="dxa"/>
            <w:vAlign w:val="center"/>
          </w:tcPr>
          <w:p>
            <w:pPr>
              <w:pStyle w:val="51"/>
              <w:spacing w:line="480" w:lineRule="exact"/>
              <w:rPr>
                <w:color w:val="auto"/>
                <w:highlight w:val="none"/>
              </w:rPr>
            </w:pPr>
            <w:r>
              <w:rPr>
                <w:rFonts w:hint="eastAsia"/>
                <w:color w:val="auto"/>
                <w:highlight w:val="none"/>
              </w:rPr>
              <w:t>姓名</w:t>
            </w:r>
          </w:p>
        </w:tc>
        <w:tc>
          <w:tcPr>
            <w:tcW w:w="1432" w:type="dxa"/>
            <w:vAlign w:val="center"/>
          </w:tcPr>
          <w:p>
            <w:pPr>
              <w:pStyle w:val="51"/>
              <w:spacing w:line="480" w:lineRule="exact"/>
              <w:rPr>
                <w:color w:val="auto"/>
                <w:highlight w:val="none"/>
              </w:rPr>
            </w:pPr>
          </w:p>
        </w:tc>
        <w:tc>
          <w:tcPr>
            <w:tcW w:w="1455" w:type="dxa"/>
            <w:vAlign w:val="center"/>
          </w:tcPr>
          <w:p>
            <w:pPr>
              <w:pStyle w:val="51"/>
              <w:spacing w:line="480" w:lineRule="exact"/>
              <w:rPr>
                <w:color w:val="auto"/>
                <w:highlight w:val="none"/>
              </w:rPr>
            </w:pPr>
            <w:r>
              <w:rPr>
                <w:rFonts w:hint="eastAsia"/>
                <w:color w:val="auto"/>
                <w:highlight w:val="none"/>
              </w:rPr>
              <w:t>技术职称</w:t>
            </w:r>
          </w:p>
        </w:tc>
        <w:tc>
          <w:tcPr>
            <w:tcW w:w="1548" w:type="dxa"/>
            <w:vAlign w:val="center"/>
          </w:tcPr>
          <w:p>
            <w:pPr>
              <w:pStyle w:val="51"/>
              <w:spacing w:line="480" w:lineRule="exact"/>
              <w:rPr>
                <w:color w:val="auto"/>
                <w:highlight w:val="none"/>
              </w:rPr>
            </w:pPr>
          </w:p>
        </w:tc>
        <w:tc>
          <w:tcPr>
            <w:tcW w:w="1364" w:type="dxa"/>
            <w:gridSpan w:val="2"/>
            <w:vAlign w:val="center"/>
          </w:tcPr>
          <w:p>
            <w:pPr>
              <w:pStyle w:val="51"/>
              <w:spacing w:line="480" w:lineRule="exact"/>
              <w:rPr>
                <w:color w:val="auto"/>
                <w:highlight w:val="none"/>
              </w:rPr>
            </w:pPr>
            <w:r>
              <w:rPr>
                <w:rFonts w:hint="eastAsia"/>
                <w:color w:val="auto"/>
                <w:highlight w:val="none"/>
              </w:rPr>
              <w:t>电话</w:t>
            </w:r>
          </w:p>
        </w:tc>
        <w:tc>
          <w:tcPr>
            <w:tcW w:w="1262" w:type="dxa"/>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770" w:type="dxa"/>
            <w:vAlign w:val="center"/>
          </w:tcPr>
          <w:p>
            <w:pPr>
              <w:pStyle w:val="51"/>
              <w:spacing w:line="480" w:lineRule="exact"/>
              <w:rPr>
                <w:color w:val="auto"/>
                <w:highlight w:val="none"/>
              </w:rPr>
            </w:pPr>
            <w:r>
              <w:rPr>
                <w:rFonts w:hint="eastAsia"/>
                <w:color w:val="auto"/>
                <w:highlight w:val="none"/>
              </w:rPr>
              <w:t>成立时间</w:t>
            </w:r>
          </w:p>
        </w:tc>
        <w:tc>
          <w:tcPr>
            <w:tcW w:w="2557" w:type="dxa"/>
            <w:gridSpan w:val="2"/>
            <w:vAlign w:val="center"/>
          </w:tcPr>
          <w:p>
            <w:pPr>
              <w:pStyle w:val="51"/>
              <w:spacing w:line="480" w:lineRule="exact"/>
              <w:rPr>
                <w:color w:val="auto"/>
                <w:highlight w:val="none"/>
              </w:rPr>
            </w:pPr>
          </w:p>
        </w:tc>
        <w:tc>
          <w:tcPr>
            <w:tcW w:w="5629" w:type="dxa"/>
            <w:gridSpan w:val="5"/>
            <w:vAlign w:val="center"/>
          </w:tcPr>
          <w:p>
            <w:pPr>
              <w:pStyle w:val="51"/>
              <w:spacing w:line="480" w:lineRule="exact"/>
              <w:rPr>
                <w:color w:val="auto"/>
                <w:highlight w:val="none"/>
              </w:rPr>
            </w:pPr>
            <w:r>
              <w:rPr>
                <w:rFonts w:hint="eastAsia"/>
                <w:color w:val="auto"/>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770" w:type="dxa"/>
            <w:vAlign w:val="center"/>
          </w:tcPr>
          <w:p>
            <w:pPr>
              <w:pStyle w:val="51"/>
              <w:spacing w:line="480" w:lineRule="exact"/>
              <w:rPr>
                <w:color w:val="auto"/>
                <w:highlight w:val="none"/>
              </w:rPr>
            </w:pPr>
            <w:r>
              <w:rPr>
                <w:rFonts w:hint="eastAsia"/>
                <w:color w:val="auto"/>
                <w:highlight w:val="none"/>
              </w:rPr>
              <w:t>企业资质等级</w:t>
            </w:r>
          </w:p>
        </w:tc>
        <w:tc>
          <w:tcPr>
            <w:tcW w:w="2557" w:type="dxa"/>
            <w:gridSpan w:val="2"/>
            <w:vAlign w:val="center"/>
          </w:tcPr>
          <w:p>
            <w:pPr>
              <w:pStyle w:val="51"/>
              <w:spacing w:line="480" w:lineRule="exact"/>
              <w:rPr>
                <w:color w:val="auto"/>
                <w:highlight w:val="none"/>
              </w:rPr>
            </w:pPr>
          </w:p>
        </w:tc>
        <w:tc>
          <w:tcPr>
            <w:tcW w:w="1455" w:type="dxa"/>
            <w:vMerge w:val="restart"/>
            <w:vAlign w:val="center"/>
          </w:tcPr>
          <w:p>
            <w:pPr>
              <w:pStyle w:val="51"/>
              <w:spacing w:line="480" w:lineRule="exact"/>
              <w:rPr>
                <w:color w:val="auto"/>
                <w:highlight w:val="none"/>
              </w:rPr>
            </w:pPr>
            <w:r>
              <w:rPr>
                <w:rFonts w:hint="eastAsia"/>
                <w:color w:val="auto"/>
                <w:highlight w:val="none"/>
              </w:rPr>
              <w:t>其中</w:t>
            </w:r>
          </w:p>
        </w:tc>
        <w:tc>
          <w:tcPr>
            <w:tcW w:w="1734" w:type="dxa"/>
            <w:gridSpan w:val="2"/>
            <w:vAlign w:val="center"/>
          </w:tcPr>
          <w:p>
            <w:pPr>
              <w:pStyle w:val="51"/>
              <w:spacing w:line="480" w:lineRule="exact"/>
              <w:rPr>
                <w:color w:val="auto"/>
                <w:highlight w:val="none"/>
              </w:rPr>
            </w:pPr>
            <w:r>
              <w:rPr>
                <w:rFonts w:hint="eastAsia"/>
                <w:color w:val="auto"/>
                <w:highlight w:val="none"/>
              </w:rPr>
              <w:t>项目经理</w:t>
            </w:r>
          </w:p>
        </w:tc>
        <w:tc>
          <w:tcPr>
            <w:tcW w:w="2440" w:type="dxa"/>
            <w:gridSpan w:val="2"/>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770" w:type="dxa"/>
            <w:vAlign w:val="center"/>
          </w:tcPr>
          <w:p>
            <w:pPr>
              <w:pStyle w:val="51"/>
              <w:spacing w:line="480" w:lineRule="exact"/>
              <w:rPr>
                <w:color w:val="auto"/>
                <w:highlight w:val="none"/>
              </w:rPr>
            </w:pPr>
            <w:r>
              <w:rPr>
                <w:rFonts w:hint="eastAsia"/>
                <w:color w:val="auto"/>
                <w:highlight w:val="none"/>
              </w:rPr>
              <w:t>营业执照号/统一社会信用代码</w:t>
            </w:r>
          </w:p>
        </w:tc>
        <w:tc>
          <w:tcPr>
            <w:tcW w:w="2557" w:type="dxa"/>
            <w:gridSpan w:val="2"/>
            <w:vAlign w:val="center"/>
          </w:tcPr>
          <w:p>
            <w:pPr>
              <w:pStyle w:val="51"/>
              <w:spacing w:line="480" w:lineRule="exact"/>
              <w:rPr>
                <w:color w:val="auto"/>
                <w:highlight w:val="none"/>
              </w:rPr>
            </w:pPr>
          </w:p>
        </w:tc>
        <w:tc>
          <w:tcPr>
            <w:tcW w:w="1455" w:type="dxa"/>
            <w:vMerge w:val="continue"/>
            <w:vAlign w:val="center"/>
          </w:tcPr>
          <w:p>
            <w:pPr>
              <w:pStyle w:val="51"/>
              <w:spacing w:line="480" w:lineRule="exact"/>
              <w:rPr>
                <w:color w:val="auto"/>
                <w:highlight w:val="none"/>
              </w:rPr>
            </w:pPr>
          </w:p>
        </w:tc>
        <w:tc>
          <w:tcPr>
            <w:tcW w:w="1734" w:type="dxa"/>
            <w:gridSpan w:val="2"/>
            <w:vAlign w:val="center"/>
          </w:tcPr>
          <w:p>
            <w:pPr>
              <w:pStyle w:val="51"/>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770" w:type="dxa"/>
            <w:vAlign w:val="center"/>
          </w:tcPr>
          <w:p>
            <w:pPr>
              <w:pStyle w:val="51"/>
              <w:spacing w:line="480" w:lineRule="exact"/>
              <w:rPr>
                <w:color w:val="auto"/>
                <w:highlight w:val="none"/>
              </w:rPr>
            </w:pPr>
            <w:r>
              <w:rPr>
                <w:rFonts w:hint="eastAsia"/>
                <w:color w:val="auto"/>
                <w:highlight w:val="none"/>
              </w:rPr>
              <w:t>注册资金</w:t>
            </w:r>
          </w:p>
        </w:tc>
        <w:tc>
          <w:tcPr>
            <w:tcW w:w="2557" w:type="dxa"/>
            <w:gridSpan w:val="2"/>
            <w:vAlign w:val="center"/>
          </w:tcPr>
          <w:p>
            <w:pPr>
              <w:pStyle w:val="51"/>
              <w:spacing w:line="480" w:lineRule="exact"/>
              <w:rPr>
                <w:color w:val="auto"/>
                <w:highlight w:val="none"/>
              </w:rPr>
            </w:pPr>
          </w:p>
        </w:tc>
        <w:tc>
          <w:tcPr>
            <w:tcW w:w="1455" w:type="dxa"/>
            <w:vMerge w:val="continue"/>
            <w:vAlign w:val="center"/>
          </w:tcPr>
          <w:p>
            <w:pPr>
              <w:pStyle w:val="51"/>
              <w:spacing w:line="480" w:lineRule="exact"/>
              <w:rPr>
                <w:color w:val="auto"/>
                <w:highlight w:val="none"/>
              </w:rPr>
            </w:pPr>
          </w:p>
        </w:tc>
        <w:tc>
          <w:tcPr>
            <w:tcW w:w="1734" w:type="dxa"/>
            <w:gridSpan w:val="2"/>
            <w:vAlign w:val="center"/>
          </w:tcPr>
          <w:p>
            <w:pPr>
              <w:pStyle w:val="51"/>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770" w:type="dxa"/>
            <w:vAlign w:val="center"/>
          </w:tcPr>
          <w:p>
            <w:pPr>
              <w:pStyle w:val="51"/>
              <w:spacing w:line="480" w:lineRule="exact"/>
              <w:rPr>
                <w:color w:val="auto"/>
                <w:highlight w:val="none"/>
              </w:rPr>
            </w:pPr>
            <w:r>
              <w:rPr>
                <w:rFonts w:hint="eastAsia"/>
                <w:color w:val="auto"/>
                <w:highlight w:val="none"/>
              </w:rPr>
              <w:t>开户银行</w:t>
            </w:r>
          </w:p>
        </w:tc>
        <w:tc>
          <w:tcPr>
            <w:tcW w:w="2557" w:type="dxa"/>
            <w:gridSpan w:val="2"/>
            <w:vAlign w:val="center"/>
          </w:tcPr>
          <w:p>
            <w:pPr>
              <w:pStyle w:val="51"/>
              <w:spacing w:line="480" w:lineRule="exact"/>
              <w:rPr>
                <w:color w:val="auto"/>
                <w:highlight w:val="none"/>
              </w:rPr>
            </w:pPr>
          </w:p>
        </w:tc>
        <w:tc>
          <w:tcPr>
            <w:tcW w:w="1455" w:type="dxa"/>
            <w:vMerge w:val="continue"/>
            <w:vAlign w:val="center"/>
          </w:tcPr>
          <w:p>
            <w:pPr>
              <w:pStyle w:val="51"/>
              <w:spacing w:line="480" w:lineRule="exact"/>
              <w:rPr>
                <w:color w:val="auto"/>
                <w:highlight w:val="none"/>
              </w:rPr>
            </w:pPr>
          </w:p>
        </w:tc>
        <w:tc>
          <w:tcPr>
            <w:tcW w:w="1734" w:type="dxa"/>
            <w:gridSpan w:val="2"/>
            <w:vAlign w:val="center"/>
          </w:tcPr>
          <w:p>
            <w:pPr>
              <w:pStyle w:val="51"/>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770" w:type="dxa"/>
            <w:vAlign w:val="center"/>
          </w:tcPr>
          <w:p>
            <w:pPr>
              <w:pStyle w:val="51"/>
              <w:spacing w:line="480" w:lineRule="exact"/>
              <w:rPr>
                <w:color w:val="auto"/>
                <w:highlight w:val="none"/>
              </w:rPr>
            </w:pPr>
            <w:r>
              <w:rPr>
                <w:rFonts w:hint="eastAsia"/>
                <w:color w:val="auto"/>
                <w:highlight w:val="none"/>
              </w:rPr>
              <w:t>账号</w:t>
            </w:r>
          </w:p>
        </w:tc>
        <w:tc>
          <w:tcPr>
            <w:tcW w:w="2557" w:type="dxa"/>
            <w:gridSpan w:val="2"/>
            <w:vAlign w:val="center"/>
          </w:tcPr>
          <w:p>
            <w:pPr>
              <w:pStyle w:val="51"/>
              <w:spacing w:line="480" w:lineRule="exact"/>
              <w:rPr>
                <w:color w:val="auto"/>
                <w:highlight w:val="none"/>
              </w:rPr>
            </w:pPr>
          </w:p>
        </w:tc>
        <w:tc>
          <w:tcPr>
            <w:tcW w:w="1455" w:type="dxa"/>
            <w:vMerge w:val="continue"/>
            <w:vAlign w:val="center"/>
          </w:tcPr>
          <w:p>
            <w:pPr>
              <w:pStyle w:val="51"/>
              <w:spacing w:line="480" w:lineRule="exact"/>
              <w:rPr>
                <w:color w:val="auto"/>
                <w:highlight w:val="none"/>
              </w:rPr>
            </w:pPr>
          </w:p>
        </w:tc>
        <w:tc>
          <w:tcPr>
            <w:tcW w:w="1734" w:type="dxa"/>
            <w:gridSpan w:val="2"/>
            <w:vAlign w:val="center"/>
          </w:tcPr>
          <w:p>
            <w:pPr>
              <w:pStyle w:val="51"/>
              <w:spacing w:line="480" w:lineRule="exact"/>
              <w:rPr>
                <w:color w:val="auto"/>
                <w:highlight w:val="none"/>
              </w:rPr>
            </w:pPr>
            <w:r>
              <w:rPr>
                <w:rFonts w:hint="eastAsia"/>
                <w:color w:val="auto"/>
                <w:highlight w:val="none"/>
              </w:rPr>
              <w:t>技工</w:t>
            </w:r>
          </w:p>
        </w:tc>
        <w:tc>
          <w:tcPr>
            <w:tcW w:w="2440" w:type="dxa"/>
            <w:gridSpan w:val="2"/>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trPr>
        <w:tc>
          <w:tcPr>
            <w:tcW w:w="1770" w:type="dxa"/>
            <w:vAlign w:val="center"/>
          </w:tcPr>
          <w:p>
            <w:pPr>
              <w:pStyle w:val="51"/>
              <w:spacing w:line="480" w:lineRule="exact"/>
              <w:rPr>
                <w:color w:val="auto"/>
                <w:highlight w:val="none"/>
              </w:rPr>
            </w:pPr>
            <w:r>
              <w:rPr>
                <w:rFonts w:hint="eastAsia"/>
                <w:color w:val="auto"/>
                <w:highlight w:val="none"/>
              </w:rPr>
              <w:t>经营范围</w:t>
            </w:r>
          </w:p>
        </w:tc>
        <w:tc>
          <w:tcPr>
            <w:tcW w:w="8186" w:type="dxa"/>
            <w:gridSpan w:val="7"/>
            <w:vAlign w:val="center"/>
          </w:tcPr>
          <w:p>
            <w:pPr>
              <w:pStyle w:val="51"/>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770" w:type="dxa"/>
            <w:vAlign w:val="center"/>
          </w:tcPr>
          <w:p>
            <w:pPr>
              <w:pStyle w:val="51"/>
              <w:spacing w:line="480" w:lineRule="exact"/>
              <w:rPr>
                <w:color w:val="auto"/>
                <w:highlight w:val="none"/>
              </w:rPr>
            </w:pPr>
            <w:r>
              <w:rPr>
                <w:rFonts w:hint="eastAsia"/>
                <w:color w:val="auto"/>
                <w:highlight w:val="none"/>
              </w:rPr>
              <w:t>备注</w:t>
            </w:r>
          </w:p>
        </w:tc>
        <w:tc>
          <w:tcPr>
            <w:tcW w:w="8186" w:type="dxa"/>
            <w:gridSpan w:val="7"/>
          </w:tcPr>
          <w:p>
            <w:pPr>
              <w:pStyle w:val="51"/>
              <w:spacing w:line="480" w:lineRule="exact"/>
              <w:rPr>
                <w:color w:val="auto"/>
                <w:highlight w:val="none"/>
              </w:rPr>
            </w:pPr>
          </w:p>
        </w:tc>
      </w:tr>
    </w:tbl>
    <w:p>
      <w:pPr>
        <w:pStyle w:val="52"/>
        <w:ind w:firstLine="482"/>
        <w:rPr>
          <w:color w:val="auto"/>
          <w:highlight w:val="none"/>
        </w:rPr>
      </w:pPr>
      <w:r>
        <w:rPr>
          <w:rFonts w:hint="eastAsia"/>
          <w:color w:val="auto"/>
          <w:highlight w:val="none"/>
        </w:rPr>
        <w:t>注：供应商</w:t>
      </w:r>
      <w:r>
        <w:rPr>
          <w:rFonts w:hint="eastAsia" w:asciiTheme="minorEastAsia" w:hAnsiTheme="minorEastAsia" w:eastAsiaTheme="minorEastAsia" w:cstheme="minorEastAsia"/>
          <w:bCs/>
          <w:color w:val="auto"/>
          <w:highlight w:val="none"/>
        </w:rPr>
        <w:t>根据实际情况据实填写此表，若未填报完善不影响磋商资质及效力；空白项用“/”填写</w:t>
      </w:r>
      <w:r>
        <w:rPr>
          <w:rFonts w:hint="eastAsia"/>
          <w:color w:val="auto"/>
          <w:highlight w:val="none"/>
        </w:rPr>
        <w:t>。</w:t>
      </w: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0"/>
        <w:rPr>
          <w:color w:val="auto"/>
          <w:highlight w:val="none"/>
        </w:rPr>
      </w:pPr>
    </w:p>
    <w:p>
      <w:pPr>
        <w:pStyle w:val="30"/>
        <w:rPr>
          <w:color w:val="auto"/>
          <w:highlight w:val="none"/>
        </w:rPr>
      </w:pPr>
    </w:p>
    <w:p>
      <w:pPr>
        <w:rPr>
          <w:color w:val="auto"/>
          <w:highlight w:val="none"/>
        </w:rPr>
      </w:pPr>
      <w:bookmarkStart w:id="257" w:name="_Toc319440166"/>
      <w:bookmarkStart w:id="258" w:name="_Toc25577"/>
      <w:bookmarkStart w:id="259" w:name="_Toc327196310"/>
      <w:bookmarkStart w:id="260" w:name="_Toc307564875"/>
      <w:bookmarkStart w:id="261" w:name="_Toc11461"/>
      <w:bookmarkStart w:id="262" w:name="_Toc307501130"/>
      <w:bookmarkStart w:id="263" w:name="_Toc7835"/>
      <w:bookmarkStart w:id="264" w:name="_Toc217446087"/>
      <w:bookmarkStart w:id="265" w:name="_Toc21006"/>
      <w:bookmarkStart w:id="266" w:name="_Toc26124"/>
      <w:bookmarkStart w:id="267" w:name="_Toc327196312"/>
      <w:bookmarkStart w:id="268" w:name="_Toc319440168"/>
      <w:bookmarkStart w:id="269" w:name="_Toc24507"/>
      <w:r>
        <w:rPr>
          <w:rFonts w:hint="eastAsia"/>
          <w:color w:val="auto"/>
          <w:highlight w:val="none"/>
        </w:rPr>
        <w:br w:type="page"/>
      </w:r>
    </w:p>
    <w:p>
      <w:pPr>
        <w:pStyle w:val="50"/>
        <w:numPr>
          <w:ilvl w:val="0"/>
          <w:numId w:val="20"/>
        </w:numPr>
        <w:spacing w:before="120" w:after="120"/>
        <w:ind w:firstLine="0"/>
        <w:rPr>
          <w:color w:val="auto"/>
          <w:highlight w:val="none"/>
        </w:rPr>
      </w:pPr>
      <w:bookmarkStart w:id="270" w:name="_Toc14088"/>
      <w:r>
        <w:rPr>
          <w:rFonts w:hint="eastAsia"/>
          <w:color w:val="auto"/>
          <w:highlight w:val="none"/>
        </w:rPr>
        <w:t>商务应答表</w:t>
      </w:r>
      <w:bookmarkEnd w:id="257"/>
      <w:bookmarkEnd w:id="258"/>
      <w:bookmarkEnd w:id="259"/>
      <w:bookmarkEnd w:id="260"/>
      <w:bookmarkEnd w:id="261"/>
      <w:bookmarkEnd w:id="262"/>
      <w:bookmarkEnd w:id="263"/>
      <w:bookmarkEnd w:id="264"/>
      <w:bookmarkEnd w:id="265"/>
      <w:bookmarkEnd w:id="270"/>
    </w:p>
    <w:p>
      <w:pPr>
        <w:pStyle w:val="30"/>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30"/>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24"/>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竞争性磋商文件第六章的</w:t>
            </w:r>
            <w:r>
              <w:rPr>
                <w:rFonts w:hint="eastAsia" w:cs="宋体"/>
                <w:b/>
                <w:bCs/>
                <w:color w:val="auto"/>
                <w:sz w:val="21"/>
                <w:highlight w:val="none"/>
                <w:lang w:eastAsia="zh-CN"/>
              </w:rPr>
              <w:t>(</w:t>
            </w:r>
            <w:r>
              <w:rPr>
                <w:rFonts w:hint="eastAsia" w:cs="宋体"/>
                <w:b/>
                <w:bCs/>
                <w:color w:val="auto"/>
                <w:sz w:val="21"/>
                <w:highlight w:val="none"/>
              </w:rPr>
              <w:t>三</w:t>
            </w:r>
            <w:r>
              <w:rPr>
                <w:rFonts w:hint="eastAsia" w:cs="宋体"/>
                <w:b/>
                <w:bCs/>
                <w:color w:val="auto"/>
                <w:sz w:val="21"/>
                <w:highlight w:val="none"/>
                <w:lang w:eastAsia="zh-CN"/>
              </w:rPr>
              <w:t>)</w:t>
            </w:r>
            <w:r>
              <w:rPr>
                <w:rFonts w:hint="eastAsia" w:cs="宋体"/>
                <w:b/>
                <w:bCs/>
                <w:color w:val="auto"/>
                <w:sz w:val="21"/>
                <w:highlight w:val="none"/>
              </w:rPr>
              <w:t>商务要求、</w:t>
            </w:r>
            <w:r>
              <w:rPr>
                <w:rFonts w:hint="eastAsia" w:cs="宋体"/>
                <w:b/>
                <w:bCs/>
                <w:color w:val="auto"/>
                <w:sz w:val="21"/>
                <w:highlight w:val="none"/>
                <w:lang w:eastAsia="zh-CN"/>
              </w:rPr>
              <w:t>(</w:t>
            </w:r>
            <w:r>
              <w:rPr>
                <w:rFonts w:hint="eastAsia" w:cs="宋体"/>
                <w:b/>
                <w:bCs/>
                <w:color w:val="auto"/>
                <w:sz w:val="21"/>
                <w:highlight w:val="none"/>
              </w:rPr>
              <w:t>四</w:t>
            </w:r>
            <w:r>
              <w:rPr>
                <w:rFonts w:hint="eastAsia" w:cs="宋体"/>
                <w:b/>
                <w:bCs/>
                <w:color w:val="auto"/>
                <w:sz w:val="21"/>
                <w:highlight w:val="none"/>
                <w:lang w:eastAsia="zh-CN"/>
              </w:rPr>
              <w:t>)</w:t>
            </w:r>
            <w:r>
              <w:rPr>
                <w:rFonts w:hint="eastAsia" w:cs="宋体"/>
                <w:b/>
                <w:bCs/>
                <w:color w:val="auto"/>
                <w:sz w:val="21"/>
                <w:highlight w:val="none"/>
              </w:rPr>
              <w:t>履约保证金、</w:t>
            </w:r>
            <w:r>
              <w:rPr>
                <w:rFonts w:hint="eastAsia" w:cs="宋体"/>
                <w:b/>
                <w:bCs/>
                <w:color w:val="auto"/>
                <w:sz w:val="21"/>
                <w:highlight w:val="none"/>
                <w:lang w:eastAsia="zh-CN"/>
              </w:rPr>
              <w:t>(</w:t>
            </w:r>
            <w:r>
              <w:rPr>
                <w:rFonts w:hint="eastAsia" w:cs="宋体"/>
                <w:b/>
                <w:bCs/>
                <w:color w:val="auto"/>
                <w:sz w:val="21"/>
                <w:highlight w:val="none"/>
              </w:rPr>
              <w:t>六</w:t>
            </w:r>
            <w:r>
              <w:rPr>
                <w:rFonts w:hint="eastAsia" w:cs="宋体"/>
                <w:b/>
                <w:bCs/>
                <w:color w:val="auto"/>
                <w:sz w:val="21"/>
                <w:highlight w:val="none"/>
                <w:lang w:eastAsia="zh-CN"/>
              </w:rPr>
              <w:t>)</w:t>
            </w:r>
            <w:r>
              <w:rPr>
                <w:rFonts w:hint="eastAsia" w:cs="宋体"/>
                <w:b/>
                <w:bCs/>
                <w:color w:val="auto"/>
                <w:sz w:val="21"/>
                <w:highlight w:val="none"/>
              </w:rPr>
              <w:t>其他要求，第八章政府采购合同主要条款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投标应答</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竞争性磋商文件第六章</w:t>
            </w:r>
            <w:r>
              <w:rPr>
                <w:rFonts w:hint="eastAsia" w:cs="宋体"/>
                <w:b/>
                <w:bCs/>
                <w:color w:val="auto"/>
                <w:sz w:val="21"/>
                <w:highlight w:val="none"/>
                <w:lang w:eastAsia="zh-CN"/>
              </w:rPr>
              <w:t>(</w:t>
            </w:r>
            <w:r>
              <w:rPr>
                <w:rFonts w:hint="eastAsia" w:cs="宋体"/>
                <w:b/>
                <w:bCs/>
                <w:color w:val="auto"/>
                <w:sz w:val="21"/>
                <w:highlight w:val="none"/>
              </w:rPr>
              <w:t>三</w:t>
            </w:r>
            <w:r>
              <w:rPr>
                <w:rFonts w:hint="eastAsia" w:cs="宋体"/>
                <w:b/>
                <w:bCs/>
                <w:color w:val="auto"/>
                <w:sz w:val="21"/>
                <w:highlight w:val="none"/>
                <w:lang w:eastAsia="zh-CN"/>
              </w:rPr>
              <w:t>)</w:t>
            </w:r>
            <w:r>
              <w:rPr>
                <w:rFonts w:hint="eastAsia" w:cs="宋体"/>
                <w:b/>
                <w:bCs/>
                <w:color w:val="auto"/>
                <w:sz w:val="21"/>
                <w:highlight w:val="none"/>
              </w:rPr>
              <w:t>商务要求、</w:t>
            </w:r>
            <w:r>
              <w:rPr>
                <w:rFonts w:hint="eastAsia" w:cs="宋体"/>
                <w:b/>
                <w:bCs/>
                <w:color w:val="auto"/>
                <w:sz w:val="21"/>
                <w:highlight w:val="none"/>
                <w:lang w:eastAsia="zh-CN"/>
              </w:rPr>
              <w:t>(</w:t>
            </w:r>
            <w:r>
              <w:rPr>
                <w:rFonts w:hint="eastAsia" w:cs="宋体"/>
                <w:b/>
                <w:bCs/>
                <w:color w:val="auto"/>
                <w:sz w:val="21"/>
                <w:highlight w:val="none"/>
              </w:rPr>
              <w:t>四</w:t>
            </w:r>
            <w:r>
              <w:rPr>
                <w:rFonts w:hint="eastAsia" w:cs="宋体"/>
                <w:b/>
                <w:bCs/>
                <w:color w:val="auto"/>
                <w:sz w:val="21"/>
                <w:highlight w:val="none"/>
                <w:lang w:eastAsia="zh-CN"/>
              </w:rPr>
              <w:t>)</w:t>
            </w:r>
            <w:r>
              <w:rPr>
                <w:rFonts w:hint="eastAsia" w:cs="宋体"/>
                <w:b/>
                <w:bCs/>
                <w:color w:val="auto"/>
                <w:sz w:val="21"/>
                <w:highlight w:val="none"/>
              </w:rPr>
              <w:t>履约保证金、</w:t>
            </w:r>
            <w:r>
              <w:rPr>
                <w:rFonts w:hint="eastAsia" w:cs="宋体"/>
                <w:b/>
                <w:bCs/>
                <w:color w:val="auto"/>
                <w:sz w:val="21"/>
                <w:highlight w:val="none"/>
                <w:lang w:eastAsia="zh-CN"/>
              </w:rPr>
              <w:t>(</w:t>
            </w:r>
            <w:r>
              <w:rPr>
                <w:rFonts w:hint="eastAsia" w:cs="宋体"/>
                <w:b/>
                <w:bCs/>
                <w:color w:val="auto"/>
                <w:sz w:val="21"/>
                <w:highlight w:val="none"/>
              </w:rPr>
              <w:t>六</w:t>
            </w:r>
            <w:r>
              <w:rPr>
                <w:rFonts w:hint="eastAsia" w:cs="宋体"/>
                <w:b/>
                <w:bCs/>
                <w:color w:val="auto"/>
                <w:sz w:val="21"/>
                <w:highlight w:val="none"/>
                <w:lang w:eastAsia="zh-CN"/>
              </w:rPr>
              <w:t>)</w:t>
            </w:r>
            <w:r>
              <w:rPr>
                <w:rFonts w:hint="eastAsia" w:cs="宋体"/>
                <w:b/>
                <w:bCs/>
                <w:color w:val="auto"/>
                <w:sz w:val="21"/>
                <w:highlight w:val="none"/>
              </w:rPr>
              <w:t>其他要求</w:t>
            </w:r>
            <w:r>
              <w:rPr>
                <w:rFonts w:hint="eastAsia" w:cs="宋体"/>
                <w:b/>
                <w:bCs/>
                <w:color w:val="auto"/>
                <w:sz w:val="21"/>
                <w:highlight w:val="none"/>
                <w:lang w:eastAsia="zh-CN"/>
              </w:rPr>
              <w:t>，</w:t>
            </w:r>
            <w:r>
              <w:rPr>
                <w:rFonts w:hint="eastAsia" w:cs="宋体"/>
                <w:color w:val="auto"/>
                <w:sz w:val="21"/>
                <w:szCs w:val="21"/>
                <w:highlight w:val="none"/>
              </w:rPr>
              <w:t>第八章政府采购合同主要条款的所有条款，如有偏离的条款，均已在下方列出。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52"/>
        <w:ind w:firstLine="482"/>
        <w:rPr>
          <w:rFonts w:cs="宋体"/>
          <w:b w:val="0"/>
          <w:bCs/>
          <w:color w:val="auto"/>
          <w:highlight w:val="none"/>
        </w:rPr>
      </w:pPr>
      <w:r>
        <w:rPr>
          <w:rFonts w:hint="eastAsia" w:cs="宋体"/>
          <w:color w:val="auto"/>
          <w:highlight w:val="none"/>
        </w:rPr>
        <w:t>注：</w:t>
      </w:r>
      <w:r>
        <w:rPr>
          <w:rFonts w:hint="eastAsia" w:cs="宋体"/>
          <w:b w:val="0"/>
          <w:bCs/>
          <w:color w:val="auto"/>
          <w:highlight w:val="none"/>
        </w:rPr>
        <w:t>①如与竞争性磋商文件第六章</w:t>
      </w:r>
      <w:r>
        <w:rPr>
          <w:rFonts w:hint="eastAsia" w:cs="宋体"/>
          <w:b w:val="0"/>
          <w:bCs/>
          <w:color w:val="auto"/>
          <w:sz w:val="21"/>
          <w:highlight w:val="none"/>
        </w:rPr>
        <w:t>的</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三</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商务要求、</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四</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履约保证金、</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六</w:t>
      </w:r>
      <w:r>
        <w:rPr>
          <w:rFonts w:hint="eastAsia" w:ascii="宋体" w:hAnsi="宋体" w:eastAsia="宋体" w:cs="宋体"/>
          <w:b w:val="0"/>
          <w:bCs/>
          <w:color w:val="auto"/>
          <w:highlight w:val="none"/>
          <w:lang w:eastAsia="zh-CN"/>
        </w:rPr>
        <w:t>)</w:t>
      </w:r>
      <w:r>
        <w:rPr>
          <w:rFonts w:hint="eastAsia" w:ascii="宋体" w:hAnsi="宋体" w:eastAsia="宋体" w:cs="宋体"/>
          <w:b w:val="0"/>
          <w:bCs/>
          <w:color w:val="auto"/>
          <w:highlight w:val="none"/>
        </w:rPr>
        <w:t>其他要求，</w:t>
      </w:r>
      <w:r>
        <w:rPr>
          <w:rFonts w:hint="eastAsia" w:cs="宋体"/>
          <w:b w:val="0"/>
          <w:bCs/>
          <w:color w:val="auto"/>
          <w:highlight w:val="none"/>
        </w:rPr>
        <w:t>第八章政府采购合同主要条款有偏离(包括正偏离和负偏离)，</w:t>
      </w:r>
      <w:r>
        <w:rPr>
          <w:rFonts w:hint="eastAsia" w:cs="宋体"/>
          <w:color w:val="auto"/>
          <w:highlight w:val="none"/>
        </w:rPr>
        <w:t>请将偏离条款逐条应答</w:t>
      </w:r>
      <w:r>
        <w:rPr>
          <w:rFonts w:hint="eastAsia" w:cs="宋体"/>
          <w:b w:val="0"/>
          <w:bCs/>
          <w:color w:val="auto"/>
          <w:highlight w:val="none"/>
        </w:rPr>
        <w:t>，未在此表中进行应答或未明确偏离的条款视为默认完全响应和接受，供应商不得以未作应答而拒不接受</w:t>
      </w:r>
      <w:r>
        <w:rPr>
          <w:rFonts w:hint="eastAsia"/>
          <w:color w:val="auto"/>
          <w:highlight w:val="none"/>
        </w:rPr>
        <w:t>(要求提供承诺函或证明材料的条款，以供应商提供的承诺函内容或证明材料为准)</w:t>
      </w:r>
      <w:r>
        <w:rPr>
          <w:rFonts w:hint="eastAsia" w:cs="宋体"/>
          <w:b w:val="0"/>
          <w:bCs/>
          <w:color w:val="auto"/>
          <w:highlight w:val="none"/>
        </w:rPr>
        <w:t>。</w:t>
      </w:r>
    </w:p>
    <w:p>
      <w:pPr>
        <w:pStyle w:val="52"/>
        <w:rPr>
          <w:rFonts w:cs="宋体"/>
          <w:b w:val="0"/>
          <w:bCs/>
          <w:color w:val="auto"/>
          <w:highlight w:val="none"/>
        </w:rPr>
      </w:pPr>
      <w:r>
        <w:rPr>
          <w:rFonts w:hint="eastAsia" w:cs="宋体"/>
          <w:b w:val="0"/>
          <w:bCs/>
          <w:color w:val="auto"/>
          <w:highlight w:val="none"/>
        </w:rPr>
        <w:t>②供应商必须据实填写有偏离的条款，不得虚假应答，否则将取消其成交资格。</w:t>
      </w:r>
    </w:p>
    <w:p>
      <w:pPr>
        <w:pStyle w:val="52"/>
        <w:rPr>
          <w:rFonts w:cs="宋体"/>
          <w:color w:val="auto"/>
          <w:highlight w:val="none"/>
        </w:rPr>
      </w:pPr>
      <w:r>
        <w:rPr>
          <w:rFonts w:hint="eastAsia" w:cs="宋体"/>
          <w:b w:val="0"/>
          <w:bCs/>
          <w:color w:val="auto"/>
          <w:highlight w:val="none"/>
        </w:rPr>
        <w:t>③评审时如对供应商响应文件中商务应答的内容存在歧义的，可要求供应商进行澄清。</w:t>
      </w: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0"/>
        <w:rPr>
          <w:color w:val="auto"/>
          <w:highlight w:val="none"/>
        </w:rPr>
      </w:pPr>
      <w:r>
        <w:rPr>
          <w:rFonts w:hint="eastAsia"/>
          <w:color w:val="auto"/>
          <w:highlight w:val="none"/>
        </w:rPr>
        <w:br w:type="page"/>
      </w:r>
    </w:p>
    <w:p>
      <w:pPr>
        <w:pStyle w:val="50"/>
        <w:numPr>
          <w:ilvl w:val="0"/>
          <w:numId w:val="20"/>
        </w:numPr>
        <w:spacing w:before="120" w:after="120"/>
        <w:ind w:firstLine="0"/>
        <w:rPr>
          <w:color w:val="auto"/>
          <w:highlight w:val="none"/>
        </w:rPr>
      </w:pPr>
      <w:bookmarkStart w:id="271" w:name="_Toc31772"/>
      <w:bookmarkStart w:id="272" w:name="_Toc25122"/>
      <w:bookmarkStart w:id="273" w:name="_Toc3995"/>
      <w:bookmarkStart w:id="274" w:name="_Toc23376"/>
      <w:r>
        <w:rPr>
          <w:rFonts w:hint="eastAsia"/>
          <w:color w:val="auto"/>
          <w:highlight w:val="none"/>
        </w:rPr>
        <w:t>服务应答表</w:t>
      </w:r>
      <w:bookmarkEnd w:id="271"/>
      <w:bookmarkEnd w:id="272"/>
      <w:bookmarkEnd w:id="273"/>
      <w:bookmarkEnd w:id="274"/>
    </w:p>
    <w:p>
      <w:pPr>
        <w:pStyle w:val="30"/>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30"/>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4"/>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4239"/>
        <w:gridCol w:w="3588"/>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868"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239"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竞争性磋商文件第六章的</w:t>
            </w:r>
            <w:r>
              <w:rPr>
                <w:rFonts w:hint="eastAsia" w:cs="宋体"/>
                <w:b/>
                <w:bCs/>
                <w:color w:val="auto"/>
                <w:sz w:val="21"/>
                <w:highlight w:val="none"/>
                <w:lang w:eastAsia="zh-CN"/>
              </w:rPr>
              <w:t>(</w:t>
            </w:r>
            <w:r>
              <w:rPr>
                <w:rFonts w:hint="eastAsia" w:cs="宋体"/>
                <w:b/>
                <w:bCs/>
                <w:color w:val="auto"/>
                <w:sz w:val="21"/>
                <w:highlight w:val="none"/>
              </w:rPr>
              <w:t>二</w:t>
            </w:r>
            <w:r>
              <w:rPr>
                <w:rFonts w:hint="eastAsia" w:cs="宋体"/>
                <w:b/>
                <w:bCs/>
                <w:color w:val="auto"/>
                <w:sz w:val="21"/>
                <w:highlight w:val="none"/>
                <w:lang w:eastAsia="zh-CN"/>
              </w:rPr>
              <w:t>)</w:t>
            </w:r>
            <w:r>
              <w:rPr>
                <w:rFonts w:hint="eastAsia" w:cs="宋体"/>
                <w:b/>
                <w:bCs/>
                <w:color w:val="auto"/>
                <w:sz w:val="21"/>
                <w:highlight w:val="none"/>
              </w:rPr>
              <w:t>服务内容及要求</w:t>
            </w:r>
          </w:p>
        </w:tc>
        <w:tc>
          <w:tcPr>
            <w:tcW w:w="3588"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投标应答</w:t>
            </w:r>
          </w:p>
        </w:tc>
        <w:tc>
          <w:tcPr>
            <w:tcW w:w="1174"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69" w:type="dxa"/>
            <w:gridSpan w:val="4"/>
          </w:tcPr>
          <w:p>
            <w:pPr>
              <w:wordWrap w:val="0"/>
              <w:topLinePunct/>
              <w:spacing w:line="360" w:lineRule="exact"/>
              <w:jc w:val="both"/>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竞争性磋商文件第六章</w:t>
            </w:r>
            <w:r>
              <w:rPr>
                <w:rFonts w:hint="eastAsia" w:cs="宋体"/>
                <w:b/>
                <w:bCs/>
                <w:color w:val="auto"/>
                <w:sz w:val="21"/>
                <w:highlight w:val="none"/>
                <w:lang w:eastAsia="zh-CN"/>
              </w:rPr>
              <w:t>(</w:t>
            </w:r>
            <w:r>
              <w:rPr>
                <w:rFonts w:hint="eastAsia" w:cs="宋体"/>
                <w:b/>
                <w:bCs/>
                <w:color w:val="auto"/>
                <w:sz w:val="21"/>
                <w:highlight w:val="none"/>
              </w:rPr>
              <w:t>二</w:t>
            </w:r>
            <w:r>
              <w:rPr>
                <w:rFonts w:hint="eastAsia" w:cs="宋体"/>
                <w:b/>
                <w:bCs/>
                <w:color w:val="auto"/>
                <w:sz w:val="21"/>
                <w:highlight w:val="none"/>
                <w:lang w:eastAsia="zh-CN"/>
              </w:rPr>
              <w:t>)</w:t>
            </w:r>
            <w:r>
              <w:rPr>
                <w:rFonts w:hint="eastAsia" w:cs="宋体"/>
                <w:b/>
                <w:bCs/>
                <w:color w:val="auto"/>
                <w:sz w:val="21"/>
                <w:highlight w:val="none"/>
              </w:rPr>
              <w:t>服务内容及要求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bl>
    <w:p>
      <w:pPr>
        <w:wordWrap w:val="0"/>
        <w:topLinePunct/>
        <w:ind w:firstLine="482" w:firstLineChars="200"/>
        <w:rPr>
          <w:rFonts w:cs="宋体"/>
          <w:bCs/>
          <w:snapToGrid w:val="0"/>
          <w:color w:val="auto"/>
          <w:highlight w:val="none"/>
        </w:rPr>
      </w:pPr>
      <w:r>
        <w:rPr>
          <w:rFonts w:hint="eastAsia" w:cs="宋体"/>
          <w:b/>
          <w:snapToGrid w:val="0"/>
          <w:color w:val="auto"/>
          <w:highlight w:val="none"/>
        </w:rPr>
        <w:t>注：</w:t>
      </w:r>
      <w:r>
        <w:rPr>
          <w:rFonts w:hint="eastAsia" w:cs="宋体"/>
          <w:bCs/>
          <w:snapToGrid w:val="0"/>
          <w:color w:val="auto"/>
          <w:highlight w:val="none"/>
        </w:rPr>
        <w:t>①供应商必须据实填写有偏离的条款，不得虚假应答，否则将取消其成交资格。</w:t>
      </w:r>
    </w:p>
    <w:p>
      <w:pPr>
        <w:wordWrap w:val="0"/>
        <w:topLinePunct/>
        <w:ind w:firstLine="480" w:firstLineChars="200"/>
        <w:rPr>
          <w:rFonts w:cs="宋体"/>
          <w:bCs/>
          <w:snapToGrid w:val="0"/>
          <w:color w:val="auto"/>
          <w:highlight w:val="none"/>
        </w:rPr>
      </w:pPr>
      <w:r>
        <w:rPr>
          <w:rFonts w:hint="eastAsia" w:cs="宋体"/>
          <w:bCs/>
          <w:snapToGrid w:val="0"/>
          <w:color w:val="auto"/>
          <w:highlight w:val="none"/>
        </w:rPr>
        <w:t>②如与竞争性磋商文件第六章的</w:t>
      </w:r>
      <w:r>
        <w:rPr>
          <w:rFonts w:hint="eastAsia" w:cs="宋体"/>
          <w:bCs/>
          <w:snapToGrid w:val="0"/>
          <w:color w:val="auto"/>
          <w:highlight w:val="none"/>
          <w:lang w:eastAsia="zh-CN"/>
        </w:rPr>
        <w:t>(</w:t>
      </w:r>
      <w:r>
        <w:rPr>
          <w:rFonts w:hint="eastAsia" w:cs="宋体"/>
          <w:bCs/>
          <w:snapToGrid w:val="0"/>
          <w:color w:val="auto"/>
          <w:highlight w:val="none"/>
        </w:rPr>
        <w:t>二</w:t>
      </w:r>
      <w:r>
        <w:rPr>
          <w:rFonts w:hint="eastAsia" w:cs="宋体"/>
          <w:bCs/>
          <w:snapToGrid w:val="0"/>
          <w:color w:val="auto"/>
          <w:highlight w:val="none"/>
          <w:lang w:eastAsia="zh-CN"/>
        </w:rPr>
        <w:t>)</w:t>
      </w:r>
      <w:r>
        <w:rPr>
          <w:rFonts w:hint="eastAsia" w:cs="宋体"/>
          <w:bCs/>
          <w:snapToGrid w:val="0"/>
          <w:color w:val="auto"/>
          <w:highlight w:val="none"/>
        </w:rPr>
        <w:t>服务内容及要求的条款内容有偏离(包括正偏离和负偏离)，</w:t>
      </w:r>
      <w:r>
        <w:rPr>
          <w:rFonts w:hint="eastAsia" w:cs="宋体"/>
          <w:b/>
          <w:snapToGrid w:val="0"/>
          <w:color w:val="auto"/>
          <w:highlight w:val="none"/>
        </w:rPr>
        <w:t>请将偏离条款逐条应答</w:t>
      </w:r>
      <w:r>
        <w:rPr>
          <w:rFonts w:hint="eastAsia" w:cs="宋体"/>
          <w:bCs/>
          <w:snapToGrid w:val="0"/>
          <w:color w:val="auto"/>
          <w:highlight w:val="none"/>
        </w:rPr>
        <w:t>，未在此表中进行应答或未明确偏离的条款视为默认完全响应和接受，供应商不得以未作应答而拒不接受</w:t>
      </w:r>
      <w:r>
        <w:rPr>
          <w:rFonts w:hint="eastAsia"/>
          <w:b/>
          <w:snapToGrid w:val="0"/>
          <w:color w:val="auto"/>
          <w:highlight w:val="none"/>
        </w:rPr>
        <w:t>(要求提供承诺函或证明材料的条款，以供应商提供的承诺函内容或证明材料为准)</w:t>
      </w:r>
      <w:r>
        <w:rPr>
          <w:rFonts w:hint="eastAsia" w:cs="宋体"/>
          <w:bCs/>
          <w:snapToGrid w:val="0"/>
          <w:color w:val="auto"/>
          <w:highlight w:val="none"/>
        </w:rPr>
        <w:t>。</w:t>
      </w:r>
    </w:p>
    <w:p>
      <w:pPr>
        <w:wordWrap w:val="0"/>
        <w:topLinePunct/>
        <w:ind w:firstLine="480" w:firstLineChars="200"/>
        <w:rPr>
          <w:rFonts w:cs="宋体"/>
          <w:b/>
          <w:snapToGrid w:val="0"/>
          <w:color w:val="auto"/>
          <w:highlight w:val="none"/>
        </w:rPr>
      </w:pPr>
      <w:r>
        <w:rPr>
          <w:rFonts w:hint="eastAsia" w:cs="宋体"/>
          <w:bCs/>
          <w:snapToGrid w:val="0"/>
          <w:color w:val="auto"/>
          <w:highlight w:val="none"/>
        </w:rPr>
        <w:t>③评审时如对供应商响应文件中服务应答的内容存在歧义的，可要求供应商进行澄清。</w:t>
      </w:r>
    </w:p>
    <w:p>
      <w:pPr>
        <w:pStyle w:val="30"/>
        <w:rPr>
          <w:color w:val="auto"/>
          <w:highlight w:val="none"/>
        </w:rPr>
      </w:pP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asciiTheme="minorEastAsia" w:hAnsiTheme="minorEastAsia" w:eastAsiaTheme="minorEastAsia" w:cstheme="minorEastAsia"/>
          <w:bCs/>
          <w:color w:val="auto"/>
          <w:highlight w:val="none"/>
          <w:u w:val="single"/>
        </w:rPr>
        <w:t xml:space="preserve">                 </w:t>
      </w:r>
    </w:p>
    <w:p>
      <w:pPr>
        <w:pStyle w:val="30"/>
        <w:rPr>
          <w:color w:val="auto"/>
          <w:highlight w:val="none"/>
        </w:rPr>
      </w:pPr>
      <w:r>
        <w:rPr>
          <w:rFonts w:hint="eastAsia"/>
          <w:color w:val="auto"/>
          <w:highlight w:val="none"/>
        </w:rPr>
        <w:br w:type="page"/>
      </w:r>
    </w:p>
    <w:bookmarkEnd w:id="266"/>
    <w:bookmarkEnd w:id="267"/>
    <w:bookmarkEnd w:id="268"/>
    <w:p>
      <w:pPr>
        <w:pStyle w:val="50"/>
        <w:numPr>
          <w:ilvl w:val="0"/>
          <w:numId w:val="20"/>
        </w:numPr>
        <w:spacing w:before="120" w:after="120"/>
        <w:ind w:firstLine="0"/>
        <w:rPr>
          <w:color w:val="auto"/>
          <w:highlight w:val="none"/>
        </w:rPr>
      </w:pPr>
      <w:bookmarkStart w:id="275" w:name="_Toc4458"/>
      <w:bookmarkStart w:id="276" w:name="_Toc26522"/>
      <w:bookmarkStart w:id="277" w:name="_Toc23430"/>
      <w:r>
        <w:rPr>
          <w:rFonts w:hint="eastAsia"/>
          <w:color w:val="auto"/>
          <w:highlight w:val="none"/>
        </w:rPr>
        <w:t>供应商针对本项目人员配置情况表</w:t>
      </w:r>
      <w:bookmarkEnd w:id="275"/>
    </w:p>
    <w:p>
      <w:pPr>
        <w:pStyle w:val="30"/>
        <w:rPr>
          <w:color w:val="auto"/>
          <w:highlight w:val="none"/>
        </w:rPr>
      </w:pPr>
      <w:r>
        <w:rPr>
          <w:rFonts w:hint="eastAsia"/>
          <w:color w:val="auto"/>
          <w:highlight w:val="none"/>
        </w:rPr>
        <w:t>项目名称：</w:t>
      </w:r>
      <w:r>
        <w:rPr>
          <w:rFonts w:hint="eastAsia"/>
          <w:color w:val="auto"/>
          <w:highlight w:val="none"/>
          <w:u w:val="single"/>
        </w:rPr>
        <w:t xml:space="preserve">                              </w:t>
      </w:r>
    </w:p>
    <w:p>
      <w:pPr>
        <w:pStyle w:val="30"/>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018"/>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253" w:type="dxa"/>
            <w:vMerge w:val="restart"/>
            <w:vAlign w:val="center"/>
          </w:tcPr>
          <w:p>
            <w:pPr>
              <w:pStyle w:val="51"/>
              <w:rPr>
                <w:b/>
                <w:bCs/>
                <w:color w:val="auto"/>
                <w:highlight w:val="none"/>
              </w:rPr>
            </w:pPr>
            <w:r>
              <w:rPr>
                <w:rFonts w:hint="eastAsia"/>
                <w:b/>
                <w:bCs/>
                <w:color w:val="auto"/>
                <w:highlight w:val="none"/>
              </w:rPr>
              <w:t>类别</w:t>
            </w:r>
          </w:p>
        </w:tc>
        <w:tc>
          <w:tcPr>
            <w:tcW w:w="1018" w:type="dxa"/>
            <w:vMerge w:val="restart"/>
            <w:vAlign w:val="center"/>
          </w:tcPr>
          <w:p>
            <w:pPr>
              <w:pStyle w:val="51"/>
              <w:rPr>
                <w:b/>
                <w:bCs/>
                <w:color w:val="auto"/>
                <w:highlight w:val="none"/>
              </w:rPr>
            </w:pPr>
            <w:r>
              <w:rPr>
                <w:rFonts w:hint="eastAsia"/>
                <w:b/>
                <w:bCs/>
                <w:color w:val="auto"/>
                <w:highlight w:val="none"/>
              </w:rPr>
              <w:t>职务</w:t>
            </w:r>
          </w:p>
          <w:p>
            <w:pPr>
              <w:pStyle w:val="51"/>
              <w:rPr>
                <w:b/>
                <w:bCs/>
                <w:color w:val="auto"/>
                <w:highlight w:val="none"/>
              </w:rPr>
            </w:pPr>
            <w:r>
              <w:rPr>
                <w:rFonts w:hint="eastAsia"/>
                <w:b/>
                <w:bCs/>
                <w:color w:val="auto"/>
                <w:highlight w:val="none"/>
              </w:rPr>
              <w:t>(岗位)</w:t>
            </w:r>
          </w:p>
        </w:tc>
        <w:tc>
          <w:tcPr>
            <w:tcW w:w="921" w:type="dxa"/>
            <w:vMerge w:val="restart"/>
            <w:vAlign w:val="center"/>
          </w:tcPr>
          <w:p>
            <w:pPr>
              <w:pStyle w:val="51"/>
              <w:rPr>
                <w:b/>
                <w:bCs/>
                <w:color w:val="auto"/>
                <w:highlight w:val="none"/>
              </w:rPr>
            </w:pPr>
            <w:r>
              <w:rPr>
                <w:rFonts w:hint="eastAsia"/>
                <w:b/>
                <w:bCs/>
                <w:color w:val="auto"/>
                <w:highlight w:val="none"/>
              </w:rPr>
              <w:t>姓名</w:t>
            </w:r>
          </w:p>
        </w:tc>
        <w:tc>
          <w:tcPr>
            <w:tcW w:w="923" w:type="dxa"/>
            <w:vMerge w:val="restart"/>
            <w:vAlign w:val="center"/>
          </w:tcPr>
          <w:p>
            <w:pPr>
              <w:pStyle w:val="51"/>
              <w:rPr>
                <w:b/>
                <w:bCs/>
                <w:color w:val="auto"/>
                <w:highlight w:val="none"/>
              </w:rPr>
            </w:pPr>
            <w:r>
              <w:rPr>
                <w:rFonts w:hint="eastAsia"/>
                <w:b/>
                <w:bCs/>
                <w:color w:val="auto"/>
                <w:highlight w:val="none"/>
              </w:rPr>
              <w:t>职称</w:t>
            </w:r>
          </w:p>
        </w:tc>
        <w:tc>
          <w:tcPr>
            <w:tcW w:w="922" w:type="dxa"/>
            <w:vMerge w:val="restart"/>
            <w:vAlign w:val="center"/>
          </w:tcPr>
          <w:p>
            <w:pPr>
              <w:pStyle w:val="51"/>
              <w:rPr>
                <w:b/>
                <w:bCs/>
                <w:color w:val="auto"/>
                <w:highlight w:val="none"/>
              </w:rPr>
            </w:pPr>
            <w:r>
              <w:rPr>
                <w:rFonts w:hint="eastAsia"/>
                <w:b/>
                <w:bCs/>
                <w:color w:val="auto"/>
                <w:highlight w:val="none"/>
              </w:rPr>
              <w:t>常住地</w:t>
            </w:r>
          </w:p>
        </w:tc>
        <w:tc>
          <w:tcPr>
            <w:tcW w:w="4919" w:type="dxa"/>
            <w:gridSpan w:val="4"/>
            <w:vAlign w:val="center"/>
          </w:tcPr>
          <w:p>
            <w:pPr>
              <w:pStyle w:val="51"/>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253" w:type="dxa"/>
            <w:vMerge w:val="continue"/>
            <w:vAlign w:val="center"/>
          </w:tcPr>
          <w:p>
            <w:pPr>
              <w:pStyle w:val="51"/>
              <w:rPr>
                <w:b/>
                <w:bCs/>
                <w:color w:val="auto"/>
                <w:highlight w:val="none"/>
              </w:rPr>
            </w:pPr>
          </w:p>
        </w:tc>
        <w:tc>
          <w:tcPr>
            <w:tcW w:w="1018" w:type="dxa"/>
            <w:vMerge w:val="continue"/>
            <w:vAlign w:val="center"/>
          </w:tcPr>
          <w:p>
            <w:pPr>
              <w:pStyle w:val="51"/>
              <w:rPr>
                <w:b/>
                <w:bCs/>
                <w:color w:val="auto"/>
                <w:highlight w:val="none"/>
              </w:rPr>
            </w:pPr>
          </w:p>
        </w:tc>
        <w:tc>
          <w:tcPr>
            <w:tcW w:w="921" w:type="dxa"/>
            <w:vMerge w:val="continue"/>
            <w:vAlign w:val="center"/>
          </w:tcPr>
          <w:p>
            <w:pPr>
              <w:pStyle w:val="51"/>
              <w:rPr>
                <w:b/>
                <w:bCs/>
                <w:color w:val="auto"/>
                <w:highlight w:val="none"/>
              </w:rPr>
            </w:pPr>
          </w:p>
        </w:tc>
        <w:tc>
          <w:tcPr>
            <w:tcW w:w="923" w:type="dxa"/>
            <w:vMerge w:val="continue"/>
            <w:vAlign w:val="center"/>
          </w:tcPr>
          <w:p>
            <w:pPr>
              <w:pStyle w:val="51"/>
              <w:rPr>
                <w:b/>
                <w:bCs/>
                <w:color w:val="auto"/>
                <w:highlight w:val="none"/>
              </w:rPr>
            </w:pPr>
          </w:p>
        </w:tc>
        <w:tc>
          <w:tcPr>
            <w:tcW w:w="922" w:type="dxa"/>
            <w:vMerge w:val="continue"/>
            <w:vAlign w:val="center"/>
          </w:tcPr>
          <w:p>
            <w:pPr>
              <w:pStyle w:val="51"/>
              <w:rPr>
                <w:b/>
                <w:bCs/>
                <w:color w:val="auto"/>
                <w:highlight w:val="none"/>
              </w:rPr>
            </w:pPr>
          </w:p>
        </w:tc>
        <w:tc>
          <w:tcPr>
            <w:tcW w:w="1436" w:type="dxa"/>
            <w:vAlign w:val="center"/>
          </w:tcPr>
          <w:p>
            <w:pPr>
              <w:pStyle w:val="51"/>
              <w:rPr>
                <w:b/>
                <w:bCs/>
                <w:color w:val="auto"/>
                <w:highlight w:val="none"/>
              </w:rPr>
            </w:pPr>
            <w:r>
              <w:rPr>
                <w:rFonts w:hint="eastAsia"/>
                <w:b/>
                <w:bCs/>
                <w:color w:val="auto"/>
                <w:highlight w:val="none"/>
              </w:rPr>
              <w:t>证书名称</w:t>
            </w:r>
          </w:p>
        </w:tc>
        <w:tc>
          <w:tcPr>
            <w:tcW w:w="1022" w:type="dxa"/>
            <w:vAlign w:val="center"/>
          </w:tcPr>
          <w:p>
            <w:pPr>
              <w:pStyle w:val="51"/>
              <w:rPr>
                <w:b/>
                <w:bCs/>
                <w:color w:val="auto"/>
                <w:highlight w:val="none"/>
              </w:rPr>
            </w:pPr>
            <w:r>
              <w:rPr>
                <w:rFonts w:hint="eastAsia"/>
                <w:b/>
                <w:bCs/>
                <w:color w:val="auto"/>
                <w:highlight w:val="none"/>
              </w:rPr>
              <w:t>级别</w:t>
            </w:r>
          </w:p>
        </w:tc>
        <w:tc>
          <w:tcPr>
            <w:tcW w:w="1232" w:type="dxa"/>
            <w:vAlign w:val="center"/>
          </w:tcPr>
          <w:p>
            <w:pPr>
              <w:pStyle w:val="51"/>
              <w:rPr>
                <w:b/>
                <w:bCs/>
                <w:color w:val="auto"/>
                <w:highlight w:val="none"/>
              </w:rPr>
            </w:pPr>
            <w:r>
              <w:rPr>
                <w:rFonts w:hint="eastAsia"/>
                <w:b/>
                <w:bCs/>
                <w:color w:val="auto"/>
                <w:highlight w:val="none"/>
              </w:rPr>
              <w:t>证号</w:t>
            </w:r>
          </w:p>
        </w:tc>
        <w:tc>
          <w:tcPr>
            <w:tcW w:w="1229" w:type="dxa"/>
            <w:vAlign w:val="center"/>
          </w:tcPr>
          <w:p>
            <w:pPr>
              <w:pStyle w:val="51"/>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restart"/>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restart"/>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restart"/>
            <w:vAlign w:val="center"/>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253" w:type="dxa"/>
            <w:vMerge w:val="continue"/>
          </w:tcPr>
          <w:p>
            <w:pPr>
              <w:pStyle w:val="51"/>
              <w:rPr>
                <w:color w:val="auto"/>
                <w:highlight w:val="none"/>
              </w:rPr>
            </w:pPr>
          </w:p>
        </w:tc>
        <w:tc>
          <w:tcPr>
            <w:tcW w:w="1018" w:type="dxa"/>
          </w:tcPr>
          <w:p>
            <w:pPr>
              <w:pStyle w:val="51"/>
              <w:rPr>
                <w:color w:val="auto"/>
                <w:highlight w:val="none"/>
              </w:rPr>
            </w:pPr>
          </w:p>
        </w:tc>
        <w:tc>
          <w:tcPr>
            <w:tcW w:w="921" w:type="dxa"/>
          </w:tcPr>
          <w:p>
            <w:pPr>
              <w:pStyle w:val="51"/>
              <w:rPr>
                <w:color w:val="auto"/>
                <w:highlight w:val="none"/>
              </w:rPr>
            </w:pPr>
          </w:p>
        </w:tc>
        <w:tc>
          <w:tcPr>
            <w:tcW w:w="923" w:type="dxa"/>
          </w:tcPr>
          <w:p>
            <w:pPr>
              <w:pStyle w:val="51"/>
              <w:rPr>
                <w:color w:val="auto"/>
                <w:highlight w:val="none"/>
              </w:rPr>
            </w:pPr>
          </w:p>
        </w:tc>
        <w:tc>
          <w:tcPr>
            <w:tcW w:w="922" w:type="dxa"/>
          </w:tcPr>
          <w:p>
            <w:pPr>
              <w:pStyle w:val="51"/>
              <w:rPr>
                <w:color w:val="auto"/>
                <w:highlight w:val="none"/>
              </w:rPr>
            </w:pPr>
          </w:p>
        </w:tc>
        <w:tc>
          <w:tcPr>
            <w:tcW w:w="1436" w:type="dxa"/>
          </w:tcPr>
          <w:p>
            <w:pPr>
              <w:pStyle w:val="51"/>
              <w:rPr>
                <w:color w:val="auto"/>
                <w:highlight w:val="none"/>
              </w:rPr>
            </w:pPr>
          </w:p>
        </w:tc>
        <w:tc>
          <w:tcPr>
            <w:tcW w:w="1022" w:type="dxa"/>
          </w:tcPr>
          <w:p>
            <w:pPr>
              <w:pStyle w:val="51"/>
              <w:rPr>
                <w:color w:val="auto"/>
                <w:highlight w:val="none"/>
              </w:rPr>
            </w:pPr>
          </w:p>
        </w:tc>
        <w:tc>
          <w:tcPr>
            <w:tcW w:w="1232" w:type="dxa"/>
          </w:tcPr>
          <w:p>
            <w:pPr>
              <w:pStyle w:val="51"/>
              <w:rPr>
                <w:color w:val="auto"/>
                <w:highlight w:val="none"/>
              </w:rPr>
            </w:pPr>
          </w:p>
        </w:tc>
        <w:tc>
          <w:tcPr>
            <w:tcW w:w="1229" w:type="dxa"/>
          </w:tcPr>
          <w:p>
            <w:pPr>
              <w:pStyle w:val="51"/>
              <w:rPr>
                <w:color w:val="auto"/>
                <w:highlight w:val="none"/>
              </w:rPr>
            </w:pPr>
          </w:p>
        </w:tc>
      </w:tr>
    </w:tbl>
    <w:p>
      <w:pPr>
        <w:pStyle w:val="52"/>
        <w:ind w:firstLine="482"/>
        <w:rPr>
          <w:color w:val="auto"/>
          <w:highlight w:val="none"/>
        </w:rPr>
      </w:pPr>
      <w:r>
        <w:rPr>
          <w:rFonts w:hint="eastAsia"/>
          <w:color w:val="auto"/>
          <w:highlight w:val="none"/>
        </w:rPr>
        <w:t>注：供应商根据自身实际情况填写，对不涉及的内容可填写“/”。</w:t>
      </w:r>
    </w:p>
    <w:p>
      <w:pPr>
        <w:pStyle w:val="30"/>
        <w:rPr>
          <w:color w:val="auto"/>
          <w:highlight w:val="none"/>
        </w:rPr>
      </w:pPr>
    </w:p>
    <w:p>
      <w:pPr>
        <w:pStyle w:val="30"/>
        <w:rPr>
          <w:color w:val="auto"/>
          <w:highlight w:val="none"/>
        </w:rPr>
      </w:pPr>
    </w:p>
    <w:p>
      <w:pPr>
        <w:pStyle w:val="34"/>
        <w:rPr>
          <w:color w:val="auto"/>
          <w:highlight w:val="none"/>
        </w:rPr>
      </w:pPr>
      <w:r>
        <w:rPr>
          <w:rFonts w:hint="eastAsia"/>
          <w:color w:val="auto"/>
          <w:highlight w:val="none"/>
        </w:rPr>
        <w:t>供应商名称：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4"/>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4"/>
        <w:rPr>
          <w:color w:val="auto"/>
          <w:highlight w:val="none"/>
        </w:rPr>
      </w:pPr>
      <w:r>
        <w:rPr>
          <w:rFonts w:hint="eastAsia"/>
          <w:color w:val="auto"/>
          <w:highlight w:val="none"/>
        </w:rPr>
        <w:t>磋商日期：</w:t>
      </w:r>
      <w:r>
        <w:rPr>
          <w:rFonts w:hint="eastAsia" w:asciiTheme="minorEastAsia" w:hAnsiTheme="minorEastAsia" w:eastAsiaTheme="minorEastAsia" w:cstheme="minorEastAsia"/>
          <w:color w:val="auto"/>
          <w:highlight w:val="none"/>
          <w:u w:val="single"/>
        </w:rPr>
        <w:t xml:space="preserve">            </w:t>
      </w:r>
    </w:p>
    <w:p>
      <w:pPr>
        <w:pStyle w:val="30"/>
        <w:ind w:left="4800" w:leftChars="2000"/>
        <w:rPr>
          <w:color w:val="auto"/>
          <w:highlight w:val="none"/>
          <w:u w:val="single"/>
        </w:rPr>
      </w:pPr>
    </w:p>
    <w:bookmarkEnd w:id="276"/>
    <w:bookmarkEnd w:id="277"/>
    <w:p>
      <w:pPr>
        <w:pStyle w:val="50"/>
        <w:spacing w:before="120" w:after="120"/>
        <w:rPr>
          <w:color w:val="auto"/>
          <w:highlight w:val="none"/>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start="1"/>
          <w:cols w:space="0" w:num="1"/>
          <w:titlePg/>
          <w:docGrid w:linePitch="312" w:charSpace="0"/>
        </w:sectPr>
      </w:pPr>
      <w:bookmarkStart w:id="278" w:name="_Toc28539"/>
    </w:p>
    <w:p>
      <w:pPr>
        <w:pStyle w:val="50"/>
        <w:numPr>
          <w:ilvl w:val="0"/>
          <w:numId w:val="20"/>
        </w:numPr>
        <w:spacing w:before="120" w:after="120"/>
        <w:ind w:firstLine="0"/>
        <w:rPr>
          <w:color w:val="auto"/>
          <w:highlight w:val="none"/>
        </w:rPr>
      </w:pPr>
      <w:bookmarkStart w:id="279" w:name="_Toc6463"/>
      <w:bookmarkStart w:id="280" w:name="_Toc26988"/>
      <w:bookmarkStart w:id="281" w:name="_Toc9421"/>
      <w:bookmarkStart w:id="282" w:name="_Toc26308"/>
      <w:bookmarkStart w:id="283" w:name="_Toc9093"/>
      <w:r>
        <w:rPr>
          <w:rFonts w:hint="eastAsia"/>
          <w:color w:val="auto"/>
          <w:highlight w:val="none"/>
        </w:rPr>
        <w:t>小微企业、监狱企业、残疾人福利性单位价格扣除</w:t>
      </w:r>
      <w:bookmarkEnd w:id="279"/>
      <w:bookmarkEnd w:id="280"/>
      <w:bookmarkEnd w:id="281"/>
      <w:bookmarkEnd w:id="282"/>
      <w:bookmarkEnd w:id="283"/>
    </w:p>
    <w:p>
      <w:pPr>
        <w:pStyle w:val="50"/>
        <w:spacing w:before="120" w:after="120"/>
        <w:outlineLvl w:val="3"/>
        <w:rPr>
          <w:color w:val="auto"/>
          <w:highlight w:val="none"/>
        </w:rPr>
      </w:pPr>
      <w:bookmarkStart w:id="284" w:name="_Toc11758"/>
      <w:bookmarkStart w:id="285" w:name="_Toc29627"/>
      <w:bookmarkStart w:id="286" w:name="_Toc30762"/>
      <w:r>
        <w:rPr>
          <w:rFonts w:hint="eastAsia"/>
          <w:color w:val="auto"/>
          <w:highlight w:val="none"/>
        </w:rPr>
        <w:t>(一)中小企业声明函(如涉及)</w:t>
      </w:r>
      <w:bookmarkEnd w:id="284"/>
      <w:bookmarkEnd w:id="285"/>
      <w:bookmarkEnd w:id="286"/>
    </w:p>
    <w:p>
      <w:pPr>
        <w:pStyle w:val="52"/>
        <w:rPr>
          <w:b w:val="0"/>
          <w:bCs/>
          <w:color w:val="auto"/>
          <w:highlight w:val="none"/>
        </w:rPr>
      </w:pPr>
      <w:r>
        <w:rPr>
          <w:rFonts w:hint="eastAsia"/>
          <w:b w:val="0"/>
          <w:bCs/>
          <w:color w:val="auto"/>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highlight w:val="none"/>
        </w:rPr>
        <w:t>财库﹝2020﹞46号</w:t>
      </w:r>
      <w:r>
        <w:rPr>
          <w:rFonts w:hint="eastAsia"/>
          <w:b w:val="0"/>
          <w:bCs/>
          <w:color w:val="auto"/>
          <w:highlight w:val="none"/>
          <w:lang w:eastAsia="zh-CN"/>
        </w:rPr>
        <w:t>)</w:t>
      </w:r>
      <w:r>
        <w:rPr>
          <w:rFonts w:hint="eastAsia"/>
          <w:b w:val="0"/>
          <w:bCs/>
          <w:color w:val="auto"/>
          <w:highlight w:val="none"/>
        </w:rPr>
        <w:t>的规定，本公司参加</w:t>
      </w:r>
      <w:r>
        <w:rPr>
          <w:rFonts w:hint="eastAsia"/>
          <w:b w:val="0"/>
          <w:bCs/>
          <w:color w:val="auto"/>
          <w:highlight w:val="none"/>
          <w:u w:val="single"/>
          <w:lang w:eastAsia="zh-CN"/>
        </w:rPr>
        <w:t>(</w:t>
      </w:r>
      <w:r>
        <w:rPr>
          <w:rFonts w:hint="eastAsia"/>
          <w:b w:val="0"/>
          <w:bCs/>
          <w:color w:val="auto"/>
          <w:highlight w:val="none"/>
          <w:u w:val="single"/>
        </w:rPr>
        <w:t>单位名称</w:t>
      </w:r>
      <w:r>
        <w:rPr>
          <w:rFonts w:hint="eastAsia"/>
          <w:b w:val="0"/>
          <w:bCs/>
          <w:color w:val="auto"/>
          <w:highlight w:val="none"/>
          <w:u w:val="single"/>
          <w:lang w:eastAsia="zh-CN"/>
        </w:rPr>
        <w:t>)</w:t>
      </w:r>
      <w:r>
        <w:rPr>
          <w:rFonts w:hint="eastAsia"/>
          <w:b w:val="0"/>
          <w:bCs/>
          <w:color w:val="auto"/>
          <w:highlight w:val="none"/>
        </w:rPr>
        <w:t>的</w:t>
      </w:r>
      <w:r>
        <w:rPr>
          <w:rFonts w:hint="eastAsia"/>
          <w:b w:val="0"/>
          <w:bCs/>
          <w:color w:val="auto"/>
          <w:highlight w:val="none"/>
          <w:u w:val="single"/>
          <w:lang w:eastAsia="zh-CN"/>
        </w:rPr>
        <w:t>(</w:t>
      </w:r>
      <w:r>
        <w:rPr>
          <w:rFonts w:hint="eastAsia"/>
          <w:b w:val="0"/>
          <w:bCs/>
          <w:color w:val="auto"/>
          <w:highlight w:val="none"/>
          <w:u w:val="single"/>
        </w:rPr>
        <w:t>项目名称</w:t>
      </w:r>
      <w:r>
        <w:rPr>
          <w:rFonts w:hint="eastAsia"/>
          <w:b w:val="0"/>
          <w:bCs/>
          <w:color w:val="auto"/>
          <w:highlight w:val="none"/>
          <w:u w:val="single"/>
          <w:lang w:eastAsia="zh-CN"/>
        </w:rPr>
        <w:t>)</w:t>
      </w:r>
      <w:r>
        <w:rPr>
          <w:rFonts w:hint="eastAsia"/>
          <w:b w:val="0"/>
          <w:bCs/>
          <w:color w:val="auto"/>
          <w:highlight w:val="none"/>
        </w:rPr>
        <w:t>采购活动，服务全部由符合政策要求的中小企业承接。相关企业的具体情况如下：</w:t>
      </w:r>
    </w:p>
    <w:p>
      <w:pPr>
        <w:pStyle w:val="52"/>
        <w:rPr>
          <w:b w:val="0"/>
          <w:bCs/>
          <w:color w:val="auto"/>
          <w:highlight w:val="none"/>
        </w:rPr>
      </w:pP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；承接企业为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2"/>
        <w:rPr>
          <w:b w:val="0"/>
          <w:bCs/>
          <w:color w:val="auto"/>
          <w:highlight w:val="none"/>
        </w:rPr>
      </w:pP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；承接企业为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中型企业、小型企业、微型企业</w:t>
      </w:r>
      <w:r>
        <w:rPr>
          <w:rFonts w:hint="eastAsia"/>
          <w:b w:val="0"/>
          <w:bCs/>
          <w:color w:val="auto"/>
          <w:highlight w:val="none"/>
          <w:u w:val="single"/>
          <w:lang w:eastAsia="zh-CN"/>
        </w:rPr>
        <w:t>)</w:t>
      </w:r>
      <w:r>
        <w:rPr>
          <w:rFonts w:hint="eastAsia"/>
          <w:b w:val="0"/>
          <w:bCs/>
          <w:color w:val="auto"/>
          <w:highlight w:val="none"/>
        </w:rPr>
        <w:t>；</w:t>
      </w:r>
    </w:p>
    <w:p>
      <w:pPr>
        <w:pStyle w:val="52"/>
        <w:rPr>
          <w:b w:val="0"/>
          <w:bCs/>
          <w:color w:val="auto"/>
          <w:highlight w:val="none"/>
        </w:rPr>
      </w:pPr>
      <w:r>
        <w:rPr>
          <w:rFonts w:hint="eastAsia"/>
          <w:b w:val="0"/>
          <w:bCs/>
          <w:color w:val="auto"/>
          <w:highlight w:val="none"/>
        </w:rPr>
        <w:t>……</w:t>
      </w:r>
    </w:p>
    <w:p>
      <w:pPr>
        <w:pStyle w:val="52"/>
        <w:rPr>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2"/>
        <w:rPr>
          <w:b w:val="0"/>
          <w:bCs/>
          <w:color w:val="auto"/>
          <w:highlight w:val="none"/>
        </w:rPr>
      </w:pPr>
      <w:r>
        <w:rPr>
          <w:rFonts w:hint="eastAsia"/>
          <w:b w:val="0"/>
          <w:bCs/>
          <w:color w:val="auto"/>
          <w:highlight w:val="none"/>
        </w:rPr>
        <w:t>本企业对上述声明内容的真实性负责。如有虚假，将依法承担相应责任。</w:t>
      </w:r>
    </w:p>
    <w:p>
      <w:pPr>
        <w:pStyle w:val="30"/>
        <w:rPr>
          <w:color w:val="auto"/>
          <w:highlight w:val="none"/>
        </w:rPr>
      </w:pPr>
    </w:p>
    <w:p>
      <w:pPr>
        <w:pStyle w:val="30"/>
        <w:rPr>
          <w:color w:val="auto"/>
          <w:highlight w:val="none"/>
        </w:rPr>
      </w:pPr>
    </w:p>
    <w:p>
      <w:pPr>
        <w:pStyle w:val="30"/>
        <w:ind w:left="4800" w:leftChars="2000"/>
        <w:rPr>
          <w:color w:val="auto"/>
          <w:highlight w:val="none"/>
        </w:rPr>
      </w:pPr>
      <w:r>
        <w:rPr>
          <w:rFonts w:hint="eastAsia"/>
          <w:color w:val="auto"/>
          <w:highlight w:val="none"/>
        </w:rPr>
        <w:t>企业名称(盖章)：</w:t>
      </w:r>
      <w:r>
        <w:rPr>
          <w:rFonts w:hint="eastAsia"/>
          <w:color w:val="auto"/>
          <w:highlight w:val="none"/>
          <w:u w:val="single"/>
        </w:rPr>
        <w:t xml:space="preserve">        </w:t>
      </w:r>
    </w:p>
    <w:p>
      <w:pPr>
        <w:pStyle w:val="30"/>
        <w:ind w:left="4800" w:leftChars="2000"/>
        <w:rPr>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 xml:space="preserve">           　</w:t>
      </w:r>
    </w:p>
    <w:p>
      <w:pPr>
        <w:pStyle w:val="52"/>
        <w:ind w:firstLine="482"/>
        <w:rPr>
          <w:color w:val="auto"/>
          <w:highlight w:val="none"/>
        </w:rPr>
      </w:pPr>
    </w:p>
    <w:p>
      <w:pPr>
        <w:pStyle w:val="52"/>
        <w:ind w:firstLine="482"/>
        <w:rPr>
          <w:color w:val="auto"/>
          <w:highlight w:val="none"/>
        </w:rPr>
      </w:pPr>
      <w:r>
        <w:rPr>
          <w:rFonts w:hint="eastAsia"/>
          <w:color w:val="auto"/>
          <w:highlight w:val="none"/>
        </w:rPr>
        <w:t>注：从业人员、营业收入、资产总额填报上一年度数据，无上一年度数据的新成立企业可不填报。</w:t>
      </w:r>
    </w:p>
    <w:p>
      <w:pPr>
        <w:pStyle w:val="30"/>
        <w:ind w:left="4800" w:leftChars="2000"/>
        <w:rPr>
          <w:color w:val="auto"/>
          <w:highlight w:val="none"/>
        </w:rPr>
      </w:pPr>
      <w:r>
        <w:rPr>
          <w:rFonts w:hint="eastAsia"/>
          <w:color w:val="auto"/>
          <w:highlight w:val="none"/>
        </w:rPr>
        <w:br w:type="page"/>
      </w:r>
    </w:p>
    <w:p>
      <w:pPr>
        <w:pStyle w:val="50"/>
        <w:spacing w:before="120" w:after="120"/>
        <w:outlineLvl w:val="3"/>
        <w:rPr>
          <w:color w:val="auto"/>
          <w:highlight w:val="none"/>
        </w:rPr>
      </w:pPr>
      <w:bookmarkStart w:id="287" w:name="_Toc8095"/>
      <w:bookmarkStart w:id="288" w:name="_Toc750"/>
      <w:bookmarkStart w:id="289" w:name="_Toc20772"/>
      <w:r>
        <w:rPr>
          <w:rFonts w:hint="eastAsia"/>
          <w:color w:val="auto"/>
          <w:highlight w:val="none"/>
        </w:rPr>
        <w:t>(二)监狱企业相关证明材料(如涉及)</w:t>
      </w:r>
      <w:bookmarkEnd w:id="287"/>
      <w:bookmarkEnd w:id="288"/>
      <w:bookmarkEnd w:id="289"/>
    </w:p>
    <w:p>
      <w:pPr>
        <w:pStyle w:val="52"/>
        <w:ind w:firstLine="482"/>
        <w:rPr>
          <w:color w:val="auto"/>
          <w:highlight w:val="none"/>
        </w:rPr>
      </w:pPr>
      <w:r>
        <w:rPr>
          <w:rFonts w:hint="eastAsia"/>
          <w:color w:val="auto"/>
          <w:highlight w:val="none"/>
        </w:rPr>
        <w:t>说明：①监狱企业参加政府采购活动时，应当提供由省级以上监狱管理局、戒毒管理局(含新疆生产建设兵团)出具的属于监狱企业的证明文件。</w:t>
      </w:r>
    </w:p>
    <w:p>
      <w:pPr>
        <w:pStyle w:val="52"/>
        <w:ind w:firstLine="482"/>
        <w:rPr>
          <w:color w:val="auto"/>
          <w:highlight w:val="none"/>
        </w:rPr>
      </w:pPr>
      <w:r>
        <w:rPr>
          <w:rFonts w:hint="eastAsia"/>
          <w:color w:val="auto"/>
          <w:highlight w:val="none"/>
        </w:rPr>
        <w:t>②监狱企业参加本次采购活动未提供监狱企业相关证明材料的，则不能享受磋商文件规定的价格扣除，但不影响供应商响应文件的有效性。</w:t>
      </w:r>
    </w:p>
    <w:p>
      <w:pPr>
        <w:pStyle w:val="52"/>
        <w:ind w:firstLine="482"/>
        <w:rPr>
          <w:color w:val="auto"/>
          <w:highlight w:val="none"/>
        </w:rPr>
      </w:pPr>
      <w:r>
        <w:rPr>
          <w:rFonts w:hint="eastAsia"/>
          <w:color w:val="auto"/>
          <w:highlight w:val="none"/>
        </w:rPr>
        <w:t>③非监狱企业无需提供证明材料。</w:t>
      </w:r>
    </w:p>
    <w:p>
      <w:pPr>
        <w:pStyle w:val="30"/>
        <w:rPr>
          <w:color w:val="auto"/>
          <w:highlight w:val="none"/>
        </w:rPr>
      </w:pPr>
      <w:r>
        <w:rPr>
          <w:rFonts w:hint="eastAsia"/>
          <w:color w:val="auto"/>
          <w:highlight w:val="none"/>
        </w:rPr>
        <w:br w:type="page"/>
      </w:r>
    </w:p>
    <w:p>
      <w:pPr>
        <w:pStyle w:val="50"/>
        <w:spacing w:before="120" w:after="120"/>
        <w:outlineLvl w:val="3"/>
        <w:rPr>
          <w:color w:val="auto"/>
          <w:highlight w:val="none"/>
        </w:rPr>
      </w:pPr>
      <w:bookmarkStart w:id="290" w:name="_Toc8307"/>
      <w:bookmarkStart w:id="291" w:name="_Toc15950"/>
      <w:bookmarkStart w:id="292" w:name="_Toc21091"/>
      <w:r>
        <w:rPr>
          <w:rFonts w:hint="eastAsia"/>
          <w:color w:val="auto"/>
          <w:highlight w:val="none"/>
        </w:rPr>
        <w:t>(三)残疾人福利性单位声明函(如涉及)</w:t>
      </w:r>
      <w:bookmarkEnd w:id="290"/>
      <w:bookmarkEnd w:id="291"/>
      <w:bookmarkEnd w:id="292"/>
    </w:p>
    <w:p>
      <w:pPr>
        <w:pStyle w:val="34"/>
        <w:rPr>
          <w:color w:val="auto"/>
          <w:highlight w:val="none"/>
        </w:rPr>
      </w:pPr>
      <w:r>
        <w:rPr>
          <w:rFonts w:hint="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单位的</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项目采购活动提供本单位提供的服务。</w:t>
      </w:r>
    </w:p>
    <w:p>
      <w:pPr>
        <w:pStyle w:val="34"/>
        <w:rPr>
          <w:color w:val="auto"/>
          <w:highlight w:val="none"/>
        </w:rPr>
      </w:pPr>
      <w:r>
        <w:rPr>
          <w:rFonts w:hint="eastAsia"/>
          <w:color w:val="auto"/>
          <w:highlight w:val="none"/>
        </w:rPr>
        <w:t>本单位对上述声明的真实性负责。如有虚假，将依法承担相应责任。</w:t>
      </w:r>
    </w:p>
    <w:p>
      <w:pPr>
        <w:pStyle w:val="30"/>
        <w:rPr>
          <w:color w:val="auto"/>
          <w:highlight w:val="none"/>
        </w:rPr>
      </w:pPr>
    </w:p>
    <w:p>
      <w:pPr>
        <w:pStyle w:val="30"/>
        <w:rPr>
          <w:color w:val="auto"/>
          <w:highlight w:val="none"/>
        </w:rPr>
      </w:pPr>
    </w:p>
    <w:p>
      <w:pPr>
        <w:pStyle w:val="30"/>
        <w:rPr>
          <w:color w:val="auto"/>
          <w:highlight w:val="none"/>
        </w:rPr>
      </w:pPr>
    </w:p>
    <w:p>
      <w:pPr>
        <w:pStyle w:val="30"/>
        <w:ind w:left="4800" w:leftChars="2000"/>
        <w:rPr>
          <w:color w:val="auto"/>
          <w:highlight w:val="none"/>
        </w:rPr>
      </w:pPr>
      <w:r>
        <w:rPr>
          <w:rFonts w:hint="eastAsia"/>
          <w:color w:val="auto"/>
          <w:highlight w:val="none"/>
        </w:rPr>
        <w:t>单位名称：</w:t>
      </w:r>
      <w:r>
        <w:rPr>
          <w:rFonts w:hint="eastAsia"/>
          <w:color w:val="auto"/>
          <w:highlight w:val="none"/>
          <w:u w:val="single"/>
        </w:rPr>
        <w:t xml:space="preserve">             </w:t>
      </w:r>
      <w:r>
        <w:rPr>
          <w:rFonts w:hint="eastAsia"/>
          <w:color w:val="auto"/>
          <w:highlight w:val="none"/>
        </w:rPr>
        <w:t xml:space="preserve"> (盖章)</w:t>
      </w:r>
    </w:p>
    <w:p>
      <w:pPr>
        <w:pStyle w:val="30"/>
        <w:ind w:left="4800" w:leftChars="2000"/>
        <w:rPr>
          <w:color w:val="auto"/>
          <w:highlight w:val="none"/>
          <w:u w:val="single"/>
        </w:rPr>
      </w:pPr>
      <w:r>
        <w:rPr>
          <w:rFonts w:hint="eastAsia"/>
          <w:color w:val="auto"/>
          <w:highlight w:val="none"/>
        </w:rPr>
        <w:t>日    期：</w:t>
      </w:r>
      <w:r>
        <w:rPr>
          <w:rFonts w:hint="eastAsia"/>
          <w:color w:val="auto"/>
          <w:highlight w:val="none"/>
          <w:u w:val="single"/>
        </w:rPr>
        <w:t xml:space="preserve">             </w:t>
      </w:r>
    </w:p>
    <w:p>
      <w:pPr>
        <w:rPr>
          <w:color w:val="auto"/>
          <w:highlight w:val="none"/>
        </w:rPr>
      </w:pPr>
    </w:p>
    <w:p>
      <w:pPr>
        <w:rPr>
          <w:color w:val="auto"/>
          <w:highlight w:val="none"/>
        </w:rPr>
      </w:pPr>
    </w:p>
    <w:p>
      <w:pPr>
        <w:pStyle w:val="52"/>
        <w:ind w:firstLine="482"/>
        <w:rPr>
          <w:color w:val="auto"/>
          <w:highlight w:val="none"/>
        </w:rPr>
        <w:sectPr>
          <w:pgSz w:w="11906" w:h="16838"/>
          <w:pgMar w:top="1440" w:right="1080" w:bottom="1440" w:left="1080" w:header="851" w:footer="992" w:gutter="0"/>
          <w:cols w:space="0" w:num="1"/>
          <w:titlePg/>
          <w:docGrid w:linePitch="312" w:charSpace="0"/>
        </w:sectPr>
      </w:pPr>
      <w:r>
        <w:rPr>
          <w:rFonts w:hint="eastAsia"/>
          <w:color w:val="auto"/>
          <w:highlight w:val="none"/>
        </w:rPr>
        <w:t>说明：</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残疾人福利性单位参加政府采购活动时，如未提供残疾人福利性单位声明函的，则其评审中的残疾人福利性单位不能享受磋商文件规定的价格扣除。非残疾人福利性单位，不需提供此声明函，不影响响应文件的有效性。</w:t>
      </w: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供应商参加政府采购活动时，提供虚假残疾人福利性单位声明函的，以提供虚假材料谋取成交处理。</w:t>
      </w:r>
    </w:p>
    <w:p>
      <w:pPr>
        <w:pStyle w:val="50"/>
        <w:numPr>
          <w:ilvl w:val="0"/>
          <w:numId w:val="20"/>
        </w:numPr>
        <w:spacing w:before="120" w:after="120"/>
        <w:ind w:firstLine="0"/>
        <w:rPr>
          <w:color w:val="auto"/>
          <w:highlight w:val="none"/>
        </w:rPr>
      </w:pPr>
      <w:bookmarkStart w:id="293" w:name="_Toc23024"/>
      <w:r>
        <w:rPr>
          <w:rFonts w:hint="eastAsia"/>
          <w:color w:val="auto"/>
          <w:highlight w:val="none"/>
        </w:rPr>
        <w:t>履约能力及相关证明</w:t>
      </w:r>
      <w:bookmarkEnd w:id="278"/>
      <w:bookmarkEnd w:id="293"/>
    </w:p>
    <w:p>
      <w:pPr>
        <w:pStyle w:val="52"/>
        <w:ind w:firstLine="482"/>
        <w:rPr>
          <w:color w:val="auto"/>
          <w:highlight w:val="none"/>
        </w:rPr>
      </w:pPr>
      <w:r>
        <w:rPr>
          <w:rFonts w:hint="eastAsia"/>
          <w:color w:val="auto"/>
          <w:highlight w:val="none"/>
        </w:rPr>
        <w:t>注：格式自拟。</w:t>
      </w: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p>
      <w:pPr>
        <w:pStyle w:val="30"/>
        <w:rPr>
          <w:color w:val="auto"/>
          <w:highlight w:val="none"/>
        </w:rPr>
      </w:pPr>
    </w:p>
    <w:bookmarkEnd w:id="269"/>
    <w:p>
      <w:pPr>
        <w:pStyle w:val="30"/>
        <w:rPr>
          <w:color w:val="auto"/>
          <w:highlight w:val="none"/>
        </w:rPr>
      </w:pPr>
      <w:bookmarkStart w:id="294" w:name="_Toc19240"/>
      <w:r>
        <w:rPr>
          <w:rFonts w:hint="eastAsia"/>
          <w:color w:val="auto"/>
          <w:highlight w:val="none"/>
        </w:rPr>
        <w:br w:type="page"/>
      </w:r>
      <w:bookmarkEnd w:id="294"/>
    </w:p>
    <w:p>
      <w:pPr>
        <w:pStyle w:val="50"/>
        <w:numPr>
          <w:ilvl w:val="0"/>
          <w:numId w:val="20"/>
        </w:numPr>
        <w:spacing w:before="120" w:after="120"/>
        <w:ind w:firstLine="0"/>
        <w:rPr>
          <w:rFonts w:hint="eastAsia" w:ascii="宋体" w:hAnsi="宋体" w:eastAsia="宋体" w:cs="宋体"/>
          <w:color w:val="auto"/>
          <w:sz w:val="28"/>
          <w:szCs w:val="28"/>
          <w:highlight w:val="none"/>
        </w:rPr>
      </w:pPr>
      <w:bookmarkStart w:id="295" w:name="_Toc32157"/>
      <w:bookmarkStart w:id="296" w:name="_Toc20002"/>
      <w:bookmarkStart w:id="297" w:name="_Toc16092"/>
      <w:bookmarkStart w:id="298" w:name="_Toc18724"/>
      <w:bookmarkStart w:id="299" w:name="_Toc881"/>
      <w:r>
        <w:rPr>
          <w:rFonts w:hint="eastAsia" w:ascii="宋体" w:hAnsi="宋体" w:eastAsia="宋体" w:cs="宋体"/>
          <w:color w:val="auto"/>
          <w:kern w:val="0"/>
          <w:sz w:val="28"/>
          <w:szCs w:val="28"/>
          <w:highlight w:val="none"/>
          <w:lang w:bidi="ar"/>
        </w:rPr>
        <w:t>医疗卫生服务</w:t>
      </w:r>
      <w:r>
        <w:rPr>
          <w:rFonts w:hint="eastAsia" w:ascii="宋体" w:hAnsi="宋体" w:eastAsia="宋体" w:cs="宋体"/>
          <w:color w:val="auto"/>
          <w:sz w:val="28"/>
          <w:szCs w:val="28"/>
          <w:highlight w:val="none"/>
        </w:rPr>
        <w:t>方案</w:t>
      </w:r>
      <w:bookmarkEnd w:id="295"/>
      <w:bookmarkEnd w:id="296"/>
      <w:bookmarkEnd w:id="297"/>
    </w:p>
    <w:p>
      <w:pPr>
        <w:pStyle w:val="52"/>
        <w:ind w:firstLine="482"/>
        <w:rPr>
          <w:color w:val="auto"/>
          <w:highlight w:val="none"/>
        </w:rPr>
      </w:pPr>
      <w:r>
        <w:rPr>
          <w:rFonts w:hint="eastAsia"/>
          <w:color w:val="auto"/>
          <w:highlight w:val="none"/>
        </w:rPr>
        <w:t>注：格式自拟。</w:t>
      </w:r>
    </w:p>
    <w:p>
      <w:pPr>
        <w:pStyle w:val="30"/>
        <w:rPr>
          <w:color w:val="auto"/>
          <w:highlight w:val="none"/>
        </w:rPr>
      </w:pPr>
      <w:r>
        <w:rPr>
          <w:rFonts w:hint="eastAsia"/>
          <w:color w:val="auto"/>
          <w:highlight w:val="none"/>
        </w:rPr>
        <w:br w:type="page"/>
      </w:r>
    </w:p>
    <w:p>
      <w:pPr>
        <w:pStyle w:val="50"/>
        <w:numPr>
          <w:ilvl w:val="0"/>
          <w:numId w:val="20"/>
        </w:numPr>
        <w:spacing w:before="120" w:after="120"/>
        <w:ind w:firstLine="0"/>
        <w:rPr>
          <w:color w:val="auto"/>
          <w:highlight w:val="none"/>
        </w:rPr>
      </w:pPr>
      <w:bookmarkStart w:id="300" w:name="_Toc32188"/>
      <w:bookmarkStart w:id="301" w:name="_Toc3849"/>
      <w:r>
        <w:rPr>
          <w:rFonts w:hint="eastAsia"/>
          <w:color w:val="auto"/>
          <w:highlight w:val="none"/>
        </w:rPr>
        <w:t>招标代理服务费承诺函</w:t>
      </w:r>
      <w:bookmarkEnd w:id="300"/>
      <w:bookmarkEnd w:id="301"/>
    </w:p>
    <w:p>
      <w:pPr>
        <w:pStyle w:val="30"/>
        <w:rPr>
          <w:color w:val="auto"/>
          <w:highlight w:val="none"/>
        </w:rPr>
      </w:pPr>
      <w:r>
        <w:rPr>
          <w:rFonts w:hint="eastAsia"/>
          <w:color w:val="auto"/>
          <w:highlight w:val="none"/>
        </w:rPr>
        <w:t>四川乾新招投标代理有限公司：</w:t>
      </w:r>
    </w:p>
    <w:p>
      <w:pPr>
        <w:pStyle w:val="34"/>
        <w:rPr>
          <w:b/>
          <w:bCs/>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)竞争性磋商中若获成交，我们保证在收到成交通知后2个工作日内按要求，以支票、银行汇票、电汇、现金或经贵公司认可的一种方式，向贵公司即四川乾新招投标代理有限公司指定的银行账号，按照磋商</w:t>
      </w:r>
      <w:r>
        <w:rPr>
          <w:rFonts w:hint="eastAsia"/>
          <w:color w:val="auto"/>
          <w:highlight w:val="none"/>
          <w:lang w:val="zh-CN"/>
        </w:rPr>
        <w:t>文件中招标代理</w:t>
      </w:r>
      <w:r>
        <w:rPr>
          <w:rFonts w:hint="eastAsia"/>
          <w:color w:val="auto"/>
          <w:highlight w:val="none"/>
        </w:rPr>
        <w:t>服务费收取标准一次性支付合同全额的招标代理服务费。</w:t>
      </w:r>
      <w:r>
        <w:rPr>
          <w:rFonts w:hint="eastAsia"/>
          <w:b/>
          <w:bCs/>
          <w:color w:val="auto"/>
          <w:highlight w:val="none"/>
        </w:rPr>
        <w:t>如因我公司自身原因造成取消成交资格或自愿放弃成交资格的，我司支付的招标代理服务费不予退还，由此造成的损失由我方自行承担。</w:t>
      </w:r>
    </w:p>
    <w:p>
      <w:pPr>
        <w:pStyle w:val="34"/>
        <w:rPr>
          <w:color w:val="auto"/>
          <w:highlight w:val="none"/>
        </w:rPr>
      </w:pPr>
    </w:p>
    <w:p>
      <w:pPr>
        <w:pStyle w:val="34"/>
        <w:rPr>
          <w:color w:val="auto"/>
          <w:highlight w:val="none"/>
        </w:rPr>
      </w:pPr>
    </w:p>
    <w:p>
      <w:pPr>
        <w:pStyle w:val="34"/>
        <w:rPr>
          <w:color w:val="auto"/>
          <w:highlight w:val="none"/>
        </w:rPr>
      </w:pPr>
      <w:r>
        <w:rPr>
          <w:rFonts w:hint="eastAsia"/>
          <w:color w:val="auto"/>
          <w:highlight w:val="none"/>
        </w:rPr>
        <w:t>特此承诺。</w:t>
      </w:r>
    </w:p>
    <w:p>
      <w:pPr>
        <w:pStyle w:val="30"/>
        <w:rPr>
          <w:color w:val="auto"/>
          <w:highlight w:val="none"/>
        </w:rPr>
      </w:pPr>
    </w:p>
    <w:p>
      <w:pPr>
        <w:pStyle w:val="30"/>
        <w:rPr>
          <w:color w:val="auto"/>
          <w:highlight w:val="none"/>
        </w:rPr>
      </w:pP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供应商名称：</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color w:val="auto"/>
          <w:highlight w:val="none"/>
        </w:rPr>
        <w:t>(盖章)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ind w:firstLine="480" w:firstLineChars="200"/>
        <w:rPr>
          <w:color w:val="auto"/>
          <w:highlight w:val="none"/>
        </w:rPr>
      </w:pPr>
      <w:r>
        <w:rPr>
          <w:rFonts w:hint="eastAsia"/>
          <w:color w:val="auto"/>
          <w:highlight w:val="none"/>
        </w:rPr>
        <w:t>法定</w:t>
      </w:r>
      <w:r>
        <w:rPr>
          <w:rFonts w:hint="eastAsia" w:asciiTheme="minorEastAsia" w:hAnsiTheme="minorEastAsia" w:eastAsiaTheme="minorEastAsia" w:cstheme="minorEastAsia"/>
          <w:color w:val="auto"/>
          <w:highlight w:val="none"/>
        </w:rPr>
        <w:t>代表人</w:t>
      </w:r>
      <w:r>
        <w:rPr>
          <w:rFonts w:hint="eastAsia"/>
          <w:color w:val="auto"/>
          <w:highlight w:val="none"/>
        </w:rPr>
        <w:t>/单位负责人或授权代表：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ind w:firstLine="480" w:firstLineChars="200"/>
        <w:rPr>
          <w:rFonts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rPr>
          <w:rFonts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u w:val="single"/>
        </w:rPr>
        <w:br w:type="page"/>
      </w:r>
    </w:p>
    <w:p>
      <w:pPr>
        <w:pStyle w:val="50"/>
        <w:numPr>
          <w:ilvl w:val="0"/>
          <w:numId w:val="20"/>
        </w:numPr>
        <w:spacing w:before="120" w:after="120"/>
        <w:ind w:firstLine="0"/>
        <w:rPr>
          <w:color w:val="auto"/>
          <w:highlight w:val="none"/>
        </w:rPr>
      </w:pPr>
      <w:bookmarkStart w:id="302" w:name="_Toc8987"/>
      <w:bookmarkStart w:id="303" w:name="_Toc10668"/>
      <w:r>
        <w:rPr>
          <w:rFonts w:hint="eastAsia"/>
          <w:color w:val="auto"/>
          <w:highlight w:val="none"/>
        </w:rPr>
        <w:t>报价表</w:t>
      </w:r>
      <w:bookmarkEnd w:id="302"/>
      <w:bookmarkEnd w:id="303"/>
    </w:p>
    <w:p>
      <w:pPr>
        <w:jc w:val="center"/>
        <w:rPr>
          <w:rFonts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28"/>
          <w:highlight w:val="none"/>
        </w:rPr>
        <w:t>第</w:t>
      </w:r>
      <w:r>
        <w:rPr>
          <w:rFonts w:hint="eastAsia" w:asciiTheme="minorEastAsia" w:hAnsiTheme="minorEastAsia" w:eastAsiaTheme="minorEastAsia" w:cstheme="minorEastAsia"/>
          <w:color w:val="auto"/>
          <w:sz w:val="32"/>
          <w:szCs w:val="28"/>
          <w:highlight w:val="none"/>
          <w:u w:val="single"/>
        </w:rPr>
        <w:t xml:space="preserve"> N </w:t>
      </w:r>
      <w:r>
        <w:rPr>
          <w:rFonts w:hint="eastAsia" w:asciiTheme="minorEastAsia" w:hAnsiTheme="minorEastAsia" w:eastAsiaTheme="minorEastAsia" w:cstheme="minorEastAsia"/>
          <w:color w:val="auto"/>
          <w:sz w:val="32"/>
          <w:szCs w:val="28"/>
          <w:highlight w:val="none"/>
        </w:rPr>
        <w:t>轮报价/最后报价(</w:t>
      </w:r>
      <w:r>
        <w:rPr>
          <w:rFonts w:hint="eastAsia" w:asciiTheme="minorEastAsia" w:hAnsiTheme="minorEastAsia" w:eastAsiaTheme="minorEastAsia" w:cstheme="minorEastAsia"/>
          <w:b/>
          <w:color w:val="auto"/>
          <w:sz w:val="32"/>
          <w:szCs w:val="28"/>
          <w:highlight w:val="none"/>
        </w:rPr>
        <w:t>根据磋商实际情况选择</w:t>
      </w:r>
      <w:r>
        <w:rPr>
          <w:rFonts w:hint="eastAsia" w:asciiTheme="minorEastAsia" w:hAnsiTheme="minorEastAsia" w:eastAsiaTheme="minorEastAsia" w:cstheme="minorEastAsia"/>
          <w:color w:val="auto"/>
          <w:sz w:val="32"/>
          <w:szCs w:val="28"/>
          <w:highlight w:val="none"/>
        </w:rPr>
        <w:t>)</w:t>
      </w:r>
    </w:p>
    <w:p>
      <w:pPr>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p>
    <w:p>
      <w:pPr>
        <w:jc w:val="both"/>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p>
    <w:tbl>
      <w:tblPr>
        <w:tblStyle w:val="24"/>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287"/>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188" w:type="dxa"/>
            <w:vAlign w:val="center"/>
          </w:tcPr>
          <w:p>
            <w:pPr>
              <w:wordWrap w:val="0"/>
              <w:topLinePunct/>
              <w:spacing w:line="360" w:lineRule="exact"/>
              <w:jc w:val="center"/>
              <w:rPr>
                <w:rFonts w:cs="宋体"/>
                <w:b/>
                <w:color w:val="auto"/>
                <w:sz w:val="21"/>
                <w:szCs w:val="21"/>
                <w:highlight w:val="none"/>
              </w:rPr>
            </w:pPr>
            <w:r>
              <w:rPr>
                <w:rFonts w:hint="eastAsia" w:cs="宋体"/>
                <w:b/>
                <w:color w:val="auto"/>
                <w:sz w:val="21"/>
                <w:szCs w:val="21"/>
                <w:highlight w:val="none"/>
              </w:rPr>
              <w:t>序号</w:t>
            </w:r>
          </w:p>
        </w:tc>
        <w:tc>
          <w:tcPr>
            <w:tcW w:w="4287" w:type="dxa"/>
            <w:vAlign w:val="center"/>
          </w:tcPr>
          <w:p>
            <w:pPr>
              <w:wordWrap w:val="0"/>
              <w:topLinePunct/>
              <w:spacing w:line="360" w:lineRule="exact"/>
              <w:jc w:val="center"/>
              <w:rPr>
                <w:rFonts w:cs="宋体"/>
                <w:b/>
                <w:color w:val="auto"/>
                <w:sz w:val="21"/>
                <w:szCs w:val="21"/>
                <w:highlight w:val="none"/>
              </w:rPr>
            </w:pPr>
            <w:r>
              <w:rPr>
                <w:rFonts w:hint="eastAsia" w:cs="宋体"/>
                <w:b/>
                <w:color w:val="auto"/>
                <w:sz w:val="21"/>
                <w:szCs w:val="21"/>
                <w:highlight w:val="none"/>
              </w:rPr>
              <w:t>服务内容</w:t>
            </w:r>
          </w:p>
        </w:tc>
        <w:tc>
          <w:tcPr>
            <w:tcW w:w="4481" w:type="dxa"/>
            <w:vAlign w:val="center"/>
          </w:tcPr>
          <w:p>
            <w:pPr>
              <w:wordWrap w:val="0"/>
              <w:topLinePunct/>
              <w:spacing w:line="360" w:lineRule="exact"/>
              <w:jc w:val="center"/>
              <w:rPr>
                <w:rFonts w:cs="宋体"/>
                <w:b/>
                <w:color w:val="auto"/>
                <w:sz w:val="21"/>
                <w:szCs w:val="21"/>
                <w:highlight w:val="none"/>
              </w:rPr>
            </w:pPr>
            <w:r>
              <w:rPr>
                <w:rFonts w:hint="eastAsia" w:cs="宋体"/>
                <w:b/>
                <w:color w:val="auto"/>
                <w:sz w:val="21"/>
                <w:szCs w:val="21"/>
                <w:highlight w:val="none"/>
              </w:rPr>
              <w:t>履约时间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188" w:type="dxa"/>
            <w:vAlign w:val="center"/>
          </w:tcPr>
          <w:p>
            <w:pPr>
              <w:wordWrap w:val="0"/>
              <w:topLinePunct/>
              <w:spacing w:line="360" w:lineRule="auto"/>
              <w:jc w:val="center"/>
              <w:rPr>
                <w:rFonts w:cs="宋体"/>
                <w:bCs/>
                <w:color w:val="auto"/>
                <w:sz w:val="21"/>
                <w:szCs w:val="21"/>
                <w:highlight w:val="none"/>
              </w:rPr>
            </w:pPr>
            <w:r>
              <w:rPr>
                <w:rFonts w:hint="eastAsia" w:cs="宋体"/>
                <w:bCs/>
                <w:color w:val="auto"/>
                <w:sz w:val="21"/>
                <w:szCs w:val="21"/>
                <w:highlight w:val="none"/>
              </w:rPr>
              <w:t>1</w:t>
            </w:r>
          </w:p>
        </w:tc>
        <w:tc>
          <w:tcPr>
            <w:tcW w:w="4287" w:type="dxa"/>
            <w:vAlign w:val="center"/>
          </w:tcPr>
          <w:p>
            <w:pPr>
              <w:wordWrap w:val="0"/>
              <w:topLinePunct/>
              <w:spacing w:line="360" w:lineRule="auto"/>
              <w:jc w:val="center"/>
              <w:rPr>
                <w:rFonts w:cs="宋体"/>
                <w:bCs/>
                <w:color w:val="auto"/>
                <w:sz w:val="21"/>
                <w:szCs w:val="21"/>
                <w:highlight w:val="none"/>
              </w:rPr>
            </w:pPr>
          </w:p>
        </w:tc>
        <w:tc>
          <w:tcPr>
            <w:tcW w:w="4481" w:type="dxa"/>
            <w:vAlign w:val="center"/>
          </w:tcPr>
          <w:p>
            <w:pPr>
              <w:wordWrap w:val="0"/>
              <w:topLinePunct/>
              <w:spacing w:line="360" w:lineRule="auto"/>
              <w:jc w:val="center"/>
              <w:rPr>
                <w:rFonts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88" w:type="dxa"/>
            <w:vMerge w:val="restart"/>
            <w:vAlign w:val="center"/>
          </w:tcPr>
          <w:p>
            <w:pPr>
              <w:wordWrap w:val="0"/>
              <w:topLinePunct/>
              <w:spacing w:line="360" w:lineRule="exact"/>
              <w:jc w:val="center"/>
              <w:rPr>
                <w:rFonts w:cs="宋体"/>
                <w:color w:val="auto"/>
                <w:sz w:val="21"/>
                <w:szCs w:val="21"/>
                <w:highlight w:val="none"/>
              </w:rPr>
            </w:pPr>
            <w:r>
              <w:rPr>
                <w:rFonts w:hint="eastAsia" w:cs="宋体"/>
                <w:bCs/>
                <w:color w:val="auto"/>
                <w:sz w:val="21"/>
                <w:szCs w:val="21"/>
                <w:highlight w:val="none"/>
              </w:rPr>
              <w:t>报价(元)</w:t>
            </w:r>
          </w:p>
        </w:tc>
        <w:tc>
          <w:tcPr>
            <w:tcW w:w="8768" w:type="dxa"/>
            <w:gridSpan w:val="2"/>
            <w:vAlign w:val="center"/>
          </w:tcPr>
          <w:p>
            <w:pPr>
              <w:wordWrap w:val="0"/>
              <w:topLinePunct/>
              <w:spacing w:line="360" w:lineRule="exact"/>
              <w:rPr>
                <w:rFonts w:cs="宋体"/>
                <w:color w:val="auto"/>
                <w:sz w:val="21"/>
                <w:szCs w:val="21"/>
                <w:highlight w:val="none"/>
              </w:rPr>
            </w:pPr>
            <w:r>
              <w:rPr>
                <w:rFonts w:hint="eastAsia" w:cs="宋体"/>
                <w:color w:val="auto"/>
                <w:sz w:val="21"/>
                <w:szCs w:val="21"/>
                <w:highlight w:val="none"/>
              </w:rPr>
              <w:t>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88" w:type="dxa"/>
            <w:vMerge w:val="continue"/>
            <w:vAlign w:val="center"/>
          </w:tcPr>
          <w:p>
            <w:pPr>
              <w:wordWrap w:val="0"/>
              <w:topLinePunct/>
              <w:spacing w:line="360" w:lineRule="auto"/>
              <w:rPr>
                <w:color w:val="auto"/>
                <w:highlight w:val="none"/>
              </w:rPr>
            </w:pPr>
          </w:p>
        </w:tc>
        <w:tc>
          <w:tcPr>
            <w:tcW w:w="8768" w:type="dxa"/>
            <w:gridSpan w:val="2"/>
            <w:vAlign w:val="center"/>
          </w:tcPr>
          <w:p>
            <w:pPr>
              <w:wordWrap w:val="0"/>
              <w:topLinePunct/>
              <w:spacing w:line="360" w:lineRule="exact"/>
              <w:rPr>
                <w:rFonts w:cs="宋体"/>
                <w:color w:val="auto"/>
                <w:sz w:val="21"/>
                <w:szCs w:val="21"/>
                <w:highlight w:val="none"/>
              </w:rPr>
            </w:pPr>
            <w:r>
              <w:rPr>
                <w:rFonts w:hint="eastAsia" w:cs="宋体"/>
                <w:color w:val="auto"/>
                <w:sz w:val="21"/>
                <w:szCs w:val="21"/>
                <w:highlight w:val="none"/>
              </w:rPr>
              <w:t>人民币大写：</w:t>
            </w:r>
          </w:p>
        </w:tc>
      </w:tr>
    </w:tbl>
    <w:p>
      <w:pPr>
        <w:pStyle w:val="52"/>
        <w:ind w:firstLine="482"/>
        <w:rPr>
          <w:color w:val="auto"/>
          <w:highlight w:val="none"/>
        </w:rPr>
      </w:pPr>
      <w:r>
        <w:rPr>
          <w:rFonts w:hint="eastAsia"/>
          <w:color w:val="auto"/>
          <w:highlight w:val="none"/>
        </w:rPr>
        <w:t>注：</w:t>
      </w:r>
      <w:r>
        <w:rPr>
          <w:rFonts w:hint="eastAsia"/>
          <w:color w:val="auto"/>
          <w:highlight w:val="none"/>
          <w:lang w:val="zh-CN"/>
        </w:rPr>
        <w:t>报价应为完成本竞争性磋商文件中所要求的</w:t>
      </w:r>
      <w:r>
        <w:rPr>
          <w:rFonts w:hint="eastAsia"/>
          <w:color w:val="auto"/>
          <w:highlight w:val="none"/>
        </w:rPr>
        <w:t>服务</w:t>
      </w:r>
      <w:r>
        <w:rPr>
          <w:rFonts w:hint="eastAsia"/>
          <w:color w:val="auto"/>
          <w:highlight w:val="none"/>
          <w:lang w:val="zh-CN"/>
        </w:rPr>
        <w:t>所应包括内容的所有价格，</w:t>
      </w:r>
      <w:r>
        <w:rPr>
          <w:rFonts w:hint="eastAsia"/>
          <w:color w:val="auto"/>
          <w:highlight w:val="none"/>
        </w:rPr>
        <w:t>包含人工劳务、提供服务需要的设备费、利润、保险、税费等与完成本项目有关的所有费用</w:t>
      </w:r>
      <w:r>
        <w:rPr>
          <w:rFonts w:hint="eastAsia"/>
          <w:color w:val="auto"/>
          <w:highlight w:val="none"/>
          <w:lang w:val="zh-CN"/>
        </w:rPr>
        <w:t>。</w:t>
      </w:r>
    </w:p>
    <w:p>
      <w:pPr>
        <w:tabs>
          <w:tab w:val="left" w:pos="540"/>
          <w:tab w:val="left" w:pos="900"/>
          <w:tab w:val="clear" w:pos="0"/>
        </w:tabs>
        <w:rPr>
          <w:rFonts w:asciiTheme="minorEastAsia" w:hAnsiTheme="minorEastAsia" w:eastAsiaTheme="minorEastAsia" w:cstheme="minorEastAsia"/>
          <w:color w:val="auto"/>
          <w:highlight w:val="none"/>
        </w:rPr>
      </w:pPr>
    </w:p>
    <w:p>
      <w:pPr>
        <w:tabs>
          <w:tab w:val="left" w:pos="540"/>
          <w:tab w:val="left" w:pos="900"/>
          <w:tab w:val="clear" w:pos="0"/>
        </w:tabs>
        <w:rPr>
          <w:rFonts w:asciiTheme="minorEastAsia" w:hAnsiTheme="minorEastAsia" w:eastAsiaTheme="minorEastAsia" w:cstheme="minorEastAsia"/>
          <w:color w:val="auto"/>
          <w:highlight w:val="none"/>
        </w:rPr>
      </w:pPr>
    </w:p>
    <w:p>
      <w:pPr>
        <w:pStyle w:val="34"/>
        <w:rPr>
          <w:color w:val="auto"/>
          <w:highlight w:val="none"/>
          <w:u w:val="single"/>
        </w:rPr>
      </w:pPr>
      <w:r>
        <w:rPr>
          <w:rFonts w:hint="eastAsia"/>
          <w:color w:val="auto"/>
          <w:highlight w:val="none"/>
        </w:rPr>
        <w:t>供应商名称：</w:t>
      </w:r>
      <w:r>
        <w:rPr>
          <w:rFonts w:hint="eastAsia"/>
          <w:color w:val="auto"/>
          <w:highlight w:val="none"/>
          <w:u w:val="single"/>
        </w:rPr>
        <w:t xml:space="preserve">                      </w:t>
      </w:r>
    </w:p>
    <w:p>
      <w:pPr>
        <w:pStyle w:val="34"/>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(签名并捺印)</w:t>
      </w:r>
    </w:p>
    <w:p>
      <w:pPr>
        <w:pStyle w:val="34"/>
        <w:rPr>
          <w:color w:val="auto"/>
          <w:highlight w:val="none"/>
        </w:rPr>
      </w:pPr>
      <w:r>
        <w:rPr>
          <w:rFonts w:hint="eastAsia"/>
          <w:color w:val="auto"/>
          <w:highlight w:val="none"/>
        </w:rPr>
        <w:t>报价日期：</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pStyle w:val="30"/>
        <w:rPr>
          <w:color w:val="auto"/>
          <w:highlight w:val="none"/>
        </w:rPr>
      </w:pPr>
      <w:r>
        <w:rPr>
          <w:rFonts w:hint="eastAsia"/>
          <w:color w:val="auto"/>
          <w:highlight w:val="none"/>
        </w:rPr>
        <w:t xml:space="preserve">                </w:t>
      </w:r>
    </w:p>
    <w:p>
      <w:pPr>
        <w:pStyle w:val="30"/>
        <w:rPr>
          <w:color w:val="auto"/>
          <w:highlight w:val="none"/>
        </w:rPr>
      </w:pPr>
    </w:p>
    <w:bookmarkEnd w:id="298"/>
    <w:bookmarkEnd w:id="299"/>
    <w:p>
      <w:pPr>
        <w:pStyle w:val="29"/>
        <w:spacing w:before="120" w:after="120"/>
        <w:rPr>
          <w:color w:val="auto"/>
          <w:highlight w:val="none"/>
        </w:rPr>
      </w:pPr>
      <w:bookmarkStart w:id="304" w:name="_Toc24888"/>
      <w:r>
        <w:rPr>
          <w:rFonts w:hint="eastAsia"/>
          <w:color w:val="auto"/>
          <w:highlight w:val="none"/>
        </w:rPr>
        <w:br w:type="page"/>
      </w:r>
      <w:bookmarkEnd w:id="304"/>
      <w:bookmarkStart w:id="305" w:name="_Toc18196"/>
      <w:bookmarkStart w:id="306" w:name="_Toc5334"/>
      <w:bookmarkStart w:id="307" w:name="_Toc22998"/>
      <w:r>
        <w:rPr>
          <w:rFonts w:hint="eastAsia"/>
          <w:color w:val="auto"/>
          <w:highlight w:val="none"/>
        </w:rPr>
        <w:t>资格性审查</w:t>
      </w:r>
      <w:bookmarkEnd w:id="305"/>
      <w:r>
        <w:rPr>
          <w:rFonts w:hint="eastAsia"/>
          <w:color w:val="auto"/>
          <w:highlight w:val="none"/>
        </w:rPr>
        <w:t>内容</w:t>
      </w:r>
      <w:bookmarkEnd w:id="306"/>
      <w:bookmarkEnd w:id="307"/>
    </w:p>
    <w:p>
      <w:pPr>
        <w:pStyle w:val="53"/>
        <w:numPr>
          <w:ilvl w:val="1"/>
          <w:numId w:val="23"/>
        </w:numPr>
        <w:ind w:firstLine="482"/>
        <w:rPr>
          <w:b/>
          <w:bCs/>
          <w:color w:val="auto"/>
          <w:highlight w:val="none"/>
        </w:rPr>
      </w:pPr>
      <w:bookmarkStart w:id="308" w:name="_Toc141"/>
      <w:bookmarkStart w:id="309" w:name="_Toc10631"/>
      <w:bookmarkStart w:id="310" w:name="_Toc20678"/>
      <w:bookmarkStart w:id="311" w:name="_Toc32482"/>
      <w:r>
        <w:rPr>
          <w:rFonts w:hint="eastAsia"/>
          <w:b/>
          <w:bCs/>
          <w:color w:val="auto"/>
          <w:highlight w:val="none"/>
        </w:rPr>
        <w:t>供应商应当提供的资格证明材料及其他类似效力要求的相关证明材料</w:t>
      </w:r>
    </w:p>
    <w:bookmarkEnd w:id="308"/>
    <w:bookmarkEnd w:id="309"/>
    <w:bookmarkEnd w:id="310"/>
    <w:p>
      <w:pPr>
        <w:pStyle w:val="41"/>
        <w:numPr>
          <w:ilvl w:val="1"/>
          <w:numId w:val="24"/>
        </w:numPr>
        <w:ind w:firstLine="482"/>
        <w:rPr>
          <w:b/>
          <w:bCs/>
          <w:color w:val="auto"/>
          <w:highlight w:val="none"/>
        </w:rPr>
      </w:pPr>
      <w:r>
        <w:rPr>
          <w:rFonts w:hint="eastAsia"/>
          <w:b/>
          <w:bCs/>
          <w:color w:val="auto"/>
          <w:highlight w:val="none"/>
        </w:rPr>
        <w:t>供应商具有独立承担民事责任的能力的证明材料；</w:t>
      </w:r>
    </w:p>
    <w:p>
      <w:pPr>
        <w:pStyle w:val="34"/>
        <w:rPr>
          <w:color w:val="auto"/>
          <w:highlight w:val="none"/>
        </w:rPr>
      </w:pPr>
      <w:r>
        <w:rPr>
          <w:rFonts w:hint="eastAsia"/>
          <w:color w:val="auto"/>
          <w:highlight w:val="none"/>
        </w:rPr>
        <w:t>提供营业执照副本复印件(注：①在有效期内；②复印件加盖公章)；组织机构代码证副本复印件(注：①发证机关有年检要求的，应按规定通过年检；②在有效期内；③复印件加盖公章)；税务登记证副本复印件(注：①在有效期内；②复印件加盖公章)。</w:t>
      </w:r>
    </w:p>
    <w:p>
      <w:pPr>
        <w:pStyle w:val="52"/>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注：1.以上证明材料应满足此条要求①发证机关有年检要求的，应按规定通过年检；②在有效期内；③复印件加盖供应商公章；</w:t>
      </w:r>
    </w:p>
    <w:p>
      <w:pPr>
        <w:pStyle w:val="52"/>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2"/>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41"/>
        <w:numPr>
          <w:ilvl w:val="1"/>
          <w:numId w:val="24"/>
        </w:numPr>
        <w:ind w:firstLine="482"/>
        <w:rPr>
          <w:b/>
          <w:bCs/>
          <w:color w:val="auto"/>
          <w:highlight w:val="none"/>
        </w:rPr>
      </w:pPr>
      <w:r>
        <w:rPr>
          <w:rFonts w:hint="eastAsia"/>
          <w:b/>
          <w:bCs/>
          <w:color w:val="auto"/>
          <w:highlight w:val="none"/>
        </w:rPr>
        <w:t>供应商具有良好的商业信誉和健全的财务会计制度的证明材料；</w:t>
      </w:r>
    </w:p>
    <w:p>
      <w:pPr>
        <w:pStyle w:val="43"/>
        <w:numPr>
          <w:ilvl w:val="2"/>
          <w:numId w:val="24"/>
        </w:numPr>
        <w:ind w:firstLine="480"/>
        <w:rPr>
          <w:color w:val="auto"/>
          <w:highlight w:val="none"/>
        </w:rPr>
      </w:pPr>
      <w:r>
        <w:rPr>
          <w:rFonts w:hint="eastAsia"/>
          <w:color w:val="auto"/>
          <w:highlight w:val="none"/>
        </w:rPr>
        <w:t>供应商具有良好商业信誉的证明材料</w:t>
      </w:r>
    </w:p>
    <w:p>
      <w:pPr>
        <w:pStyle w:val="34"/>
        <w:rPr>
          <w:color w:val="auto"/>
          <w:highlight w:val="none"/>
        </w:rPr>
      </w:pPr>
      <w:r>
        <w:rPr>
          <w:rFonts w:hint="eastAsia"/>
          <w:color w:val="auto"/>
          <w:highlight w:val="none"/>
        </w:rPr>
        <w:t>提供具有良好的商业信誉的承诺函。</w:t>
      </w:r>
    </w:p>
    <w:p>
      <w:pPr>
        <w:pStyle w:val="34"/>
        <w:ind w:firstLine="482"/>
        <w:rPr>
          <w:rFonts w:hint="eastAsia" w:eastAsia="宋体"/>
          <w:b/>
          <w:bCs/>
          <w:color w:val="auto"/>
          <w:highlight w:val="none"/>
          <w:lang w:eastAsia="zh-CN"/>
        </w:rPr>
      </w:pPr>
      <w:r>
        <w:rPr>
          <w:rFonts w:hint="eastAsia" w:cs="宋体"/>
          <w:b/>
          <w:bCs/>
          <w:color w:val="auto"/>
          <w:highlight w:val="none"/>
        </w:rPr>
        <w:t>注：本项目供应商具有的良好商业信誉是指：至响应文件递交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供应商需提供相关证明资料</w:t>
      </w:r>
      <w:r>
        <w:rPr>
          <w:rFonts w:hint="eastAsia"/>
          <w:b/>
          <w:bCs/>
          <w:color w:val="auto"/>
          <w:highlight w:val="none"/>
          <w:lang w:eastAsia="zh-CN"/>
        </w:rPr>
        <w:t>，</w:t>
      </w:r>
      <w:r>
        <w:rPr>
          <w:rFonts w:hint="eastAsia"/>
          <w:b/>
          <w:bCs/>
          <w:color w:val="auto"/>
          <w:highlight w:val="none"/>
          <w:lang w:val="en-US" w:eastAsia="zh-CN"/>
        </w:rPr>
        <w:t>若因投标人为事业单位、团体组织、自然人等原因，在“信用中国”网站、中国政府采购网站未查询到信息的，视为未被列入失信记录。</w:t>
      </w:r>
    </w:p>
    <w:p>
      <w:pPr>
        <w:pStyle w:val="34"/>
        <w:rPr>
          <w:color w:val="auto"/>
          <w:highlight w:val="none"/>
        </w:rPr>
      </w:pPr>
      <w:r>
        <w:rPr>
          <w:rFonts w:hint="eastAsia"/>
          <w:color w:val="auto"/>
          <w:highlight w:val="none"/>
        </w:rPr>
        <w:t>2.供应商具有健全的财务会计制度的证明材料；</w:t>
      </w:r>
    </w:p>
    <w:p>
      <w:pPr>
        <w:pStyle w:val="34"/>
        <w:rPr>
          <w:color w:val="auto"/>
          <w:highlight w:val="none"/>
        </w:rPr>
      </w:pPr>
      <w:r>
        <w:rPr>
          <w:rFonts w:hint="eastAsia"/>
          <w:color w:val="auto"/>
          <w:highlight w:val="none"/>
        </w:rPr>
        <w:t>(1)供应商提供2020年度或2021年度经过会计师事务所审计的财务报告复印件(经审计的有效财务报告应包括报告及报告中所附的完整内容，并由注册会计师签名、盖章以及会计师事务所盖章)；</w:t>
      </w:r>
    </w:p>
    <w:p>
      <w:pPr>
        <w:pStyle w:val="34"/>
        <w:rPr>
          <w:color w:val="auto"/>
          <w:highlight w:val="none"/>
        </w:rPr>
      </w:pPr>
      <w:r>
        <w:rPr>
          <w:rFonts w:hint="eastAsia"/>
          <w:color w:val="auto"/>
          <w:highlight w:val="none"/>
        </w:rPr>
        <w:t>(2)供应商提供2020年度或2021年度供应商内部的财务报表复印件(至少包含资产负债表)；</w:t>
      </w:r>
    </w:p>
    <w:p>
      <w:pPr>
        <w:pStyle w:val="34"/>
        <w:rPr>
          <w:color w:val="auto"/>
          <w:highlight w:val="none"/>
        </w:rPr>
      </w:pPr>
      <w:r>
        <w:rPr>
          <w:rFonts w:hint="eastAsia"/>
          <w:color w:val="auto"/>
          <w:highlight w:val="none"/>
        </w:rPr>
        <w:t>(3)供应商提供响应文件递交截止日前一年内银行为其出具的资信证明复印件；</w:t>
      </w:r>
    </w:p>
    <w:p>
      <w:pPr>
        <w:pStyle w:val="34"/>
        <w:rPr>
          <w:color w:val="auto"/>
          <w:highlight w:val="none"/>
        </w:rPr>
      </w:pPr>
      <w:r>
        <w:rPr>
          <w:rFonts w:hint="eastAsia"/>
          <w:color w:val="auto"/>
          <w:highlight w:val="none"/>
        </w:rPr>
        <w:t>(4)供应商注册时间截至响应文件递交截止日不足一年的，可提供公司章程复印件；</w:t>
      </w:r>
    </w:p>
    <w:p>
      <w:pPr>
        <w:pStyle w:val="34"/>
        <w:rPr>
          <w:color w:val="auto"/>
          <w:highlight w:val="none"/>
        </w:rPr>
      </w:pPr>
      <w:r>
        <w:rPr>
          <w:rFonts w:hint="eastAsia"/>
          <w:color w:val="auto"/>
          <w:highlight w:val="none"/>
        </w:rPr>
        <w:t>(5)供应商提供具有健全的财务会计制度的承诺函。</w:t>
      </w:r>
    </w:p>
    <w:p>
      <w:pPr>
        <w:pStyle w:val="52"/>
        <w:ind w:firstLine="482"/>
        <w:rPr>
          <w:color w:val="auto"/>
          <w:highlight w:val="none"/>
        </w:rPr>
      </w:pPr>
      <w:r>
        <w:rPr>
          <w:rFonts w:hint="eastAsia"/>
          <w:bCs/>
          <w:color w:val="auto"/>
          <w:highlight w:val="none"/>
        </w:rPr>
        <w:t>注：具有健全的财务会计制度的证明材料中第(1)-(5)项具有同等的效力，供应商可根据自身实际情况选择提供其中任意一项。</w:t>
      </w:r>
    </w:p>
    <w:p>
      <w:pPr>
        <w:pStyle w:val="41"/>
        <w:numPr>
          <w:ilvl w:val="1"/>
          <w:numId w:val="24"/>
        </w:numPr>
        <w:ind w:firstLine="482"/>
        <w:rPr>
          <w:b/>
          <w:bCs/>
          <w:color w:val="auto"/>
          <w:highlight w:val="none"/>
        </w:rPr>
      </w:pPr>
      <w:r>
        <w:rPr>
          <w:rFonts w:hint="eastAsia"/>
          <w:b/>
          <w:bCs/>
          <w:color w:val="auto"/>
          <w:highlight w:val="none"/>
        </w:rPr>
        <w:t>供应商具有履行合同所必需的设备和专业技术能力证明材料；</w:t>
      </w:r>
    </w:p>
    <w:p>
      <w:pPr>
        <w:pStyle w:val="43"/>
        <w:numPr>
          <w:ilvl w:val="2"/>
          <w:numId w:val="0"/>
        </w:numPr>
        <w:ind w:left="480" w:leftChars="200"/>
        <w:rPr>
          <w:color w:val="auto"/>
          <w:highlight w:val="none"/>
        </w:rPr>
      </w:pPr>
      <w:r>
        <w:rPr>
          <w:rFonts w:hint="eastAsia"/>
          <w:color w:val="auto"/>
          <w:highlight w:val="none"/>
        </w:rPr>
        <w:t>提供具有履行合同所必需的设备和专业技术能力的承诺函。</w:t>
      </w:r>
    </w:p>
    <w:p>
      <w:pPr>
        <w:pStyle w:val="52"/>
        <w:ind w:firstLine="482"/>
        <w:rPr>
          <w:color w:val="auto"/>
          <w:highlight w:val="none"/>
        </w:rPr>
      </w:pPr>
      <w:r>
        <w:rPr>
          <w:rFonts w:hint="eastAsia"/>
          <w:color w:val="auto"/>
          <w:highlight w:val="none"/>
        </w:rPr>
        <w:t>注：</w:t>
      </w:r>
      <w:r>
        <w:rPr>
          <w:rFonts w:hint="eastAsia" w:asciiTheme="minorEastAsia" w:hAnsiTheme="minorEastAsia" w:eastAsiaTheme="minorEastAsia" w:cstheme="minorEastAsia"/>
          <w:bCs/>
          <w:color w:val="auto"/>
          <w:highlight w:val="none"/>
        </w:rPr>
        <w:t>格式自拟，或参照《符合&lt;中华人民共和国政府采购法&gt;第二十二条规定的条件的承诺及声明函》的格式提供承诺函</w:t>
      </w:r>
      <w:r>
        <w:rPr>
          <w:rFonts w:hint="eastAsia"/>
          <w:color w:val="auto"/>
          <w:highlight w:val="none"/>
        </w:rPr>
        <w:t>。</w:t>
      </w:r>
    </w:p>
    <w:p>
      <w:pPr>
        <w:pStyle w:val="41"/>
        <w:numPr>
          <w:ilvl w:val="1"/>
          <w:numId w:val="24"/>
        </w:numPr>
        <w:ind w:firstLine="482"/>
        <w:rPr>
          <w:b/>
          <w:bCs/>
          <w:color w:val="auto"/>
          <w:highlight w:val="none"/>
        </w:rPr>
      </w:pPr>
      <w:r>
        <w:rPr>
          <w:rFonts w:hint="eastAsia"/>
          <w:b/>
          <w:bCs/>
          <w:color w:val="auto"/>
          <w:highlight w:val="none"/>
        </w:rPr>
        <w:t>供应商具有依法缴纳税收和社会保障资金的良好记录的证明材料；</w:t>
      </w:r>
    </w:p>
    <w:p>
      <w:pPr>
        <w:pStyle w:val="43"/>
        <w:numPr>
          <w:ilvl w:val="2"/>
          <w:numId w:val="0"/>
        </w:numPr>
        <w:ind w:left="480" w:leftChars="200"/>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2"/>
        <w:ind w:firstLine="482"/>
        <w:rPr>
          <w:color w:val="auto"/>
          <w:highlight w:val="none"/>
        </w:rPr>
      </w:pPr>
      <w:r>
        <w:rPr>
          <w:rFonts w:hint="eastAsia"/>
          <w:color w:val="auto"/>
          <w:highlight w:val="none"/>
        </w:rPr>
        <w:t>注：</w:t>
      </w:r>
      <w:r>
        <w:rPr>
          <w:rFonts w:hint="eastAsia" w:asciiTheme="minorEastAsia" w:hAnsiTheme="minorEastAsia" w:eastAsiaTheme="minorEastAsia" w:cstheme="minorEastAsia"/>
          <w:bCs/>
          <w:color w:val="auto"/>
          <w:highlight w:val="none"/>
        </w:rPr>
        <w:t>格式自拟，或参照《符合&lt;中华人民共和国政府采购法&gt;第二十二条规定的条件的承诺及声明函》的格式提供承诺函</w:t>
      </w:r>
      <w:r>
        <w:rPr>
          <w:rFonts w:hint="eastAsia"/>
          <w:color w:val="auto"/>
          <w:highlight w:val="none"/>
        </w:rPr>
        <w:t>。</w:t>
      </w:r>
    </w:p>
    <w:p>
      <w:pPr>
        <w:pStyle w:val="41"/>
        <w:numPr>
          <w:ilvl w:val="1"/>
          <w:numId w:val="24"/>
        </w:numPr>
        <w:ind w:firstLine="482"/>
        <w:rPr>
          <w:b/>
          <w:bCs/>
          <w:color w:val="auto"/>
          <w:highlight w:val="none"/>
        </w:rPr>
      </w:pPr>
      <w:r>
        <w:rPr>
          <w:rFonts w:hint="eastAsia"/>
          <w:b/>
          <w:bCs/>
          <w:color w:val="auto"/>
          <w:highlight w:val="none"/>
        </w:rPr>
        <w:t>供应商参加政府采购活动前三年内，在经营活动中没有重大违法记录的证明材料；</w:t>
      </w:r>
    </w:p>
    <w:p>
      <w:pPr>
        <w:pStyle w:val="34"/>
        <w:rPr>
          <w:color w:val="auto"/>
          <w:highlight w:val="none"/>
        </w:rPr>
      </w:pPr>
      <w:r>
        <w:rPr>
          <w:rFonts w:hint="eastAsia"/>
          <w:color w:val="auto"/>
          <w:highlight w:val="none"/>
        </w:rPr>
        <w:t>提供参加本次政府采购活动前三年内，在经营活动中没有重大违法记录的书面声明(成立不足三年的，从成立之日起计算)。</w:t>
      </w:r>
    </w:p>
    <w:p>
      <w:pPr>
        <w:pStyle w:val="41"/>
        <w:adjustRightInd/>
        <w:snapToGrid/>
        <w:ind w:firstLine="482"/>
        <w:rPr>
          <w:b/>
          <w:bCs/>
          <w:color w:val="auto"/>
          <w:highlight w:val="none"/>
        </w:rPr>
      </w:pPr>
      <w:r>
        <w:rPr>
          <w:rFonts w:hint="eastAsia"/>
          <w:b/>
          <w:bCs/>
          <w:color w:val="auto"/>
          <w:highlight w:val="none"/>
        </w:rPr>
        <w:t>供应商</w:t>
      </w:r>
      <w:r>
        <w:rPr>
          <w:rFonts w:hint="eastAsia"/>
          <w:b/>
          <w:bCs/>
          <w:color w:val="auto"/>
          <w:highlight w:val="none"/>
          <w:lang w:val="zh-CN"/>
        </w:rPr>
        <w:t>及其现任法定代表人、主要负责人不得具有行贿犯罪记录</w:t>
      </w:r>
      <w:r>
        <w:rPr>
          <w:rFonts w:hint="eastAsia"/>
          <w:b/>
          <w:bCs/>
          <w:color w:val="auto"/>
          <w:highlight w:val="none"/>
        </w:rPr>
        <w:t>的证明材料</w:t>
      </w:r>
      <w:r>
        <w:rPr>
          <w:rFonts w:hint="eastAsia"/>
          <w:b/>
          <w:bCs/>
          <w:color w:val="auto"/>
          <w:highlight w:val="none"/>
          <w:lang w:val="zh-CN"/>
        </w:rPr>
        <w:t>；</w:t>
      </w:r>
    </w:p>
    <w:p>
      <w:pPr>
        <w:pStyle w:val="52"/>
        <w:jc w:val="both"/>
        <w:rPr>
          <w:b w:val="0"/>
          <w:bCs/>
          <w:color w:val="auto"/>
          <w:highlight w:val="none"/>
        </w:rPr>
      </w:pPr>
      <w:r>
        <w:rPr>
          <w:rFonts w:hint="eastAsia"/>
          <w:b w:val="0"/>
          <w:bCs/>
          <w:color w:val="auto"/>
          <w:highlight w:val="none"/>
        </w:rPr>
        <w:t>1.在响应文件中作出供应商及其现任法定代表人(姓名和身份证号码)、主要负责人(姓名和身份证号码)10年内(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52"/>
        <w:jc w:val="both"/>
        <w:rPr>
          <w:b w:val="0"/>
          <w:bCs/>
          <w:color w:val="auto"/>
          <w:highlight w:val="none"/>
          <w:lang w:val="zh-CN"/>
        </w:rPr>
      </w:pPr>
      <w:r>
        <w:rPr>
          <w:rFonts w:hint="eastAsia"/>
          <w:b w:val="0"/>
          <w:bCs/>
          <w:color w:val="auto"/>
          <w:highlight w:val="none"/>
        </w:rPr>
        <w:t>2.供应商未提供有效承诺函的，则需要在响应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33"/>
        <w:numPr>
          <w:ilvl w:val="3"/>
          <w:numId w:val="0"/>
        </w:numPr>
        <w:ind w:firstLine="482" w:firstLineChars="200"/>
        <w:rPr>
          <w:color w:val="auto"/>
          <w:highlight w:val="none"/>
        </w:rPr>
      </w:pPr>
      <w:r>
        <w:rPr>
          <w:rFonts w:hint="eastAsia"/>
          <w:b/>
          <w:bCs/>
          <w:color w:val="auto"/>
          <w:highlight w:val="none"/>
        </w:rPr>
        <w:t>注：①供应商采用提供承诺函方式响应的，其内容必须符合上述第1款的要求，否则将视为无效承诺；②如供应商未提供有效承诺函，且未</w:t>
      </w:r>
      <w:r>
        <w:rPr>
          <w:rFonts w:hint="eastAsia"/>
          <w:b/>
          <w:color w:val="auto"/>
          <w:highlight w:val="none"/>
        </w:rPr>
        <w:t>在响应文件中书面载明</w:t>
      </w:r>
      <w:r>
        <w:rPr>
          <w:rFonts w:hint="eastAsia"/>
          <w:b/>
          <w:bCs/>
          <w:color w:val="auto"/>
          <w:highlight w:val="none"/>
        </w:rPr>
        <w:t>其“现任法定代表人”(姓名和身份证号码)、“主要负责人”(姓名和身份证号码)信息的，将被视为无效响应。</w:t>
      </w:r>
    </w:p>
    <w:p>
      <w:pPr>
        <w:pStyle w:val="41"/>
        <w:ind w:firstLine="482"/>
        <w:rPr>
          <w:b/>
          <w:bCs/>
          <w:color w:val="auto"/>
          <w:highlight w:val="none"/>
        </w:rPr>
      </w:pPr>
      <w:r>
        <w:rPr>
          <w:rFonts w:hint="eastAsia"/>
          <w:b/>
          <w:bCs/>
          <w:color w:val="auto"/>
          <w:highlight w:val="none"/>
        </w:rPr>
        <w:t>法定代表人/单位负责人授权书原件；</w:t>
      </w:r>
    </w:p>
    <w:p>
      <w:pPr>
        <w:pStyle w:val="52"/>
        <w:ind w:firstLine="482"/>
        <w:rPr>
          <w:color w:val="auto"/>
          <w:highlight w:val="none"/>
        </w:rPr>
      </w:pPr>
      <w:r>
        <w:rPr>
          <w:rFonts w:hint="eastAsia"/>
          <w:color w:val="auto"/>
          <w:highlight w:val="none"/>
        </w:rPr>
        <w:t>注：①附法定代表人/单位负责人和被授权人身份证正反面复印件；②法定代表人/单位负责人亲自参与磋商时不需要提供。</w:t>
      </w:r>
    </w:p>
    <w:p>
      <w:pPr>
        <w:pStyle w:val="41"/>
        <w:ind w:firstLine="482"/>
        <w:rPr>
          <w:b/>
          <w:bCs/>
          <w:color w:val="auto"/>
          <w:highlight w:val="none"/>
        </w:rPr>
      </w:pPr>
      <w:r>
        <w:rPr>
          <w:rFonts w:hint="eastAsia"/>
          <w:b/>
          <w:bCs/>
          <w:color w:val="auto"/>
          <w:highlight w:val="none"/>
        </w:rPr>
        <w:t>法定代表人/单位负责人证明书；</w:t>
      </w:r>
    </w:p>
    <w:p>
      <w:pPr>
        <w:pStyle w:val="52"/>
        <w:ind w:firstLine="482"/>
        <w:rPr>
          <w:color w:val="auto"/>
          <w:highlight w:val="none"/>
        </w:rPr>
      </w:pPr>
      <w:r>
        <w:rPr>
          <w:rFonts w:hint="eastAsia"/>
          <w:color w:val="auto"/>
          <w:highlight w:val="none"/>
        </w:rPr>
        <w:t>注：①附法定代表人/单位负责人身份证正反面复印件；②法定代表人/单位负责人亲自参加磋商时提供本证明书。</w:t>
      </w:r>
    </w:p>
    <w:p>
      <w:pPr>
        <w:pStyle w:val="41"/>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34"/>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规规定的其他条件的承诺函。</w:t>
      </w:r>
    </w:p>
    <w:p>
      <w:pPr>
        <w:pStyle w:val="41"/>
        <w:ind w:firstLine="482"/>
        <w:rPr>
          <w:b/>
          <w:bCs/>
          <w:color w:val="auto"/>
          <w:highlight w:val="none"/>
        </w:rPr>
      </w:pPr>
      <w:r>
        <w:rPr>
          <w:rFonts w:hint="eastAsia"/>
          <w:b/>
          <w:bCs/>
          <w:color w:val="auto"/>
          <w:highlight w:val="none"/>
        </w:rPr>
        <w:t>根据采购项目的特殊要求，规定供应商的特定条件的证明材料；</w:t>
      </w:r>
    </w:p>
    <w:p>
      <w:pPr>
        <w:pStyle w:val="34"/>
        <w:rPr>
          <w:color w:val="auto"/>
          <w:highlight w:val="none"/>
        </w:rPr>
      </w:pPr>
      <w:r>
        <w:rPr>
          <w:rFonts w:hint="eastAsia"/>
          <w:color w:val="auto"/>
          <w:highlight w:val="none"/>
        </w:rPr>
        <w:t>1.提供国家行政主管部门颁发的有效期内的《医疗机构执业许可证》复印件；</w:t>
      </w:r>
    </w:p>
    <w:p>
      <w:pPr>
        <w:pStyle w:val="34"/>
        <w:rPr>
          <w:color w:val="auto"/>
          <w:highlight w:val="none"/>
        </w:rPr>
      </w:pPr>
      <w:r>
        <w:rPr>
          <w:rFonts w:hint="eastAsia"/>
          <w:color w:val="auto"/>
          <w:highlight w:val="none"/>
        </w:rPr>
        <w:t>2.提供未与其他供应商组成联合体参加本次采购活动的承诺函。</w:t>
      </w:r>
    </w:p>
    <w:p>
      <w:pPr>
        <w:pStyle w:val="34"/>
        <w:ind w:firstLine="482"/>
        <w:rPr>
          <w:color w:val="auto"/>
          <w:highlight w:val="none"/>
        </w:rPr>
      </w:pPr>
      <w:r>
        <w:rPr>
          <w:rFonts w:hint="eastAsia" w:cs="宋体" w:asciiTheme="minorEastAsia" w:hAnsiTheme="minorEastAsia" w:eastAsiaTheme="minorEastAsia"/>
          <w:b/>
          <w:bCs/>
          <w:color w:val="auto"/>
          <w:highlight w:val="none"/>
        </w:rPr>
        <w:t>注：承诺函格式自拟，或参照《符合&lt;中华人民共和国政府采购法&gt;第二十二条规定的条件的承诺及声明函》的格式提供承诺函。</w:t>
      </w:r>
    </w:p>
    <w:p>
      <w:pPr>
        <w:pStyle w:val="52"/>
        <w:ind w:firstLine="482"/>
        <w:rPr>
          <w:color w:val="auto"/>
          <w:highlight w:val="none"/>
        </w:rPr>
      </w:pPr>
      <w:r>
        <w:rPr>
          <w:rFonts w:hint="eastAsia"/>
          <w:color w:val="auto"/>
          <w:highlight w:val="none"/>
        </w:rPr>
        <w:t>说明：①供应商提供的以上资格证明材料及其他类似效力要求的相关证明材料均应加盖供应商公章，否则资格审查将视为未通过。本项目资格审查仅限于本章涉及的所有内容，若供应商未按照以上要求提供齐全，其资格审查作未通过处理。</w:t>
      </w:r>
    </w:p>
    <w:p>
      <w:pPr>
        <w:pStyle w:val="52"/>
        <w:ind w:firstLine="482"/>
        <w:rPr>
          <w:color w:val="auto"/>
          <w:highlight w:val="none"/>
        </w:rPr>
      </w:pPr>
      <w:r>
        <w:rPr>
          <w:rFonts w:hint="eastAsia"/>
          <w:color w:val="auto"/>
          <w:highlight w:val="none"/>
        </w:rPr>
        <w:t>②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2"/>
        <w:ind w:firstLine="482"/>
        <w:rPr>
          <w:color w:val="auto"/>
          <w:highlight w:val="none"/>
        </w:rPr>
      </w:pPr>
      <w:r>
        <w:rPr>
          <w:rFonts w:hint="eastAsia"/>
          <w:color w:val="auto"/>
          <w:highlight w:val="none"/>
        </w:rPr>
        <w:t>③重大违法记录中的较大数额罚款的具体金额标准及范围是：根据</w:t>
      </w:r>
      <w:bookmarkStart w:id="312" w:name="sendNo"/>
      <w:r>
        <w:rPr>
          <w:rFonts w:hint="eastAsia"/>
          <w:color w:val="auto"/>
          <w:highlight w:val="none"/>
        </w:rPr>
        <w:t>财库〔2022〕3 号</w:t>
      </w:r>
      <w:bookmarkEnd w:id="312"/>
      <w:r>
        <w:rPr>
          <w:rFonts w:hint="eastAsia"/>
          <w:color w:val="auto"/>
          <w:highlight w:val="none"/>
        </w:rPr>
        <w:t>文件关于“较大数额罚款”认定为200万元以上的罚款，法律、行政法规以及国务院有关部门明确规定相关领域“较大数额罚款”标准高于200万元的，从其规定。</w:t>
      </w:r>
    </w:p>
    <w:p>
      <w:pPr>
        <w:pStyle w:val="52"/>
        <w:ind w:firstLine="482"/>
        <w:rPr>
          <w:color w:val="auto"/>
          <w:highlight w:val="none"/>
        </w:rPr>
      </w:pPr>
      <w:r>
        <w:rPr>
          <w:rFonts w:hint="eastAsia"/>
          <w:color w:val="auto"/>
          <w:highlight w:val="none"/>
        </w:rPr>
        <w:t>④供应商应对其所提供的资格证明材料来源的合法性、真实性承担法律责任。</w:t>
      </w:r>
    </w:p>
    <w:p>
      <w:pPr>
        <w:pStyle w:val="52"/>
        <w:ind w:firstLine="482"/>
        <w:rPr>
          <w:color w:val="auto"/>
          <w:highlight w:val="none"/>
        </w:rPr>
      </w:pPr>
      <w:r>
        <w:rPr>
          <w:rFonts w:hint="eastAsia"/>
          <w:color w:val="auto"/>
          <w:highlight w:val="none"/>
        </w:rPr>
        <w:fldChar w:fldCharType="begin"/>
      </w:r>
      <w:r>
        <w:rPr>
          <w:rFonts w:hint="eastAsia"/>
          <w:color w:val="auto"/>
          <w:highlight w:val="none"/>
        </w:rPr>
        <w:instrText xml:space="preserve"> = 5 \* GB3 \* MERGEFORMAT </w:instrText>
      </w:r>
      <w:r>
        <w:rPr>
          <w:rFonts w:hint="eastAsia"/>
          <w:color w:val="auto"/>
          <w:highlight w:val="none"/>
        </w:rPr>
        <w:fldChar w:fldCharType="separate"/>
      </w:r>
      <w:r>
        <w:rPr>
          <w:rFonts w:hint="eastAsia"/>
          <w:color w:val="auto"/>
          <w:highlight w:val="none"/>
        </w:rPr>
        <w:t>⑤</w:t>
      </w:r>
      <w:r>
        <w:rPr>
          <w:rFonts w:hint="eastAsia"/>
          <w:color w:val="auto"/>
          <w:highlight w:val="none"/>
        </w:rPr>
        <w:fldChar w:fldCharType="end"/>
      </w:r>
      <w:r>
        <w:rPr>
          <w:rFonts w:hint="eastAsia"/>
          <w:color w:val="auto"/>
          <w:highlight w:val="none"/>
        </w:rPr>
        <w:t>以上承诺及声明函可参照第三章响应文件格式“承诺及声明函”格式或自拟格式填写均有效。</w:t>
      </w:r>
    </w:p>
    <w:p>
      <w:pPr>
        <w:pStyle w:val="52"/>
        <w:ind w:firstLine="482"/>
        <w:rPr>
          <w:color w:val="auto"/>
          <w:highlight w:val="none"/>
        </w:rPr>
      </w:pPr>
      <w:r>
        <w:rPr>
          <w:rFonts w:hint="eastAsia"/>
          <w:color w:val="auto"/>
          <w:highlight w:val="none"/>
        </w:rPr>
        <w:fldChar w:fldCharType="begin"/>
      </w:r>
      <w:r>
        <w:rPr>
          <w:rFonts w:hint="eastAsia"/>
          <w:color w:val="auto"/>
          <w:highlight w:val="none"/>
        </w:rPr>
        <w:instrText xml:space="preserve"> = 6 \* GB3 \* MERGEFORMAT </w:instrText>
      </w:r>
      <w:r>
        <w:rPr>
          <w:rFonts w:hint="eastAsia"/>
          <w:color w:val="auto"/>
          <w:highlight w:val="none"/>
        </w:rPr>
        <w:fldChar w:fldCharType="separate"/>
      </w:r>
      <w:r>
        <w:rPr>
          <w:rFonts w:hint="eastAsia"/>
          <w:color w:val="auto"/>
          <w:highlight w:val="none"/>
        </w:rPr>
        <w:t>⑥</w:t>
      </w:r>
      <w:r>
        <w:rPr>
          <w:rFonts w:hint="eastAsia"/>
          <w:color w:val="auto"/>
          <w:highlight w:val="none"/>
        </w:rPr>
        <w:fldChar w:fldCharType="end"/>
      </w:r>
      <w:r>
        <w:rPr>
          <w:rFonts w:hint="eastAsia"/>
          <w:color w:val="auto"/>
          <w:highlight w:val="none"/>
        </w:rPr>
        <w:t>本章要求提供的相关证明材料应当结合采购项目具体情况和供应商的组织机构性质确定，不得一概而论。</w:t>
      </w:r>
    </w:p>
    <w:bookmarkEnd w:id="311"/>
    <w:p>
      <w:pPr>
        <w:rPr>
          <w:color w:val="auto"/>
          <w:highlight w:val="none"/>
        </w:rPr>
      </w:pPr>
      <w:r>
        <w:rPr>
          <w:rFonts w:hint="eastAsia" w:asciiTheme="minorEastAsia" w:hAnsiTheme="minorEastAsia" w:eastAsiaTheme="minorEastAsia" w:cstheme="minorEastAsia"/>
          <w:color w:val="auto"/>
          <w:sz w:val="36"/>
          <w:szCs w:val="36"/>
          <w:highlight w:val="none"/>
        </w:rPr>
        <w:br w:type="page"/>
      </w:r>
    </w:p>
    <w:p>
      <w:pPr>
        <w:pStyle w:val="29"/>
        <w:spacing w:before="120" w:after="120"/>
        <w:rPr>
          <w:color w:val="auto"/>
          <w:highlight w:val="none"/>
        </w:rPr>
      </w:pPr>
      <w:bookmarkStart w:id="313" w:name="_Toc24832"/>
      <w:bookmarkStart w:id="314" w:name="_Toc509579145"/>
      <w:bookmarkStart w:id="315" w:name="_Toc41037907"/>
      <w:bookmarkStart w:id="316" w:name="_Toc12577"/>
      <w:r>
        <w:rPr>
          <w:rFonts w:hint="eastAsia"/>
          <w:color w:val="auto"/>
          <w:highlight w:val="none"/>
        </w:rPr>
        <w:t>磋商内容、磋商过程中可实质性变动的内容</w:t>
      </w:r>
      <w:bookmarkEnd w:id="313"/>
      <w:bookmarkEnd w:id="314"/>
      <w:bookmarkEnd w:id="315"/>
      <w:bookmarkEnd w:id="316"/>
    </w:p>
    <w:p>
      <w:pPr>
        <w:pStyle w:val="34"/>
        <w:rPr>
          <w:color w:val="auto"/>
          <w:highlight w:val="none"/>
        </w:rPr>
      </w:pPr>
      <w:r>
        <w:rPr>
          <w:rFonts w:hint="eastAsia"/>
          <w:color w:val="auto"/>
          <w:highlight w:val="none"/>
        </w:rPr>
        <w:t>针对本项目采购文件第六章、第八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rPr>
          <w:color w:val="auto"/>
          <w:highlight w:val="none"/>
        </w:rPr>
      </w:pPr>
      <w:r>
        <w:rPr>
          <w:rFonts w:hint="eastAsia"/>
          <w:color w:val="auto"/>
          <w:highlight w:val="none"/>
        </w:rPr>
        <w:br w:type="page"/>
      </w:r>
    </w:p>
    <w:p>
      <w:pPr>
        <w:pStyle w:val="29"/>
        <w:numPr>
          <w:ilvl w:val="0"/>
          <w:numId w:val="23"/>
        </w:numPr>
        <w:spacing w:before="120" w:after="120"/>
        <w:rPr>
          <w:color w:val="auto"/>
          <w:highlight w:val="none"/>
        </w:rPr>
      </w:pPr>
      <w:bookmarkStart w:id="317" w:name="_Toc22236"/>
      <w:r>
        <w:rPr>
          <w:rFonts w:hint="eastAsia" w:asciiTheme="minorEastAsia" w:hAnsiTheme="minorEastAsia" w:eastAsiaTheme="minorEastAsia" w:cstheme="minorEastAsia"/>
          <w:color w:val="auto"/>
          <w:szCs w:val="36"/>
          <w:highlight w:val="none"/>
        </w:rPr>
        <w:t>采购项目技术、服务、合同内容条款及商务要求</w:t>
      </w:r>
      <w:bookmarkEnd w:id="317"/>
    </w:p>
    <w:p>
      <w:pPr>
        <w:pStyle w:val="31"/>
        <w:ind w:firstLine="482"/>
        <w:rPr>
          <w:color w:val="auto"/>
          <w:highlight w:val="none"/>
        </w:rPr>
      </w:pPr>
      <w:bookmarkStart w:id="318" w:name="_Toc27374"/>
      <w:bookmarkStart w:id="319" w:name="_Toc18478"/>
      <w:bookmarkStart w:id="320" w:name="_Toc1684"/>
      <w:bookmarkStart w:id="321" w:name="_Toc28932"/>
      <w:bookmarkStart w:id="322" w:name="_Toc27469"/>
      <w:bookmarkStart w:id="323" w:name="_Toc319439948"/>
      <w:bookmarkStart w:id="324" w:name="_Toc307501157"/>
      <w:bookmarkStart w:id="325" w:name="_Toc23360"/>
      <w:bookmarkStart w:id="326" w:name="_Toc309897566"/>
      <w:bookmarkStart w:id="327" w:name="_Toc327196343"/>
      <w:bookmarkStart w:id="328" w:name="_Toc1839"/>
      <w:bookmarkStart w:id="329" w:name="_Toc1541"/>
      <w:bookmarkStart w:id="330" w:name="_Toc32159"/>
      <w:bookmarkStart w:id="331" w:name="_Toc217446060"/>
      <w:bookmarkStart w:id="332" w:name="_Toc308188201"/>
      <w:bookmarkStart w:id="333" w:name="_Toc217446099"/>
      <w:bookmarkStart w:id="334" w:name="_Toc307564899"/>
      <w:bookmarkStart w:id="335" w:name="_Toc308084648"/>
      <w:bookmarkStart w:id="336" w:name="_Toc12025"/>
      <w:bookmarkStart w:id="337" w:name="_Toc319440192"/>
      <w:bookmarkStart w:id="338" w:name="_Toc29864"/>
      <w:r>
        <w:rPr>
          <w:rFonts w:hint="eastAsia"/>
          <w:color w:val="auto"/>
          <w:highlight w:val="none"/>
        </w:rPr>
        <w:t>项目概况</w:t>
      </w:r>
      <w:bookmarkEnd w:id="318"/>
      <w:bookmarkEnd w:id="319"/>
    </w:p>
    <w:p>
      <w:pPr>
        <w:pStyle w:val="30"/>
        <w:ind w:firstLine="480" w:firstLineChars="200"/>
        <w:rPr>
          <w:rFonts w:hint="eastAsia"/>
          <w:color w:val="auto"/>
          <w:highlight w:val="none"/>
          <w:lang w:eastAsia="zh-CN"/>
        </w:rPr>
      </w:pPr>
      <w:r>
        <w:rPr>
          <w:rFonts w:hint="eastAsia"/>
          <w:color w:val="auto"/>
          <w:highlight w:val="none"/>
        </w:rPr>
        <w:t>为保障成都市技师学院本部校区和西校区学校医务室常规医疗就诊服务、疾病防控服务、应急服务、医学试验相关服务(PPD结核菌素试验、核酸检测等)和上级管理机构要求临时或新增的的医疗卫生相关服务，采购人教育教学工作的正常运行。拟</w:t>
      </w:r>
      <w:r>
        <w:rPr>
          <w:rFonts w:hint="eastAsia"/>
          <w:color w:val="auto"/>
          <w:highlight w:val="none"/>
          <w:lang w:val="en-US" w:eastAsia="zh-CN"/>
        </w:rPr>
        <w:t>通过政府采购方式</w:t>
      </w:r>
      <w:r>
        <w:rPr>
          <w:rFonts w:hint="eastAsia"/>
          <w:color w:val="auto"/>
          <w:highlight w:val="none"/>
        </w:rPr>
        <w:t>确定一名供应商为采购人师生提供一年的医疗卫生服务</w:t>
      </w:r>
      <w:r>
        <w:rPr>
          <w:rFonts w:hint="eastAsia"/>
          <w:color w:val="auto"/>
          <w:highlight w:val="none"/>
          <w:lang w:eastAsia="zh-CN"/>
        </w:rPr>
        <w:t>。</w:t>
      </w:r>
    </w:p>
    <w:p>
      <w:pPr>
        <w:pStyle w:val="30"/>
        <w:ind w:firstLine="480" w:firstLineChars="200"/>
        <w:rPr>
          <w:color w:val="auto"/>
          <w:highlight w:val="none"/>
        </w:rPr>
      </w:pPr>
      <w:r>
        <w:rPr>
          <w:rFonts w:hint="eastAsia"/>
          <w:color w:val="auto"/>
          <w:highlight w:val="none"/>
        </w:rPr>
        <w:t>采购人本部校区现有师生8000余人，西校区现有师生3000余人。采购人为供应商提供的场地：本部校区医务室占地面积约60平方米，西校区医务室占地面积约88.75平方米。</w:t>
      </w:r>
    </w:p>
    <w:p>
      <w:pPr>
        <w:pStyle w:val="31"/>
        <w:ind w:firstLine="482"/>
        <w:rPr>
          <w:color w:val="auto"/>
          <w:highlight w:val="none"/>
        </w:rPr>
      </w:pPr>
      <w:bookmarkStart w:id="339" w:name="_Toc15303"/>
      <w:bookmarkStart w:id="340" w:name="_Toc12968"/>
      <w:bookmarkStart w:id="341" w:name="_Toc30785"/>
      <w:bookmarkStart w:id="342" w:name="_Toc32700"/>
      <w:r>
        <w:rPr>
          <w:rFonts w:hint="eastAsia"/>
          <w:color w:val="auto"/>
          <w:highlight w:val="none"/>
        </w:rPr>
        <w:t>服务内容及要求</w:t>
      </w:r>
      <w:bookmarkEnd w:id="339"/>
      <w:bookmarkEnd w:id="340"/>
      <w:bookmarkEnd w:id="341"/>
      <w:bookmarkEnd w:id="342"/>
    </w:p>
    <w:p>
      <w:pPr>
        <w:pStyle w:val="41"/>
        <w:numPr>
          <w:ilvl w:val="1"/>
          <w:numId w:val="0"/>
        </w:numPr>
        <w:ind w:firstLine="480" w:firstLineChars="200"/>
        <w:rPr>
          <w:rFonts w:cs="宋体"/>
          <w:color w:val="auto"/>
          <w:highlight w:val="none"/>
        </w:rPr>
      </w:pPr>
      <w:r>
        <w:rPr>
          <w:rFonts w:hint="eastAsia" w:cs="宋体"/>
          <w:color w:val="auto"/>
          <w:highlight w:val="none"/>
        </w:rPr>
        <w:t>1.★医疗卫生服务时间</w:t>
      </w:r>
    </w:p>
    <w:p>
      <w:pPr>
        <w:pStyle w:val="41"/>
        <w:numPr>
          <w:ilvl w:val="1"/>
          <w:numId w:val="0"/>
        </w:numPr>
        <w:ind w:firstLine="480" w:firstLineChars="200"/>
        <w:rPr>
          <w:rFonts w:cs="宋体"/>
          <w:color w:val="auto"/>
          <w:highlight w:val="none"/>
        </w:rPr>
      </w:pPr>
      <w:r>
        <w:rPr>
          <w:rFonts w:hint="eastAsia" w:cs="宋体"/>
          <w:color w:val="auto"/>
          <w:highlight w:val="none"/>
        </w:rPr>
        <w:t>1.1供应商提供全日(24小时)医疗卫生服务。</w:t>
      </w:r>
    </w:p>
    <w:p>
      <w:pPr>
        <w:pStyle w:val="41"/>
        <w:numPr>
          <w:ilvl w:val="1"/>
          <w:numId w:val="0"/>
        </w:numPr>
        <w:ind w:firstLine="480" w:firstLineChars="200"/>
        <w:rPr>
          <w:rFonts w:cs="宋体"/>
          <w:color w:val="auto"/>
          <w:highlight w:val="none"/>
        </w:rPr>
      </w:pPr>
      <w:r>
        <w:rPr>
          <w:rFonts w:hint="eastAsia" w:cs="宋体"/>
          <w:color w:val="auto"/>
          <w:highlight w:val="none"/>
        </w:rPr>
        <w:t xml:space="preserve">1.2供应商在学生返校时，按照疾控中心和采购人要求开展预检分诊和其他临时性医疗服务。返校时增加的预检分诊具体人员和时间按照采购人统一安排，且符合上级管理部门的部署要求。        </w:t>
      </w:r>
    </w:p>
    <w:p>
      <w:pPr>
        <w:pStyle w:val="41"/>
        <w:numPr>
          <w:ilvl w:val="1"/>
          <w:numId w:val="0"/>
        </w:numPr>
        <w:ind w:firstLine="480" w:firstLineChars="200"/>
        <w:rPr>
          <w:rFonts w:cs="宋体"/>
          <w:color w:val="auto"/>
          <w:highlight w:val="none"/>
        </w:rPr>
      </w:pPr>
      <w:r>
        <w:rPr>
          <w:rFonts w:hint="eastAsia" w:cs="宋体"/>
          <w:color w:val="auto"/>
          <w:highlight w:val="none"/>
        </w:rPr>
        <w:t>1.3.采购人放假期间，如需医疗保障，供应商则按照采购人要求到校或到指定的地方进行医疗保障服务。</w:t>
      </w:r>
    </w:p>
    <w:p>
      <w:pPr>
        <w:pStyle w:val="41"/>
        <w:numPr>
          <w:ilvl w:val="1"/>
          <w:numId w:val="0"/>
        </w:numPr>
        <w:ind w:firstLine="480" w:firstLineChars="200"/>
        <w:rPr>
          <w:rFonts w:cs="宋体"/>
          <w:color w:val="auto"/>
          <w:highlight w:val="none"/>
        </w:rPr>
      </w:pPr>
      <w:r>
        <w:rPr>
          <w:rFonts w:hint="eastAsia" w:cs="宋体"/>
          <w:color w:val="auto"/>
          <w:highlight w:val="none"/>
        </w:rPr>
        <w:t>2.供应商提供的校园医疗室服务不得设置不符合执业许可范围要求的业务。</w:t>
      </w:r>
    </w:p>
    <w:p>
      <w:pPr>
        <w:pStyle w:val="41"/>
        <w:numPr>
          <w:ilvl w:val="1"/>
          <w:numId w:val="0"/>
        </w:numPr>
        <w:ind w:firstLine="480" w:firstLineChars="200"/>
        <w:rPr>
          <w:rFonts w:cs="宋体"/>
          <w:color w:val="auto"/>
          <w:highlight w:val="none"/>
        </w:rPr>
      </w:pPr>
      <w:r>
        <w:rPr>
          <w:rFonts w:hint="eastAsia" w:cs="宋体"/>
          <w:color w:val="auto"/>
          <w:highlight w:val="none"/>
        </w:rPr>
        <w:t>3.★供应商安排的在校医生应具有紧急救护和处理突发医疗事件的能力和资质。</w:t>
      </w:r>
    </w:p>
    <w:p>
      <w:pPr>
        <w:pStyle w:val="41"/>
        <w:numPr>
          <w:ilvl w:val="1"/>
          <w:numId w:val="0"/>
        </w:numPr>
        <w:ind w:firstLine="480" w:firstLineChars="200"/>
        <w:rPr>
          <w:rFonts w:cs="宋体"/>
          <w:color w:val="auto"/>
          <w:highlight w:val="none"/>
        </w:rPr>
      </w:pPr>
      <w:r>
        <w:rPr>
          <w:rFonts w:hint="eastAsia" w:cs="宋体"/>
          <w:color w:val="auto"/>
          <w:highlight w:val="none"/>
        </w:rPr>
        <w:t>4.配合采购人开展疾病防控工作，对进入留观室、隔离室的学生进行常规观察，如测量体温、血压等，并对隔离室进行管理，严格按照隔离室管理制度开展工作。如隔离室有入住人员，需有至少1名医护人员住在隔离室进行观测，对隔离室进行管理，并且如实做好观测记录。</w:t>
      </w:r>
    </w:p>
    <w:p>
      <w:pPr>
        <w:pStyle w:val="41"/>
        <w:numPr>
          <w:ilvl w:val="1"/>
          <w:numId w:val="0"/>
        </w:numPr>
        <w:ind w:firstLine="480" w:firstLineChars="200"/>
        <w:rPr>
          <w:rFonts w:cs="宋体"/>
          <w:color w:val="auto"/>
          <w:highlight w:val="none"/>
        </w:rPr>
      </w:pPr>
      <w:r>
        <w:rPr>
          <w:rFonts w:hint="eastAsia" w:cs="宋体"/>
          <w:color w:val="auto"/>
          <w:highlight w:val="none"/>
        </w:rPr>
        <w:t>5.协助采购人完成上级主管部门要求开展的疾病防控和医务工作，为学生开展免费健康教育讲座不少于4次。</w:t>
      </w:r>
    </w:p>
    <w:p>
      <w:pPr>
        <w:pStyle w:val="41"/>
        <w:numPr>
          <w:ilvl w:val="1"/>
          <w:numId w:val="0"/>
        </w:numPr>
        <w:ind w:firstLine="480" w:firstLineChars="200"/>
        <w:rPr>
          <w:rFonts w:cs="宋体"/>
          <w:color w:val="auto"/>
          <w:highlight w:val="none"/>
        </w:rPr>
      </w:pPr>
      <w:r>
        <w:rPr>
          <w:rFonts w:hint="eastAsia" w:cs="宋体"/>
          <w:color w:val="auto"/>
          <w:highlight w:val="none"/>
        </w:rPr>
        <w:t>6.医务室所需的设施设备由供应商负责提供(采购人的医务室现有基本配置包括桌椅、检查床、药柜)，同时负责校园医疗服务所需的网络搭建、网络使用等费用。</w:t>
      </w:r>
    </w:p>
    <w:p>
      <w:pPr>
        <w:pStyle w:val="41"/>
        <w:numPr>
          <w:ilvl w:val="1"/>
          <w:numId w:val="0"/>
        </w:numPr>
        <w:ind w:firstLine="480" w:firstLineChars="200"/>
        <w:rPr>
          <w:rFonts w:cs="宋体"/>
          <w:color w:val="auto"/>
          <w:highlight w:val="none"/>
        </w:rPr>
      </w:pPr>
      <w:r>
        <w:rPr>
          <w:rFonts w:hint="eastAsia" w:cs="宋体"/>
          <w:color w:val="auto"/>
          <w:highlight w:val="none"/>
        </w:rPr>
        <w:t>7.药品及其他医疗服务用品由供应商提供。学生就诊所产生的费用单价价格(如药费、检查费等)不能高于供应商医疗卫生机构的价格。</w:t>
      </w:r>
    </w:p>
    <w:p>
      <w:pPr>
        <w:pStyle w:val="41"/>
        <w:numPr>
          <w:ilvl w:val="1"/>
          <w:numId w:val="0"/>
        </w:numPr>
        <w:ind w:firstLine="480" w:firstLineChars="200"/>
        <w:rPr>
          <w:rFonts w:cs="宋体"/>
          <w:color w:val="auto"/>
          <w:highlight w:val="none"/>
        </w:rPr>
      </w:pPr>
      <w:r>
        <w:rPr>
          <w:rFonts w:hint="eastAsia" w:cs="宋体"/>
          <w:color w:val="auto"/>
          <w:highlight w:val="none"/>
        </w:rPr>
        <w:t>8.★活动或竞赛医疗卫生保障</w:t>
      </w:r>
    </w:p>
    <w:p>
      <w:pPr>
        <w:pStyle w:val="41"/>
        <w:numPr>
          <w:ilvl w:val="1"/>
          <w:numId w:val="0"/>
        </w:numPr>
        <w:ind w:firstLine="480" w:firstLineChars="200"/>
        <w:rPr>
          <w:rFonts w:cs="宋体"/>
          <w:color w:val="auto"/>
          <w:highlight w:val="none"/>
        </w:rPr>
      </w:pPr>
      <w:r>
        <w:rPr>
          <w:rFonts w:hint="eastAsia" w:cs="宋体"/>
          <w:color w:val="auto"/>
          <w:highlight w:val="none"/>
        </w:rPr>
        <w:t>8.1采购人承办或组织的培训、竞赛、考试、运动会、军训等各类活动，供应商需按采购人要求提供医疗保障。</w:t>
      </w:r>
    </w:p>
    <w:p>
      <w:pPr>
        <w:pStyle w:val="41"/>
        <w:numPr>
          <w:ilvl w:val="1"/>
          <w:numId w:val="0"/>
        </w:numPr>
        <w:ind w:firstLine="480" w:firstLineChars="200"/>
        <w:rPr>
          <w:rFonts w:cs="宋体"/>
          <w:color w:val="auto"/>
          <w:highlight w:val="none"/>
        </w:rPr>
      </w:pPr>
      <w:r>
        <w:rPr>
          <w:rFonts w:hint="eastAsia" w:cs="宋体"/>
          <w:color w:val="auto"/>
          <w:highlight w:val="none"/>
        </w:rPr>
        <w:t>8.2活动或竞赛医疗保障，需要医生到现场的，在不抽调当日校内医务室医护人员的情况下，供应商按照采购人的要求新增医护人员完成该项医疗卫生保障(含医疗救护队)。</w:t>
      </w:r>
    </w:p>
    <w:p>
      <w:pPr>
        <w:pStyle w:val="41"/>
        <w:numPr>
          <w:ilvl w:val="1"/>
          <w:numId w:val="0"/>
        </w:numPr>
        <w:ind w:firstLine="480" w:firstLineChars="200"/>
        <w:rPr>
          <w:rFonts w:cs="宋体"/>
          <w:color w:val="auto"/>
          <w:highlight w:val="none"/>
        </w:rPr>
      </w:pPr>
      <w:r>
        <w:rPr>
          <w:rFonts w:hint="eastAsia" w:cs="宋体"/>
          <w:color w:val="auto"/>
          <w:highlight w:val="none"/>
        </w:rPr>
        <w:t>8.3军训期间，医疗急救队分别设立于本部校区和西校区，秋季入学约连续使用10天(秋季新生入学军训时间本部与西校区同步)，春季约15天(春季只涉及本部校区)。</w:t>
      </w:r>
    </w:p>
    <w:p>
      <w:pPr>
        <w:pStyle w:val="41"/>
        <w:numPr>
          <w:ilvl w:val="1"/>
          <w:numId w:val="0"/>
        </w:numPr>
        <w:ind w:firstLine="480" w:firstLineChars="200"/>
        <w:rPr>
          <w:rFonts w:cs="宋体"/>
          <w:color w:val="auto"/>
          <w:highlight w:val="none"/>
        </w:rPr>
      </w:pPr>
      <w:r>
        <w:rPr>
          <w:rFonts w:hint="eastAsia" w:cs="宋体"/>
          <w:color w:val="auto"/>
          <w:highlight w:val="none"/>
        </w:rPr>
        <w:t>8.4医疗急救队每队至少由1名医生、1名护士、1辆救护车组成。医疗急救队通常是在医疗卫生保障需要时使用，且该项目产生的费用由供应商支付。</w:t>
      </w:r>
    </w:p>
    <w:p>
      <w:pPr>
        <w:pStyle w:val="41"/>
        <w:numPr>
          <w:ilvl w:val="1"/>
          <w:numId w:val="0"/>
        </w:numPr>
        <w:ind w:firstLine="480" w:firstLineChars="200"/>
        <w:rPr>
          <w:rFonts w:cs="宋体"/>
          <w:color w:val="auto"/>
          <w:highlight w:val="none"/>
        </w:rPr>
      </w:pPr>
      <w:r>
        <w:rPr>
          <w:rFonts w:hint="eastAsia" w:cs="宋体"/>
          <w:color w:val="auto"/>
          <w:highlight w:val="none"/>
        </w:rPr>
        <w:t>9.采购人为供应商提供的医务室面积本部校区约60㎡，西校区约88.75㎡，医生值班室均设在医务室内。隔离室设有医护监管人员工作休息室1间。合作期间的水电费由采购人负责。</w:t>
      </w:r>
    </w:p>
    <w:p>
      <w:pPr>
        <w:pStyle w:val="41"/>
        <w:numPr>
          <w:ilvl w:val="1"/>
          <w:numId w:val="0"/>
        </w:numPr>
        <w:ind w:firstLine="480" w:firstLineChars="200"/>
        <w:rPr>
          <w:rFonts w:cs="宋体"/>
          <w:color w:val="auto"/>
          <w:highlight w:val="none"/>
        </w:rPr>
      </w:pPr>
      <w:r>
        <w:rPr>
          <w:rFonts w:hint="eastAsia" w:cs="宋体"/>
          <w:color w:val="auto"/>
          <w:highlight w:val="none"/>
        </w:rPr>
        <w:t>10.★本项目中，供应商必须确保与安排到采购人服务的工作人员存在劳动关系，同时，在服务过程中，采购人与供应商安排的服务人员无任何劳动关系或劳务派遣关系。供应商安排到采购人提供服务的工作人员的工资、社保、安全、就餐等费用均由供应商负责，工资不得低于当地最低要求。供应商因未向服务人员支付工资福利或缴纳五险一金等任何原因产生的法律责任(包括但不限于滞纳金、罚款和引发劳动争议产生的法定赔付)由供应商自行承担。因疫情或上级管理部门要求校区增加医护人员时，每校区增加人员在3人及以内的，该费用由供应商承担，采购人无需再支付任何费用。</w:t>
      </w:r>
    </w:p>
    <w:p>
      <w:pPr>
        <w:pStyle w:val="41"/>
        <w:numPr>
          <w:ilvl w:val="1"/>
          <w:numId w:val="0"/>
        </w:numPr>
        <w:ind w:firstLine="480" w:firstLineChars="200"/>
        <w:rPr>
          <w:rFonts w:cs="宋体"/>
          <w:color w:val="auto"/>
          <w:highlight w:val="none"/>
        </w:rPr>
      </w:pPr>
      <w:r>
        <w:rPr>
          <w:rFonts w:hint="eastAsia" w:cs="宋体"/>
          <w:color w:val="auto"/>
          <w:highlight w:val="none"/>
        </w:rPr>
        <w:t>11.★供应商为本项目配置的医护人员(含负责人)须不低于10人，副高及以上职称不少于1名，中级及以上职称不少于3名；其中负责人须具备中级及以上医师职称，且具有5年及以上临床工作经验，其余人员须具有临床工作3年及以上经验；每日各校区在岗人员不低于3名(1名医生、2名护士)。</w:t>
      </w:r>
    </w:p>
    <w:p>
      <w:pPr>
        <w:pStyle w:val="41"/>
        <w:numPr>
          <w:ilvl w:val="1"/>
          <w:numId w:val="0"/>
        </w:numPr>
        <w:ind w:firstLine="482" w:firstLineChars="200"/>
        <w:rPr>
          <w:rFonts w:cs="宋体"/>
          <w:b/>
          <w:bCs/>
          <w:color w:val="auto"/>
          <w:highlight w:val="none"/>
        </w:rPr>
      </w:pPr>
      <w:r>
        <w:rPr>
          <w:rFonts w:hint="eastAsia" w:cs="宋体"/>
          <w:b/>
          <w:bCs/>
          <w:color w:val="auto"/>
          <w:highlight w:val="none"/>
        </w:rPr>
        <w:t>说明：供应商</w:t>
      </w:r>
      <w:r>
        <w:rPr>
          <w:rFonts w:hint="eastAsia" w:cs="宋体"/>
          <w:b/>
          <w:bCs/>
          <w:color w:val="auto"/>
          <w:highlight w:val="none"/>
          <w:lang w:val="en-US" w:eastAsia="zh-CN"/>
        </w:rPr>
        <w:t>应在其他响应文件中</w:t>
      </w:r>
      <w:r>
        <w:rPr>
          <w:rFonts w:hint="eastAsia" w:cs="宋体"/>
          <w:b/>
          <w:bCs/>
          <w:color w:val="auto"/>
          <w:highlight w:val="none"/>
        </w:rPr>
        <w:t>提供拟配备医护人员的医疗机构统一注册证明、医护人员资格证及执业证，以及临床工作3年及以上经验(负责人为5年及以上临床工作经验)证明材料。</w:t>
      </w:r>
    </w:p>
    <w:p>
      <w:pPr>
        <w:pStyle w:val="41"/>
        <w:numPr>
          <w:ilvl w:val="1"/>
          <w:numId w:val="0"/>
        </w:numPr>
        <w:ind w:firstLine="480" w:firstLineChars="200"/>
        <w:rPr>
          <w:rFonts w:cs="宋体"/>
          <w:color w:val="auto"/>
          <w:highlight w:val="none"/>
        </w:rPr>
      </w:pPr>
      <w:r>
        <w:rPr>
          <w:rFonts w:hint="eastAsia" w:cs="宋体"/>
          <w:color w:val="auto"/>
          <w:highlight w:val="none"/>
        </w:rPr>
        <w:t>12.供应商组织本项目配置的医护人员在校工作期间参加医疗卫生机构的业务培训不得少于2次，参加培训和继续教育所产生的费用由供应商负责。</w:t>
      </w:r>
    </w:p>
    <w:p>
      <w:pPr>
        <w:pStyle w:val="41"/>
        <w:numPr>
          <w:ilvl w:val="1"/>
          <w:numId w:val="0"/>
        </w:numPr>
        <w:ind w:firstLine="480" w:firstLineChars="200"/>
        <w:rPr>
          <w:rFonts w:cs="宋体"/>
          <w:color w:val="auto"/>
          <w:highlight w:val="none"/>
        </w:rPr>
      </w:pPr>
      <w:r>
        <w:rPr>
          <w:rFonts w:hint="eastAsia" w:cs="宋体"/>
          <w:color w:val="auto"/>
          <w:highlight w:val="none"/>
        </w:rPr>
        <w:t>13.★供应商不得随意更换配置的医护人员，在非紧急的情况下需要更换，需提前5个工作日告知采购人并征得采购人同意。情况紧急时每日医护人员的值班名单需要变化(如：疫情防控需要医护人员被紧急抽调、医护人员自身身体不适等)，可以进行人员更换，但必须及时报采购人同意。</w:t>
      </w:r>
    </w:p>
    <w:p>
      <w:pPr>
        <w:pStyle w:val="41"/>
        <w:numPr>
          <w:ilvl w:val="1"/>
          <w:numId w:val="0"/>
        </w:numPr>
        <w:ind w:firstLine="480" w:firstLineChars="200"/>
        <w:rPr>
          <w:rFonts w:cs="宋体"/>
          <w:color w:val="auto"/>
          <w:highlight w:val="none"/>
        </w:rPr>
      </w:pPr>
      <w:r>
        <w:rPr>
          <w:rFonts w:hint="eastAsia" w:cs="宋体"/>
          <w:color w:val="auto"/>
          <w:highlight w:val="none"/>
        </w:rPr>
        <w:t>14.★供应商与环保部门签订《医疗垃圾处置协议》，协议产生的费用及医疗垃圾转运由供应商负责。</w:t>
      </w:r>
    </w:p>
    <w:p>
      <w:pPr>
        <w:pStyle w:val="41"/>
        <w:numPr>
          <w:ilvl w:val="1"/>
          <w:numId w:val="0"/>
        </w:numPr>
        <w:ind w:firstLine="480" w:firstLineChars="200"/>
        <w:rPr>
          <w:rFonts w:cs="宋体"/>
          <w:color w:val="auto"/>
          <w:highlight w:val="none"/>
        </w:rPr>
      </w:pPr>
      <w:r>
        <w:rPr>
          <w:rFonts w:hint="eastAsia" w:cs="宋体"/>
          <w:color w:val="auto"/>
          <w:highlight w:val="none"/>
        </w:rPr>
        <w:t>15.供应商不得拒绝为采购人的学生提供体检、结核菌素实验(PPD)、核酸检测、学校或上级部门其他临时性医疗服务相关的项目。收费不得高于供应商医院价格，该项目的费用原则上为学生自付。</w:t>
      </w:r>
    </w:p>
    <w:p>
      <w:pPr>
        <w:pStyle w:val="41"/>
        <w:numPr>
          <w:ilvl w:val="1"/>
          <w:numId w:val="0"/>
        </w:numPr>
        <w:ind w:firstLine="480" w:firstLineChars="200"/>
        <w:rPr>
          <w:rFonts w:cs="宋体"/>
          <w:color w:val="auto"/>
          <w:highlight w:val="none"/>
        </w:rPr>
      </w:pPr>
      <w:r>
        <w:rPr>
          <w:rFonts w:hint="eastAsia" w:cs="宋体"/>
          <w:color w:val="auto"/>
          <w:highlight w:val="none"/>
        </w:rPr>
        <w:t>16.★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pStyle w:val="41"/>
        <w:numPr>
          <w:ilvl w:val="1"/>
          <w:numId w:val="0"/>
        </w:numPr>
        <w:ind w:firstLine="480" w:firstLineChars="200"/>
        <w:rPr>
          <w:rFonts w:cs="宋体"/>
          <w:color w:val="auto"/>
          <w:highlight w:val="none"/>
        </w:rPr>
      </w:pPr>
      <w:r>
        <w:rPr>
          <w:rFonts w:hint="eastAsia" w:cs="宋体"/>
          <w:color w:val="auto"/>
          <w:highlight w:val="none"/>
        </w:rPr>
        <w:t>17.★供应商因自身经营等问题存在违约情形导致与采购方终止合同，供应商在校服务人员的所有事务(如：经济纠纷)皆由供应商自行解决。</w:t>
      </w:r>
    </w:p>
    <w:p>
      <w:pPr>
        <w:pStyle w:val="31"/>
        <w:ind w:firstLine="482"/>
        <w:rPr>
          <w:color w:val="auto"/>
          <w:highlight w:val="none"/>
        </w:rPr>
      </w:pPr>
      <w:bookmarkStart w:id="343" w:name="_Toc30834"/>
      <w:bookmarkStart w:id="344" w:name="_Toc29013"/>
      <w:bookmarkStart w:id="345" w:name="_Toc24338"/>
      <w:bookmarkStart w:id="346" w:name="_Toc9683"/>
      <w:bookmarkStart w:id="347" w:name="_Toc8752_WPSOffice_Level2"/>
      <w:bookmarkStart w:id="348" w:name="_Toc27497"/>
      <w:bookmarkStart w:id="349" w:name="_Toc7101"/>
      <w:bookmarkStart w:id="350" w:name="_Toc12739"/>
      <w:bookmarkStart w:id="351" w:name="_Toc6974"/>
      <w:r>
        <w:rPr>
          <w:rFonts w:hint="eastAsia"/>
          <w:color w:val="auto"/>
          <w:highlight w:val="none"/>
        </w:rPr>
        <w:t>★商务要求</w:t>
      </w:r>
      <w:bookmarkEnd w:id="343"/>
      <w:bookmarkEnd w:id="344"/>
    </w:p>
    <w:bookmarkEnd w:id="345"/>
    <w:p>
      <w:pPr>
        <w:pStyle w:val="41"/>
        <w:numPr>
          <w:ilvl w:val="1"/>
          <w:numId w:val="25"/>
        </w:numPr>
        <w:ind w:firstLine="482"/>
        <w:rPr>
          <w:b/>
          <w:bCs/>
          <w:color w:val="auto"/>
          <w:highlight w:val="none"/>
        </w:rPr>
      </w:pPr>
      <w:bookmarkStart w:id="352" w:name="_Toc8510"/>
      <w:r>
        <w:rPr>
          <w:rFonts w:hint="eastAsia"/>
          <w:b/>
          <w:bCs/>
          <w:color w:val="auto"/>
          <w:highlight w:val="none"/>
        </w:rPr>
        <w:t>履约期限和地点</w:t>
      </w:r>
      <w:bookmarkEnd w:id="352"/>
    </w:p>
    <w:p>
      <w:pPr>
        <w:pStyle w:val="33"/>
        <w:ind w:firstLine="480"/>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履约期限：自合同生效之日起一年。</w:t>
      </w:r>
    </w:p>
    <w:p>
      <w:pPr>
        <w:pStyle w:val="33"/>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履约地点：</w:t>
      </w:r>
    </w:p>
    <w:p>
      <w:pPr>
        <w:pStyle w:val="33"/>
        <w:numPr>
          <w:ilvl w:val="3"/>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本部地址：成都市郫都区红光街道港通北三路1899号；</w:t>
      </w:r>
    </w:p>
    <w:p>
      <w:pPr>
        <w:pStyle w:val="33"/>
        <w:numPr>
          <w:ilvl w:val="3"/>
          <w:numId w:val="0"/>
        </w:num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西校区地址：成都市郫都区红光街道高店路1666号</w:t>
      </w:r>
    </w:p>
    <w:p>
      <w:pPr>
        <w:pStyle w:val="41"/>
        <w:numPr>
          <w:ilvl w:val="1"/>
          <w:numId w:val="25"/>
        </w:numPr>
        <w:ind w:firstLine="482"/>
        <w:rPr>
          <w:rFonts w:asciiTheme="minorEastAsia" w:hAnsiTheme="minorEastAsia" w:eastAsiaTheme="minorEastAsia" w:cstheme="minorEastAsia"/>
          <w:b/>
          <w:bCs/>
          <w:color w:val="auto"/>
          <w:highlight w:val="none"/>
        </w:rPr>
      </w:pPr>
      <w:bookmarkStart w:id="353" w:name="_Toc19371"/>
      <w:r>
        <w:rPr>
          <w:rFonts w:hint="eastAsia" w:asciiTheme="minorEastAsia" w:hAnsiTheme="minorEastAsia" w:eastAsiaTheme="minorEastAsia" w:cstheme="minorEastAsia"/>
          <w:b/>
          <w:bCs/>
          <w:color w:val="auto"/>
          <w:highlight w:val="none"/>
        </w:rPr>
        <w:t>合同价款</w:t>
      </w:r>
      <w:bookmarkEnd w:id="353"/>
    </w:p>
    <w:p>
      <w:pPr>
        <w:wordWrap w:val="0"/>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交价为固定包干价，包括但不限于人工、提供服务需要的设备费、利润、保险、税费等与完成本项目有关的所有费用。本项目合同执行期间合同总价不变，采购人无须另向供应商支付本合同规定之外的其他任何费用。</w:t>
      </w:r>
    </w:p>
    <w:p>
      <w:pPr>
        <w:pStyle w:val="41"/>
        <w:numPr>
          <w:ilvl w:val="1"/>
          <w:numId w:val="25"/>
        </w:numPr>
        <w:ind w:firstLine="482"/>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付款方式</w:t>
      </w:r>
    </w:p>
    <w:p>
      <w:pPr>
        <w:pStyle w:val="33"/>
        <w:numPr>
          <w:ilvl w:val="3"/>
          <w:numId w:val="26"/>
        </w:numPr>
        <w:ind w:firstLine="480"/>
        <w:rPr>
          <w:rFonts w:asciiTheme="minorEastAsia" w:hAnsiTheme="minorEastAsia" w:eastAsiaTheme="minorEastAsia" w:cstheme="minorEastAsia"/>
          <w:bCs/>
          <w:color w:val="auto"/>
          <w:highlight w:val="none"/>
        </w:rPr>
      </w:pPr>
      <w:bookmarkStart w:id="354" w:name="_Toc10233"/>
      <w:bookmarkStart w:id="355" w:name="_Toc12890"/>
      <w:bookmarkStart w:id="356" w:name="_Toc27602"/>
      <w:r>
        <w:rPr>
          <w:rFonts w:hint="eastAsia" w:asciiTheme="minorEastAsia" w:hAnsiTheme="minorEastAsia" w:eastAsiaTheme="minorEastAsia" w:cstheme="minorEastAsia"/>
          <w:bCs/>
          <w:color w:val="auto"/>
          <w:highlight w:val="none"/>
        </w:rPr>
        <w:t>每月对公转账。每月医疗卫生服务结束后，采购人根据该月考核结果，在次月支付当月服务费，采购人在收到供应商提交付款申请资料以及供应商开具的符合采购人财务要求的等额合法有效增值税发票后15个日历天内向供应商支付当月服务费用。若收到供应商发票之日早于当月考核结束之日，则自当月考核结束之日起15个日历天内支付。</w:t>
      </w:r>
    </w:p>
    <w:p>
      <w:pPr>
        <w:pStyle w:val="33"/>
        <w:numPr>
          <w:ilvl w:val="3"/>
          <w:numId w:val="26"/>
        </w:numPr>
        <w:ind w:firstLine="480"/>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供应商未提供增值税发票(专票或普票)，或发票经国税网验审不合格的，或者供应商提供的发票不满足采购人财务要求的，采购人有权拒付且不承担任何逾期付款的责任。</w:t>
      </w:r>
    </w:p>
    <w:p>
      <w:pPr>
        <w:pStyle w:val="33"/>
        <w:numPr>
          <w:ilvl w:val="3"/>
          <w:numId w:val="26"/>
        </w:numPr>
        <w:ind w:firstLine="480"/>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供应商保证提供的银行账户信息真实有效，如果供应商账户信息更改，需要在采购人付款前10个日历天内告知采购人，若因供应商原因导致采购人无法付款或错误付款，后果由供应商自行承担。</w:t>
      </w:r>
      <w:bookmarkEnd w:id="354"/>
      <w:bookmarkEnd w:id="355"/>
      <w:bookmarkEnd w:id="356"/>
    </w:p>
    <w:p>
      <w:pPr>
        <w:pStyle w:val="41"/>
        <w:numPr>
          <w:ilvl w:val="1"/>
          <w:numId w:val="25"/>
        </w:numPr>
        <w:ind w:firstLine="482"/>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考核</w:t>
      </w:r>
    </w:p>
    <w:tbl>
      <w:tblPr>
        <w:tblStyle w:val="24"/>
        <w:tblW w:w="4921" w:type="pct"/>
        <w:jc w:val="center"/>
        <w:tblLayout w:type="autofit"/>
        <w:tblCellMar>
          <w:top w:w="0" w:type="dxa"/>
          <w:left w:w="0" w:type="dxa"/>
          <w:bottom w:w="0" w:type="dxa"/>
          <w:right w:w="0" w:type="dxa"/>
        </w:tblCellMar>
      </w:tblPr>
      <w:tblGrid>
        <w:gridCol w:w="1828"/>
        <w:gridCol w:w="4278"/>
        <w:gridCol w:w="1149"/>
        <w:gridCol w:w="1199"/>
        <w:gridCol w:w="1168"/>
      </w:tblGrid>
      <w:tr>
        <w:tblPrEx>
          <w:tblCellMar>
            <w:top w:w="0" w:type="dxa"/>
            <w:left w:w="0" w:type="dxa"/>
            <w:bottom w:w="0" w:type="dxa"/>
            <w:right w:w="0" w:type="dxa"/>
          </w:tblCellMar>
        </w:tblPrEx>
        <w:trPr>
          <w:trHeight w:val="505" w:hRule="atLeast"/>
          <w:tblHeader/>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Cs/>
                <w:color w:val="auto"/>
                <w:sz w:val="21"/>
                <w:szCs w:val="21"/>
                <w:highlight w:val="none"/>
              </w:rPr>
            </w:pPr>
            <w:bookmarkStart w:id="357" w:name="_Toc7577"/>
            <w:bookmarkStart w:id="358" w:name="_Toc10845"/>
            <w:bookmarkStart w:id="359" w:name="_Toc27313"/>
            <w:bookmarkStart w:id="360" w:name="_Toc32286_WPSOffice_Level2"/>
            <w:r>
              <w:rPr>
                <w:rFonts w:hint="eastAsia" w:cs="宋体"/>
                <w:bCs/>
                <w:color w:val="auto"/>
                <w:sz w:val="21"/>
                <w:szCs w:val="21"/>
                <w:highlight w:val="none"/>
              </w:rPr>
              <w:t>考核项目</w:t>
            </w:r>
            <w:bookmarkEnd w:id="357"/>
            <w:bookmarkEnd w:id="358"/>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Cs/>
                <w:color w:val="auto"/>
                <w:sz w:val="21"/>
                <w:szCs w:val="21"/>
                <w:highlight w:val="none"/>
              </w:rPr>
            </w:pPr>
            <w:bookmarkStart w:id="361" w:name="_Toc15402"/>
            <w:bookmarkStart w:id="362" w:name="_Toc29403"/>
            <w:r>
              <w:rPr>
                <w:rFonts w:hint="eastAsia" w:cs="宋体"/>
                <w:bCs/>
                <w:color w:val="auto"/>
                <w:sz w:val="21"/>
                <w:szCs w:val="21"/>
                <w:highlight w:val="none"/>
              </w:rPr>
              <w:t>考核标准</w:t>
            </w:r>
            <w:bookmarkEnd w:id="361"/>
            <w:bookmarkEnd w:id="362"/>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Cs/>
                <w:color w:val="auto"/>
                <w:sz w:val="21"/>
                <w:szCs w:val="21"/>
                <w:highlight w:val="none"/>
              </w:rPr>
            </w:pPr>
            <w:bookmarkStart w:id="363" w:name="_Toc23816"/>
            <w:bookmarkStart w:id="364" w:name="_Toc26164"/>
            <w:r>
              <w:rPr>
                <w:rFonts w:hint="eastAsia" w:cs="宋体"/>
                <w:bCs/>
                <w:color w:val="auto"/>
                <w:sz w:val="21"/>
                <w:szCs w:val="21"/>
                <w:highlight w:val="none"/>
              </w:rPr>
              <w:t>本项总分</w:t>
            </w:r>
            <w:bookmarkEnd w:id="363"/>
            <w:bookmarkEnd w:id="364"/>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Cs/>
                <w:color w:val="auto"/>
                <w:sz w:val="21"/>
                <w:szCs w:val="21"/>
                <w:highlight w:val="none"/>
              </w:rPr>
            </w:pPr>
            <w:bookmarkStart w:id="365" w:name="_Toc20688"/>
            <w:bookmarkStart w:id="366" w:name="_Toc21046"/>
            <w:r>
              <w:rPr>
                <w:rFonts w:hint="eastAsia" w:cs="宋体"/>
                <w:bCs/>
                <w:color w:val="auto"/>
                <w:sz w:val="21"/>
                <w:szCs w:val="21"/>
                <w:highlight w:val="none"/>
              </w:rPr>
              <w:t>扣分情况</w:t>
            </w:r>
            <w:bookmarkEnd w:id="365"/>
            <w:bookmarkEnd w:id="366"/>
          </w:p>
        </w:tc>
        <w:tc>
          <w:tcPr>
            <w:tcW w:w="60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Cs/>
                <w:color w:val="auto"/>
                <w:sz w:val="21"/>
                <w:szCs w:val="21"/>
                <w:highlight w:val="none"/>
              </w:rPr>
            </w:pPr>
            <w:bookmarkStart w:id="367" w:name="_Toc7610"/>
            <w:bookmarkStart w:id="368" w:name="_Toc9921"/>
            <w:r>
              <w:rPr>
                <w:rFonts w:hint="eastAsia" w:cs="宋体"/>
                <w:bCs/>
                <w:color w:val="auto"/>
                <w:sz w:val="21"/>
                <w:szCs w:val="21"/>
                <w:highlight w:val="none"/>
              </w:rPr>
              <w:t>最终得分</w:t>
            </w:r>
            <w:bookmarkEnd w:id="367"/>
            <w:bookmarkEnd w:id="368"/>
          </w:p>
        </w:tc>
      </w:tr>
      <w:tr>
        <w:tblPrEx>
          <w:tblCellMar>
            <w:top w:w="0" w:type="dxa"/>
            <w:left w:w="0" w:type="dxa"/>
            <w:bottom w:w="0" w:type="dxa"/>
            <w:right w:w="0" w:type="dxa"/>
          </w:tblCellMar>
        </w:tblPrEx>
        <w:trPr>
          <w:trHeight w:val="162"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69" w:name="_Toc13251"/>
            <w:bookmarkStart w:id="370" w:name="_Toc10112"/>
            <w:r>
              <w:rPr>
                <w:rFonts w:hint="eastAsia" w:cs="宋体"/>
                <w:b w:val="0"/>
                <w:color w:val="auto"/>
                <w:sz w:val="21"/>
                <w:szCs w:val="21"/>
                <w:highlight w:val="none"/>
              </w:rPr>
              <w:t>医务室环境</w:t>
            </w:r>
            <w:bookmarkEnd w:id="369"/>
            <w:bookmarkEnd w:id="370"/>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371" w:name="_Toc14380"/>
            <w:bookmarkStart w:id="372" w:name="_Toc13416"/>
            <w:r>
              <w:rPr>
                <w:rFonts w:hint="eastAsia" w:cs="宋体"/>
                <w:b w:val="0"/>
                <w:color w:val="auto"/>
                <w:sz w:val="21"/>
                <w:szCs w:val="21"/>
                <w:highlight w:val="none"/>
              </w:rPr>
              <w:t>整洁、干净、定时消毒得10分。发现1次未落实到位，扣1分。</w:t>
            </w:r>
            <w:bookmarkEnd w:id="371"/>
            <w:bookmarkEnd w:id="372"/>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73" w:name="_Toc372"/>
            <w:bookmarkStart w:id="374" w:name="_Toc24786"/>
            <w:r>
              <w:rPr>
                <w:rFonts w:hint="eastAsia" w:cs="宋体"/>
                <w:b w:val="0"/>
                <w:color w:val="auto"/>
                <w:sz w:val="21"/>
                <w:szCs w:val="21"/>
                <w:highlight w:val="none"/>
              </w:rPr>
              <w:t>10</w:t>
            </w:r>
            <w:bookmarkEnd w:id="373"/>
            <w:bookmarkEnd w:id="374"/>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344"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75" w:name="_Toc10168"/>
            <w:bookmarkStart w:id="376" w:name="_Toc23730"/>
            <w:r>
              <w:rPr>
                <w:rFonts w:hint="eastAsia" w:cs="宋体"/>
                <w:b w:val="0"/>
                <w:color w:val="auto"/>
                <w:sz w:val="21"/>
                <w:szCs w:val="21"/>
                <w:highlight w:val="none"/>
              </w:rPr>
              <w:t>工作人员着装</w:t>
            </w:r>
            <w:bookmarkEnd w:id="375"/>
            <w:bookmarkEnd w:id="376"/>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377" w:name="_Toc4771"/>
            <w:bookmarkStart w:id="378" w:name="_Toc329"/>
            <w:r>
              <w:rPr>
                <w:rFonts w:hint="eastAsia" w:cs="宋体"/>
                <w:b w:val="0"/>
                <w:color w:val="auto"/>
                <w:sz w:val="21"/>
                <w:szCs w:val="21"/>
                <w:highlight w:val="none"/>
              </w:rPr>
              <w:t>医务人员着工作服和佩戴工作证，且服装穿戴整齐得5分。未按要求着装，发现1次，扣1分。</w:t>
            </w:r>
            <w:bookmarkEnd w:id="377"/>
            <w:bookmarkEnd w:id="378"/>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79" w:name="_Toc7628"/>
            <w:bookmarkStart w:id="380" w:name="_Toc26352"/>
            <w:r>
              <w:rPr>
                <w:rFonts w:hint="eastAsia" w:cs="宋体"/>
                <w:b w:val="0"/>
                <w:color w:val="auto"/>
                <w:sz w:val="21"/>
                <w:szCs w:val="21"/>
                <w:highlight w:val="none"/>
              </w:rPr>
              <w:t>5</w:t>
            </w:r>
            <w:bookmarkEnd w:id="379"/>
            <w:bookmarkEnd w:id="380"/>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90"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81" w:name="_Toc28827"/>
            <w:bookmarkStart w:id="382" w:name="_Toc24654"/>
            <w:r>
              <w:rPr>
                <w:rFonts w:hint="eastAsia" w:cs="宋体"/>
                <w:b w:val="0"/>
                <w:color w:val="auto"/>
                <w:sz w:val="21"/>
                <w:szCs w:val="21"/>
                <w:highlight w:val="none"/>
              </w:rPr>
              <w:t>各项登记记录(传染病登记记录不在此项扣分)</w:t>
            </w:r>
            <w:bookmarkEnd w:id="381"/>
            <w:bookmarkEnd w:id="382"/>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383" w:name="_Toc12566"/>
            <w:bookmarkStart w:id="384" w:name="_Toc27032"/>
            <w:r>
              <w:rPr>
                <w:rFonts w:hint="eastAsia" w:cs="宋体"/>
                <w:b w:val="0"/>
                <w:color w:val="auto"/>
                <w:sz w:val="21"/>
                <w:szCs w:val="21"/>
                <w:highlight w:val="none"/>
              </w:rPr>
              <w:t>按照属地化管理机构的要求登记得15分。每漏登一种记录，扣1分。</w:t>
            </w:r>
            <w:bookmarkEnd w:id="383"/>
            <w:bookmarkEnd w:id="384"/>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85" w:name="_Toc11032"/>
            <w:bookmarkStart w:id="386" w:name="_Toc26884"/>
            <w:r>
              <w:rPr>
                <w:rFonts w:hint="eastAsia" w:cs="宋体"/>
                <w:b w:val="0"/>
                <w:color w:val="auto"/>
                <w:sz w:val="21"/>
                <w:szCs w:val="21"/>
                <w:highlight w:val="none"/>
              </w:rPr>
              <w:t>15</w:t>
            </w:r>
            <w:bookmarkEnd w:id="385"/>
            <w:bookmarkEnd w:id="386"/>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974"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87" w:name="_Toc7971"/>
            <w:bookmarkStart w:id="388" w:name="_Toc24473"/>
            <w:r>
              <w:rPr>
                <w:rFonts w:hint="eastAsia" w:cs="宋体"/>
                <w:b w:val="0"/>
                <w:color w:val="auto"/>
                <w:sz w:val="21"/>
                <w:szCs w:val="21"/>
                <w:highlight w:val="none"/>
              </w:rPr>
              <w:t>隔离室管理</w:t>
            </w:r>
            <w:bookmarkEnd w:id="387"/>
            <w:bookmarkEnd w:id="388"/>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389" w:name="_Toc2347"/>
            <w:bookmarkStart w:id="390" w:name="_Toc8078"/>
            <w:r>
              <w:rPr>
                <w:rFonts w:hint="eastAsia" w:cs="宋体"/>
                <w:b w:val="0"/>
                <w:color w:val="auto"/>
                <w:sz w:val="21"/>
                <w:szCs w:val="21"/>
                <w:highlight w:val="none"/>
              </w:rPr>
              <w:t>1.隔离人员入住记录齐全得4分。不齐全的每次扣1分。</w:t>
            </w:r>
            <w:bookmarkEnd w:id="389"/>
            <w:bookmarkEnd w:id="390"/>
          </w:p>
          <w:p>
            <w:pPr>
              <w:pStyle w:val="31"/>
              <w:numPr>
                <w:ilvl w:val="1"/>
                <w:numId w:val="0"/>
              </w:numPr>
              <w:spacing w:line="360" w:lineRule="exact"/>
              <w:ind w:left="28" w:right="28"/>
              <w:outlineLvl w:val="9"/>
              <w:rPr>
                <w:rFonts w:cs="宋体"/>
                <w:b w:val="0"/>
                <w:color w:val="auto"/>
                <w:sz w:val="21"/>
                <w:szCs w:val="21"/>
                <w:highlight w:val="none"/>
              </w:rPr>
            </w:pPr>
            <w:bookmarkStart w:id="391" w:name="_Toc13847"/>
            <w:bookmarkStart w:id="392" w:name="_Toc27441"/>
            <w:r>
              <w:rPr>
                <w:rFonts w:hint="eastAsia" w:cs="宋体"/>
                <w:b w:val="0"/>
                <w:color w:val="auto"/>
                <w:sz w:val="21"/>
                <w:szCs w:val="21"/>
                <w:highlight w:val="none"/>
              </w:rPr>
              <w:t>2.体温等体征监测齐全得3分。不齐全的每次扣1分。</w:t>
            </w:r>
            <w:bookmarkEnd w:id="391"/>
            <w:bookmarkEnd w:id="392"/>
          </w:p>
          <w:p>
            <w:pPr>
              <w:pStyle w:val="31"/>
              <w:numPr>
                <w:ilvl w:val="1"/>
                <w:numId w:val="0"/>
              </w:numPr>
              <w:spacing w:line="360" w:lineRule="exact"/>
              <w:ind w:left="28" w:right="28"/>
              <w:outlineLvl w:val="9"/>
              <w:rPr>
                <w:rFonts w:cs="宋体"/>
                <w:b w:val="0"/>
                <w:color w:val="auto"/>
                <w:sz w:val="21"/>
                <w:szCs w:val="21"/>
                <w:highlight w:val="none"/>
              </w:rPr>
            </w:pPr>
            <w:bookmarkStart w:id="393" w:name="_Toc25295"/>
            <w:bookmarkStart w:id="394" w:name="_Toc21729"/>
            <w:r>
              <w:rPr>
                <w:rFonts w:hint="eastAsia" w:cs="宋体"/>
                <w:b w:val="0"/>
                <w:color w:val="auto"/>
                <w:sz w:val="21"/>
                <w:szCs w:val="21"/>
                <w:highlight w:val="none"/>
              </w:rPr>
              <w:t>3.隔离室消杀时间及记录齐全得3分。不齐全的每次扣1分。</w:t>
            </w:r>
            <w:bookmarkEnd w:id="393"/>
            <w:bookmarkEnd w:id="394"/>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95" w:name="_Toc9379"/>
            <w:bookmarkStart w:id="396" w:name="_Toc9403"/>
            <w:r>
              <w:rPr>
                <w:rFonts w:hint="eastAsia" w:cs="宋体"/>
                <w:b w:val="0"/>
                <w:color w:val="auto"/>
                <w:sz w:val="21"/>
                <w:szCs w:val="21"/>
                <w:highlight w:val="none"/>
              </w:rPr>
              <w:t>10</w:t>
            </w:r>
            <w:bookmarkEnd w:id="395"/>
            <w:bookmarkEnd w:id="396"/>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656"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397" w:name="_Toc6617"/>
            <w:bookmarkStart w:id="398" w:name="_Toc31844"/>
            <w:r>
              <w:rPr>
                <w:rFonts w:hint="eastAsia" w:cs="宋体"/>
                <w:b w:val="0"/>
                <w:color w:val="auto"/>
                <w:sz w:val="21"/>
                <w:szCs w:val="21"/>
                <w:highlight w:val="none"/>
              </w:rPr>
              <w:t>就诊汇总及时，能为学校提供有效信息</w:t>
            </w:r>
            <w:bookmarkEnd w:id="397"/>
            <w:bookmarkEnd w:id="398"/>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399" w:name="_Toc32216"/>
            <w:bookmarkStart w:id="400" w:name="_Toc10797"/>
            <w:r>
              <w:rPr>
                <w:rFonts w:hint="eastAsia" w:cs="宋体"/>
                <w:b w:val="0"/>
                <w:color w:val="auto"/>
                <w:sz w:val="21"/>
                <w:szCs w:val="21"/>
                <w:highlight w:val="none"/>
              </w:rPr>
              <w:t>按照采购人要求及时提供信息，无错误信息得10分。出现拖延时间、错、漏信息，每次扣1分。</w:t>
            </w:r>
            <w:bookmarkEnd w:id="399"/>
            <w:bookmarkEnd w:id="400"/>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01" w:name="_Toc4378"/>
            <w:bookmarkStart w:id="402" w:name="_Toc32259"/>
            <w:r>
              <w:rPr>
                <w:rFonts w:hint="eastAsia" w:cs="宋体"/>
                <w:b w:val="0"/>
                <w:color w:val="auto"/>
                <w:sz w:val="21"/>
                <w:szCs w:val="21"/>
                <w:highlight w:val="none"/>
              </w:rPr>
              <w:t>10</w:t>
            </w:r>
            <w:bookmarkEnd w:id="401"/>
            <w:bookmarkEnd w:id="402"/>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656"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03" w:name="_Toc8135"/>
            <w:bookmarkStart w:id="404" w:name="_Toc21467"/>
            <w:r>
              <w:rPr>
                <w:rFonts w:hint="eastAsia" w:cs="宋体"/>
                <w:b w:val="0"/>
                <w:color w:val="auto"/>
                <w:sz w:val="21"/>
                <w:szCs w:val="21"/>
                <w:highlight w:val="none"/>
              </w:rPr>
              <w:t>传染病登记记录</w:t>
            </w:r>
            <w:bookmarkEnd w:id="403"/>
            <w:bookmarkEnd w:id="404"/>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405" w:name="_Toc25467"/>
            <w:bookmarkStart w:id="406" w:name="_Toc18385"/>
            <w:r>
              <w:rPr>
                <w:rFonts w:hint="eastAsia" w:cs="宋体"/>
                <w:b w:val="0"/>
                <w:color w:val="auto"/>
                <w:sz w:val="21"/>
                <w:szCs w:val="21"/>
                <w:highlight w:val="none"/>
              </w:rPr>
              <w:t>按照属地化管理机构提供的记录本登记齐全得15分。检查时，发现有虚假信息、漏报、瞒报等任意一项，每次扣3分。</w:t>
            </w:r>
            <w:bookmarkEnd w:id="405"/>
            <w:bookmarkEnd w:id="406"/>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07" w:name="_Toc1165"/>
            <w:bookmarkStart w:id="408" w:name="_Toc14383"/>
            <w:r>
              <w:rPr>
                <w:rFonts w:hint="eastAsia" w:cs="宋体"/>
                <w:b w:val="0"/>
                <w:color w:val="auto"/>
                <w:sz w:val="21"/>
                <w:szCs w:val="21"/>
                <w:highlight w:val="none"/>
              </w:rPr>
              <w:t>15</w:t>
            </w:r>
            <w:bookmarkEnd w:id="407"/>
            <w:bookmarkEnd w:id="408"/>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624"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09" w:name="_Toc16275"/>
            <w:bookmarkStart w:id="410" w:name="_Toc26420"/>
            <w:r>
              <w:rPr>
                <w:rFonts w:hint="eastAsia" w:cs="宋体"/>
                <w:b w:val="0"/>
                <w:color w:val="auto"/>
                <w:sz w:val="21"/>
                <w:szCs w:val="21"/>
                <w:highlight w:val="none"/>
              </w:rPr>
              <w:t>每月就诊疾病趋势统计情况</w:t>
            </w:r>
            <w:bookmarkEnd w:id="409"/>
            <w:bookmarkEnd w:id="410"/>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411" w:name="_Toc10784"/>
            <w:bookmarkStart w:id="412" w:name="_Toc3230"/>
            <w:r>
              <w:rPr>
                <w:rFonts w:hint="eastAsia" w:cs="宋体"/>
                <w:b w:val="0"/>
                <w:color w:val="auto"/>
                <w:sz w:val="21"/>
                <w:szCs w:val="21"/>
                <w:highlight w:val="none"/>
              </w:rPr>
              <w:t>按照就诊情况，每月按时提供就诊疾病趋势分析统计得10分。如每月不能提供分析的(学生离校放寒暑假除外)，每次扣10分。</w:t>
            </w:r>
            <w:bookmarkEnd w:id="411"/>
            <w:bookmarkEnd w:id="412"/>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13" w:name="_Toc6001"/>
            <w:bookmarkStart w:id="414" w:name="_Toc2493"/>
            <w:r>
              <w:rPr>
                <w:rFonts w:hint="eastAsia" w:cs="宋体"/>
                <w:b w:val="0"/>
                <w:color w:val="auto"/>
                <w:sz w:val="21"/>
                <w:szCs w:val="21"/>
                <w:highlight w:val="none"/>
              </w:rPr>
              <w:t>10</w:t>
            </w:r>
            <w:bookmarkEnd w:id="413"/>
            <w:bookmarkEnd w:id="414"/>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390"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15" w:name="_Toc26828"/>
            <w:bookmarkStart w:id="416" w:name="_Toc7215"/>
            <w:r>
              <w:rPr>
                <w:rFonts w:hint="eastAsia" w:cs="宋体"/>
                <w:b w:val="0"/>
                <w:color w:val="auto"/>
                <w:sz w:val="21"/>
                <w:szCs w:val="21"/>
                <w:highlight w:val="none"/>
              </w:rPr>
              <w:t>医生就诊时态度</w:t>
            </w:r>
            <w:bookmarkEnd w:id="415"/>
            <w:bookmarkEnd w:id="416"/>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417" w:name="_Toc32474"/>
            <w:bookmarkStart w:id="418" w:name="_Toc6911"/>
            <w:r>
              <w:rPr>
                <w:rFonts w:hint="eastAsia" w:cs="宋体"/>
                <w:b w:val="0"/>
                <w:color w:val="auto"/>
                <w:sz w:val="21"/>
                <w:szCs w:val="21"/>
                <w:highlight w:val="none"/>
              </w:rPr>
              <w:t>无投诉得15分。每投诉1次且经采购人核实属实的，扣3分。</w:t>
            </w:r>
            <w:bookmarkEnd w:id="417"/>
            <w:bookmarkEnd w:id="418"/>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19" w:name="_Toc23596"/>
            <w:bookmarkStart w:id="420" w:name="_Toc16738"/>
            <w:r>
              <w:rPr>
                <w:rFonts w:hint="eastAsia" w:cs="宋体"/>
                <w:b w:val="0"/>
                <w:color w:val="auto"/>
                <w:sz w:val="21"/>
                <w:szCs w:val="21"/>
                <w:highlight w:val="none"/>
              </w:rPr>
              <w:t>15</w:t>
            </w:r>
            <w:bookmarkEnd w:id="419"/>
            <w:bookmarkEnd w:id="420"/>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477" w:hRule="atLeast"/>
          <w:jc w:val="center"/>
        </w:trPr>
        <w:tc>
          <w:tcPr>
            <w:tcW w:w="95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21" w:name="_Toc31287"/>
            <w:bookmarkStart w:id="422" w:name="_Toc18418"/>
            <w:r>
              <w:rPr>
                <w:rFonts w:hint="eastAsia" w:cs="宋体"/>
                <w:b w:val="0"/>
                <w:color w:val="auto"/>
                <w:sz w:val="21"/>
                <w:szCs w:val="21"/>
                <w:highlight w:val="none"/>
              </w:rPr>
              <w:t>按照上级机构</w:t>
            </w:r>
            <w:bookmarkEnd w:id="421"/>
            <w:bookmarkEnd w:id="422"/>
          </w:p>
          <w:p>
            <w:pPr>
              <w:pStyle w:val="31"/>
              <w:numPr>
                <w:ilvl w:val="1"/>
                <w:numId w:val="0"/>
              </w:numPr>
              <w:spacing w:line="360" w:lineRule="exact"/>
              <w:ind w:left="28" w:right="28"/>
              <w:jc w:val="center"/>
              <w:outlineLvl w:val="9"/>
              <w:rPr>
                <w:rFonts w:cs="宋体"/>
                <w:b w:val="0"/>
                <w:color w:val="auto"/>
                <w:sz w:val="21"/>
                <w:szCs w:val="21"/>
                <w:highlight w:val="none"/>
              </w:rPr>
            </w:pPr>
            <w:bookmarkStart w:id="423" w:name="_Toc24714"/>
            <w:bookmarkStart w:id="424" w:name="_Toc194"/>
            <w:r>
              <w:rPr>
                <w:rFonts w:hint="eastAsia" w:cs="宋体"/>
                <w:b w:val="0"/>
                <w:color w:val="auto"/>
                <w:sz w:val="21"/>
                <w:szCs w:val="21"/>
                <w:highlight w:val="none"/>
              </w:rPr>
              <w:t>要求完成工作</w:t>
            </w:r>
            <w:bookmarkEnd w:id="423"/>
            <w:bookmarkEnd w:id="424"/>
          </w:p>
        </w:tc>
        <w:tc>
          <w:tcPr>
            <w:tcW w:w="22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outlineLvl w:val="9"/>
              <w:rPr>
                <w:rFonts w:cs="宋体"/>
                <w:b w:val="0"/>
                <w:color w:val="auto"/>
                <w:sz w:val="21"/>
                <w:szCs w:val="21"/>
                <w:highlight w:val="none"/>
              </w:rPr>
            </w:pPr>
            <w:bookmarkStart w:id="425" w:name="_Toc778"/>
            <w:bookmarkStart w:id="426" w:name="_Toc1430"/>
            <w:r>
              <w:rPr>
                <w:rFonts w:hint="eastAsia" w:cs="宋体"/>
                <w:b w:val="0"/>
                <w:color w:val="auto"/>
                <w:sz w:val="21"/>
                <w:szCs w:val="21"/>
                <w:highlight w:val="none"/>
              </w:rPr>
              <w:t>1.能够按照监督意见及时有效整改得5分。未完成或整改不到位扣5分。</w:t>
            </w:r>
            <w:bookmarkEnd w:id="425"/>
            <w:bookmarkEnd w:id="426"/>
          </w:p>
          <w:p>
            <w:pPr>
              <w:pStyle w:val="31"/>
              <w:numPr>
                <w:ilvl w:val="1"/>
                <w:numId w:val="0"/>
              </w:numPr>
              <w:spacing w:line="360" w:lineRule="exact"/>
              <w:ind w:left="28" w:right="28"/>
              <w:outlineLvl w:val="9"/>
              <w:rPr>
                <w:rFonts w:cs="宋体"/>
                <w:b w:val="0"/>
                <w:color w:val="auto"/>
                <w:sz w:val="21"/>
                <w:szCs w:val="21"/>
                <w:highlight w:val="none"/>
              </w:rPr>
            </w:pPr>
            <w:bookmarkStart w:id="427" w:name="_Toc12006"/>
            <w:bookmarkStart w:id="428" w:name="_Toc21162"/>
            <w:r>
              <w:rPr>
                <w:rFonts w:hint="eastAsia" w:cs="宋体"/>
                <w:b w:val="0"/>
                <w:color w:val="auto"/>
                <w:sz w:val="21"/>
                <w:szCs w:val="21"/>
                <w:highlight w:val="none"/>
              </w:rPr>
              <w:t>2.完成采购人临时性要求，配合采购人医疗需求和相关事务得5分。不能配合采购人完成任务或出现差错，扣5分。</w:t>
            </w:r>
            <w:bookmarkEnd w:id="427"/>
            <w:bookmarkEnd w:id="428"/>
          </w:p>
        </w:tc>
        <w:tc>
          <w:tcPr>
            <w:tcW w:w="59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bookmarkStart w:id="429" w:name="_Toc22484"/>
            <w:bookmarkStart w:id="430" w:name="_Toc31438"/>
            <w:r>
              <w:rPr>
                <w:rFonts w:hint="eastAsia" w:cs="宋体"/>
                <w:b w:val="0"/>
                <w:color w:val="auto"/>
                <w:sz w:val="21"/>
                <w:szCs w:val="21"/>
                <w:highlight w:val="none"/>
              </w:rPr>
              <w:t>10</w:t>
            </w:r>
            <w:bookmarkEnd w:id="429"/>
            <w:bookmarkEnd w:id="430"/>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c>
          <w:tcPr>
            <w:tcW w:w="60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Style w:val="31"/>
              <w:numPr>
                <w:ilvl w:val="1"/>
                <w:numId w:val="0"/>
              </w:numPr>
              <w:spacing w:line="360" w:lineRule="exact"/>
              <w:ind w:left="28" w:right="28"/>
              <w:jc w:val="center"/>
              <w:outlineLvl w:val="9"/>
              <w:rPr>
                <w:rFonts w:cs="宋体"/>
                <w:b w:val="0"/>
                <w:color w:val="auto"/>
                <w:sz w:val="21"/>
                <w:szCs w:val="21"/>
                <w:highlight w:val="none"/>
              </w:rPr>
            </w:pPr>
          </w:p>
        </w:tc>
      </w:tr>
      <w:tr>
        <w:tblPrEx>
          <w:tblCellMar>
            <w:top w:w="0" w:type="dxa"/>
            <w:left w:w="0" w:type="dxa"/>
            <w:bottom w:w="0" w:type="dxa"/>
            <w:right w:w="0" w:type="dxa"/>
          </w:tblCellMar>
        </w:tblPrEx>
        <w:trPr>
          <w:trHeight w:val="477"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1"/>
              <w:numPr>
                <w:ilvl w:val="1"/>
                <w:numId w:val="0"/>
              </w:numPr>
              <w:spacing w:line="360" w:lineRule="exact"/>
              <w:ind w:left="28" w:right="28"/>
              <w:jc w:val="left"/>
              <w:outlineLvl w:val="9"/>
              <w:rPr>
                <w:rFonts w:cs="宋体"/>
                <w:b w:val="0"/>
                <w:color w:val="auto"/>
                <w:sz w:val="21"/>
                <w:szCs w:val="21"/>
                <w:highlight w:val="none"/>
              </w:rPr>
            </w:pPr>
            <w:r>
              <w:rPr>
                <w:color w:val="auto"/>
                <w:highlight w:val="none"/>
              </w:rPr>
              <w:t>备注：本项目服务内容及要求未进入月考核表进行考核的，若供应商未按照约定履约的，当月直接视为不合格。</w:t>
            </w:r>
          </w:p>
        </w:tc>
      </w:tr>
    </w:tbl>
    <w:p>
      <w:pPr>
        <w:ind w:firstLine="482" w:firstLineChars="200"/>
        <w:rPr>
          <w:b/>
          <w:bCs/>
          <w:color w:val="auto"/>
          <w:highlight w:val="none"/>
        </w:rPr>
      </w:pPr>
      <w:r>
        <w:rPr>
          <w:rFonts w:hint="eastAsia"/>
          <w:b/>
          <w:bCs/>
          <w:color w:val="auto"/>
          <w:highlight w:val="none"/>
        </w:rPr>
        <w:t>注：(1)月考核得分在85分(含)以上，不扣除服务费；</w:t>
      </w:r>
    </w:p>
    <w:p>
      <w:pPr>
        <w:ind w:firstLine="482" w:firstLineChars="200"/>
        <w:rPr>
          <w:b/>
          <w:bCs/>
          <w:color w:val="auto"/>
          <w:highlight w:val="none"/>
        </w:rPr>
      </w:pPr>
      <w:r>
        <w:rPr>
          <w:rFonts w:hint="eastAsia"/>
          <w:b/>
          <w:bCs/>
          <w:color w:val="auto"/>
          <w:highlight w:val="none"/>
        </w:rPr>
        <w:t>(2)月考核得分低于85分，每低于5分(不足5分按5分计算)扣除服务费2000元。</w:t>
      </w:r>
    </w:p>
    <w:p>
      <w:pPr>
        <w:ind w:firstLine="482" w:firstLineChars="200"/>
        <w:rPr>
          <w:b/>
          <w:bCs/>
          <w:color w:val="auto"/>
          <w:highlight w:val="none"/>
        </w:rPr>
      </w:pPr>
      <w:r>
        <w:rPr>
          <w:rFonts w:hint="eastAsia"/>
          <w:b/>
          <w:bCs/>
          <w:color w:val="auto"/>
          <w:highlight w:val="none"/>
        </w:rPr>
        <w:t>(3)月考核得分在70分(不含)以下的视为考核不合格，采购人有权终止合同，并且不支付当月的任何费用。</w:t>
      </w:r>
    </w:p>
    <w:p>
      <w:pPr>
        <w:pStyle w:val="31"/>
        <w:keepNext w:val="0"/>
        <w:keepLines w:val="0"/>
        <w:pageBreakBefore w:val="0"/>
        <w:widowControl w:val="0"/>
        <w:kinsoku/>
        <w:overflowPunct/>
        <w:autoSpaceDE/>
        <w:autoSpaceDN/>
        <w:bidi w:val="0"/>
        <w:ind w:firstLine="480"/>
        <w:textAlignment w:val="auto"/>
        <w:rPr>
          <w:rFonts w:asciiTheme="minorEastAsia" w:hAnsiTheme="minorEastAsia" w:eastAsiaTheme="minorEastAsia" w:cstheme="minorEastAsia"/>
          <w:bCs/>
          <w:color w:val="auto"/>
          <w:highlight w:val="none"/>
        </w:rPr>
      </w:pPr>
      <w:bookmarkStart w:id="431" w:name="_Toc19452"/>
      <w:bookmarkStart w:id="432" w:name="_Toc14381"/>
      <w:r>
        <w:rPr>
          <w:rFonts w:hint="eastAsia" w:cs="宋体"/>
          <w:b w:val="0"/>
          <w:color w:val="auto"/>
          <w:highlight w:val="none"/>
        </w:rPr>
        <w:t>★</w:t>
      </w:r>
      <w:r>
        <w:rPr>
          <w:rFonts w:hint="eastAsia" w:asciiTheme="minorEastAsia" w:hAnsiTheme="minorEastAsia" w:eastAsiaTheme="minorEastAsia" w:cstheme="minorEastAsia"/>
          <w:bCs/>
          <w:color w:val="auto"/>
          <w:highlight w:val="none"/>
        </w:rPr>
        <w:t>履约保证金</w:t>
      </w:r>
      <w:bookmarkEnd w:id="431"/>
      <w:bookmarkEnd w:id="432"/>
    </w:p>
    <w:p>
      <w:pPr>
        <w:pStyle w:val="3"/>
        <w:keepNext w:val="0"/>
        <w:keepLines w:val="0"/>
        <w:pageBreakBefore w:val="0"/>
        <w:widowControl w:val="0"/>
        <w:numPr>
          <w:ilvl w:val="0"/>
          <w:numId w:val="27"/>
        </w:numPr>
        <w:kinsoku/>
        <w:overflowPunct/>
        <w:autoSpaceDE/>
        <w:autoSpaceDN/>
        <w:bidi w:val="0"/>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bookmarkStart w:id="433" w:name="_Toc24953"/>
      <w:r>
        <w:rPr>
          <w:rFonts w:hint="eastAsia" w:asciiTheme="minorEastAsia" w:hAnsiTheme="minorEastAsia" w:eastAsiaTheme="minorEastAsia" w:cstheme="minorEastAsia"/>
          <w:color w:val="auto"/>
          <w:sz w:val="24"/>
          <w:szCs w:val="24"/>
          <w:highlight w:val="none"/>
        </w:rPr>
        <w:t>履约保证金为成交金额的百分之五，供应商应在成交通知书发出之日起至合同签订前以银行转账、支票、汇票、本票或者金融机构、担保机构出具的保函等非现金形式向采购人提交履约保证金。</w:t>
      </w:r>
    </w:p>
    <w:p>
      <w:pPr>
        <w:pStyle w:val="3"/>
        <w:keepNext w:val="0"/>
        <w:keepLines w:val="0"/>
        <w:pageBreakBefore w:val="0"/>
        <w:widowControl w:val="0"/>
        <w:numPr>
          <w:ilvl w:val="0"/>
          <w:numId w:val="27"/>
        </w:numPr>
        <w:kinsoku/>
        <w:overflowPunct/>
        <w:autoSpaceDE/>
        <w:autoSpaceDN/>
        <w:bidi w:val="0"/>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行合同约定完毕且每月的月考核得分在70分(含)以上，10个日历天内无息退还供应商应退部分履约保证金。因采购人原因逾期退还的，应当以未退还金额为基数，按合同订立时1年期贷款市场报价利率标准向投标人支付相应违约金，但违约金最高不得超过未退还金额的百分之十。若因供应商不及时或未提供“履约保证金的收据”、“履约保证金退还申请”的，则采购人不承担逾期退还违约责任。</w:t>
      </w:r>
    </w:p>
    <w:p>
      <w:pPr>
        <w:pStyle w:val="3"/>
        <w:keepNext w:val="0"/>
        <w:keepLines w:val="0"/>
        <w:pageBreakBefore w:val="0"/>
        <w:widowControl w:val="0"/>
        <w:numPr>
          <w:ilvl w:val="0"/>
          <w:numId w:val="27"/>
        </w:numPr>
        <w:kinsoku/>
        <w:overflowPunct/>
        <w:autoSpaceDE/>
        <w:autoSpaceDN/>
        <w:bidi w:val="0"/>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履约保证金汇入的银行及账号：</w:t>
      </w:r>
    </w:p>
    <w:p>
      <w:pPr>
        <w:pStyle w:val="3"/>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收款账号：成都市技师学院</w:t>
      </w:r>
    </w:p>
    <w:p>
      <w:pPr>
        <w:pStyle w:val="3"/>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开户行：工行成都红光支行</w:t>
      </w:r>
    </w:p>
    <w:p>
      <w:pPr>
        <w:pStyle w:val="3"/>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银行账号：4402054609100031151</w:t>
      </w:r>
    </w:p>
    <w:p>
      <w:pPr>
        <w:pStyle w:val="3"/>
        <w:numPr>
          <w:ilvl w:val="0"/>
          <w:numId w:val="27"/>
        </w:numPr>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不予退还情形：一是供应商未按合同要求履行的，其履约保证金全部扣除；二是供应商缴纳了履约保证金，但因自身原因被取消成交资格或在成交公示期满之日起30个日历天(含法定节假日)内不按采购文件确定的事项与采购人签订合同的，其履约保证金不予退还；三是法律法规或合同约定的其它情形。</w:t>
      </w:r>
    </w:p>
    <w:p>
      <w:pPr>
        <w:pStyle w:val="31"/>
        <w:ind w:firstLine="482"/>
        <w:rPr>
          <w:color w:val="auto"/>
          <w:highlight w:val="none"/>
        </w:rPr>
      </w:pPr>
      <w:bookmarkStart w:id="434" w:name="_Toc21614"/>
      <w:r>
        <w:rPr>
          <w:rFonts w:hint="eastAsia"/>
          <w:color w:val="auto"/>
          <w:highlight w:val="none"/>
        </w:rPr>
        <w:t>履约能力</w:t>
      </w:r>
      <w:bookmarkEnd w:id="434"/>
    </w:p>
    <w:p>
      <w:pPr>
        <w:pStyle w:val="41"/>
        <w:numPr>
          <w:ilvl w:val="1"/>
          <w:numId w:val="28"/>
        </w:numPr>
        <w:ind w:firstLine="482"/>
        <w:rPr>
          <w:rFonts w:ascii="仿宋" w:hAnsi="仿宋" w:eastAsia="仿宋" w:cs="仿宋"/>
          <w:b/>
          <w:bCs/>
          <w:color w:val="auto"/>
          <w:sz w:val="32"/>
          <w:szCs w:val="32"/>
          <w:highlight w:val="none"/>
        </w:rPr>
      </w:pPr>
      <w:r>
        <w:rPr>
          <w:rFonts w:hint="eastAsia"/>
          <w:b/>
          <w:bCs/>
          <w:color w:val="auto"/>
          <w:highlight w:val="none"/>
        </w:rPr>
        <w:t>供应商</w:t>
      </w:r>
      <w:r>
        <w:rPr>
          <w:rFonts w:hint="eastAsia" w:asciiTheme="minorEastAsia" w:hAnsiTheme="minorEastAsia" w:eastAsiaTheme="minorEastAsia" w:cstheme="minorEastAsia"/>
          <w:b/>
          <w:bCs/>
          <w:color w:val="auto"/>
          <w:highlight w:val="none"/>
        </w:rPr>
        <w:t>医疗卫生机构科室设置要求</w:t>
      </w:r>
    </w:p>
    <w:p>
      <w:pPr>
        <w:autoSpaceDN w:val="0"/>
        <w:ind w:firstLine="480" w:firstLineChars="200"/>
        <w:jc w:val="both"/>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为保障全校师生就诊，供应商诊疗科室设置有内科、外科、妇产科、儿科、医学检验科、医学影像科。</w:t>
      </w:r>
    </w:p>
    <w:p>
      <w:pPr>
        <w:pStyle w:val="41"/>
        <w:numPr>
          <w:ilvl w:val="1"/>
          <w:numId w:val="28"/>
        </w:numPr>
        <w:ind w:firstLine="482"/>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业绩</w:t>
      </w:r>
    </w:p>
    <w:p>
      <w:pPr>
        <w:autoSpaceDN w:val="0"/>
        <w:ind w:firstLine="480" w:firstLineChars="200"/>
        <w:jc w:val="both"/>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1.供应商2019年1月1日</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含</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有类似履约经验(类似是指合同内容同时包含急救保障、就诊服务、传染病防控、健康管理)。</w:t>
      </w:r>
    </w:p>
    <w:p>
      <w:pPr>
        <w:autoSpaceDN w:val="0"/>
        <w:ind w:firstLine="480" w:firstLineChars="200"/>
        <w:jc w:val="both"/>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2.供应商2019年1月1日</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含</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以来未出现因自身原因导致合同终止</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供应商不能正常履约</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情况。</w:t>
      </w:r>
    </w:p>
    <w:p>
      <w:pPr>
        <w:pStyle w:val="41"/>
        <w:numPr>
          <w:ilvl w:val="1"/>
          <w:numId w:val="28"/>
        </w:numPr>
        <w:ind w:firstLine="480"/>
        <w:rPr>
          <w:b/>
          <w:bCs/>
          <w:color w:val="auto"/>
          <w:highlight w:val="none"/>
        </w:rPr>
      </w:pPr>
      <w:r>
        <w:rPr>
          <w:rFonts w:hint="eastAsia"/>
          <w:b/>
          <w:bCs/>
          <w:color w:val="auto"/>
          <w:highlight w:val="none"/>
        </w:rPr>
        <w:t>医疗卫生服务方案</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方案内容包含①医务室人员配置；②每日医护人员值守计划；③就诊及管理：申报成为采购人首诊医疗卫生机构，大学生就诊门诊、住院报销工作方案及后期服务管理、日常就诊管理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含就诊过程中医疗卫生技术纠纷解决办法、急救措施、个人隐私保护</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方案；④卫生及环境保护措施；⑤医疗卫生应急处置方案；⑥健康教育方案；⑦协助学校完成临时性工作方案；⑧发现重大疾病处置方案；⑨隔离室管理方案；⑩传染病管理方案。</w:t>
      </w:r>
    </w:p>
    <w:p>
      <w:pPr>
        <w:pStyle w:val="52"/>
        <w:ind w:firstLine="482"/>
        <w:rPr>
          <w:color w:val="auto"/>
          <w:highlight w:val="none"/>
        </w:rPr>
      </w:pPr>
      <w:r>
        <w:rPr>
          <w:rFonts w:hint="eastAsia"/>
          <w:color w:val="auto"/>
          <w:highlight w:val="none"/>
        </w:rPr>
        <w:t>注：</w:t>
      </w:r>
      <w:r>
        <w:rPr>
          <w:color w:val="auto"/>
          <w:highlight w:val="none"/>
        </w:rPr>
        <w:t>①</w:t>
      </w:r>
      <w:r>
        <w:rPr>
          <w:rFonts w:hint="eastAsia"/>
          <w:color w:val="auto"/>
          <w:highlight w:val="none"/>
        </w:rPr>
        <w:t>供应商应当根据本项目实际情况提供真实、客观的证明材料。</w:t>
      </w:r>
    </w:p>
    <w:p>
      <w:pPr>
        <w:pStyle w:val="52"/>
        <w:ind w:firstLine="482"/>
        <w:rPr>
          <w:color w:val="auto"/>
          <w:highlight w:val="none"/>
        </w:rPr>
      </w:pPr>
      <w:r>
        <w:rPr>
          <w:color w:val="auto"/>
          <w:highlight w:val="none"/>
        </w:rPr>
        <w:t>②</w:t>
      </w:r>
      <w:r>
        <w:rPr>
          <w:rFonts w:hint="eastAsia"/>
          <w:color w:val="auto"/>
          <w:highlight w:val="none"/>
        </w:rPr>
        <w:t>供应商应当保证所提交的所有材料的真实性，若提交虚假材料谋取成交的，应上报同级监管部门依法处理。</w:t>
      </w:r>
    </w:p>
    <w:p>
      <w:pPr>
        <w:pStyle w:val="13"/>
        <w:adjustRightInd/>
        <w:snapToGrid/>
        <w:spacing w:after="0"/>
        <w:ind w:firstLine="482" w:firstLineChars="200"/>
        <w:rPr>
          <w:rFonts w:asciiTheme="minorEastAsia" w:hAnsiTheme="minorEastAsia" w:eastAsiaTheme="minorEastAsia" w:cstheme="minorEastAsia"/>
          <w:b/>
          <w:bCs/>
          <w:color w:val="auto"/>
          <w:highlight w:val="none"/>
        </w:rPr>
      </w:pPr>
      <w:r>
        <w:rPr>
          <w:b/>
          <w:bCs/>
          <w:color w:val="auto"/>
          <w:highlight w:val="none"/>
        </w:rPr>
        <w:t>③</w:t>
      </w:r>
      <w:r>
        <w:rPr>
          <w:rFonts w:hint="eastAsia"/>
          <w:b/>
          <w:bCs/>
          <w:color w:val="auto"/>
          <w:highlight w:val="none"/>
        </w:rPr>
        <w:t>供应商根据项目的实际需求和具体情况实事求是地编制响应文件，能具体量化，具有可行性及便于监督考核，不得违反法律、法规规定，不得夸大其词和空口许诺。</w:t>
      </w:r>
    </w:p>
    <w:p>
      <w:pPr>
        <w:pStyle w:val="31"/>
        <w:ind w:firstLine="482"/>
        <w:rPr>
          <w:color w:val="auto"/>
          <w:highlight w:val="none"/>
        </w:rPr>
      </w:pPr>
      <w:bookmarkStart w:id="435" w:name="_Toc14104"/>
      <w:r>
        <w:rPr>
          <w:rFonts w:hint="eastAsia"/>
          <w:color w:val="auto"/>
          <w:highlight w:val="none"/>
        </w:rPr>
        <w:t>其他</w:t>
      </w:r>
      <w:bookmarkEnd w:id="359"/>
      <w:bookmarkEnd w:id="360"/>
      <w:bookmarkEnd w:id="433"/>
      <w:bookmarkEnd w:id="435"/>
    </w:p>
    <w:bookmarkEnd w:id="346"/>
    <w:bookmarkEnd w:id="347"/>
    <w:bookmarkEnd w:id="348"/>
    <w:bookmarkEnd w:id="349"/>
    <w:bookmarkEnd w:id="350"/>
    <w:bookmarkEnd w:id="351"/>
    <w:p>
      <w:pPr>
        <w:pStyle w:val="3"/>
        <w:numPr>
          <w:ilvl w:val="0"/>
          <w:numId w:val="29"/>
        </w:numPr>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政府采购合同签订时间及要求：供应商自成交通知书发出之日起30日内与采购人签订政府采购合同。供应商在签订采购合同时，应向采购人提供截止合同签订之日的行贿犯罪查询记录(包含供应商名称、法定代表人、主要负责人、签订合同的授权代表)，以及授权代表在职和社保证明，未提供的采购人有权拒绝签订采购合同。</w:t>
      </w:r>
    </w:p>
    <w:p>
      <w:pPr>
        <w:pStyle w:val="3"/>
        <w:numPr>
          <w:ilvl w:val="0"/>
          <w:numId w:val="29"/>
        </w:numPr>
        <w:spacing w:line="440" w:lineRule="exact"/>
        <w:ind w:firstLine="480" w:firstLineChars="200"/>
        <w:rPr>
          <w:rFonts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color w:val="auto"/>
          <w:sz w:val="24"/>
          <w:szCs w:val="24"/>
          <w:highlight w:val="none"/>
        </w:rPr>
        <w:t>供应商服务从业人员在服务期间发生伤亡事故，或在服务过程中造成第三人伤亡的，责任由供应商承担</w:t>
      </w:r>
      <w:r>
        <w:rPr>
          <w:rFonts w:hint="eastAsia" w:asciiTheme="minorEastAsia" w:hAnsiTheme="minorEastAsia" w:eastAsiaTheme="minorEastAsia" w:cstheme="minorEastAsia"/>
          <w:b/>
          <w:bCs/>
          <w:color w:val="auto"/>
          <w:sz w:val="24"/>
          <w:szCs w:val="24"/>
          <w:highlight w:val="none"/>
        </w:rPr>
        <w:t>(</w:t>
      </w:r>
      <w:r>
        <w:rPr>
          <w:rFonts w:asciiTheme="minorEastAsia" w:hAnsiTheme="minorEastAsia" w:eastAsiaTheme="minorEastAsia" w:cstheme="minorEastAsia"/>
          <w:b/>
          <w:bCs/>
          <w:color w:val="auto"/>
          <w:sz w:val="24"/>
          <w:szCs w:val="24"/>
          <w:highlight w:val="none"/>
        </w:rPr>
        <w:t>应在</w:t>
      </w:r>
      <w:r>
        <w:rPr>
          <w:rFonts w:hint="eastAsia" w:asciiTheme="minorEastAsia" w:hAnsiTheme="minorEastAsia" w:eastAsiaTheme="minorEastAsia" w:cstheme="minorEastAsia"/>
          <w:b/>
          <w:bCs/>
          <w:color w:val="auto"/>
          <w:sz w:val="24"/>
          <w:szCs w:val="24"/>
          <w:highlight w:val="none"/>
        </w:rPr>
        <w:t>响应</w:t>
      </w:r>
      <w:r>
        <w:rPr>
          <w:rFonts w:asciiTheme="minorEastAsia" w:hAnsiTheme="minorEastAsia" w:eastAsiaTheme="minorEastAsia" w:cstheme="minorEastAsia"/>
          <w:b/>
          <w:bCs/>
          <w:color w:val="auto"/>
          <w:sz w:val="24"/>
          <w:szCs w:val="24"/>
          <w:highlight w:val="none"/>
        </w:rPr>
        <w:t>文件中提供承诺函进行响应，格式自拟</w:t>
      </w:r>
      <w:r>
        <w:rPr>
          <w:rFonts w:hint="eastAsia" w:asciiTheme="minorEastAsia" w:hAnsiTheme="minorEastAsia" w:eastAsiaTheme="minorEastAsia" w:cstheme="minorEastAsia"/>
          <w:b/>
          <w:bCs/>
          <w:color w:val="auto"/>
          <w:sz w:val="24"/>
          <w:szCs w:val="24"/>
          <w:highlight w:val="none"/>
        </w:rPr>
        <w:t>)</w:t>
      </w:r>
      <w:r>
        <w:rPr>
          <w:rFonts w:asciiTheme="minorEastAsia" w:hAnsiTheme="minorEastAsia" w:eastAsiaTheme="minorEastAsia" w:cstheme="minorEastAsia"/>
          <w:color w:val="auto"/>
          <w:sz w:val="24"/>
          <w:szCs w:val="24"/>
          <w:highlight w:val="none"/>
        </w:rPr>
        <w:t>。</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3.供应商在项目执行过程中定期及时向采购人通告本项目重大事项及其进度。</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4.接受项目行业管理部门及政府有关部门的指导，接受采购人的监督。</w:t>
      </w:r>
    </w:p>
    <w:p>
      <w:pPr>
        <w:pStyle w:val="3"/>
        <w:spacing w:line="440" w:lineRule="exact"/>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5.政府采购合同文本的主要条款、履约验收等要求详见竞争性磋商文件第八章。</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6.本项目采购过程和合同履行过程中的风险严格按照采购人的风险控制管理要求执行。</w:t>
      </w:r>
    </w:p>
    <w:p>
      <w:pPr>
        <w:pStyle w:val="52"/>
        <w:ind w:firstLine="482"/>
        <w:rPr>
          <w:color w:val="auto"/>
          <w:highlight w:val="none"/>
        </w:rPr>
      </w:pPr>
    </w:p>
    <w:p>
      <w:pPr>
        <w:pStyle w:val="52"/>
        <w:ind w:firstLine="482"/>
        <w:rPr>
          <w:color w:val="auto"/>
          <w:highlight w:val="none"/>
        </w:rPr>
      </w:pPr>
      <w:r>
        <w:rPr>
          <w:rFonts w:hint="eastAsia"/>
          <w:color w:val="auto"/>
          <w:highlight w:val="none"/>
        </w:rPr>
        <w:t>注意：本章带“★”号条款为实质性要求，供应商若未满足的，将被视为无效响应。</w:t>
      </w:r>
    </w:p>
    <w:p>
      <w:pPr>
        <w:pStyle w:val="30"/>
        <w:rPr>
          <w:color w:val="auto"/>
          <w:highlight w:val="none"/>
        </w:rPr>
      </w:pPr>
      <w:r>
        <w:rPr>
          <w:rFonts w:hint="eastAsia"/>
          <w:color w:val="auto"/>
          <w:highlight w:val="none"/>
        </w:rPr>
        <w:br w:type="page"/>
      </w:r>
    </w:p>
    <w:bookmarkEnd w:id="320"/>
    <w:bookmarkEnd w:id="321"/>
    <w:bookmarkEnd w:id="322"/>
    <w:p>
      <w:pPr>
        <w:pStyle w:val="29"/>
        <w:numPr>
          <w:ilvl w:val="0"/>
          <w:numId w:val="23"/>
        </w:numPr>
        <w:spacing w:before="120" w:after="120"/>
        <w:rPr>
          <w:color w:val="auto"/>
          <w:highlight w:val="none"/>
        </w:rPr>
      </w:pPr>
      <w:bookmarkStart w:id="436" w:name="_Hlt101846155"/>
      <w:bookmarkEnd w:id="436"/>
      <w:bookmarkStart w:id="437" w:name="_Toc2895"/>
      <w:bookmarkStart w:id="438" w:name="_Toc208849007"/>
      <w:bookmarkStart w:id="439" w:name="_Toc308084645"/>
      <w:bookmarkStart w:id="440" w:name="_Toc26923"/>
      <w:bookmarkStart w:id="441" w:name="_Toc319440188"/>
      <w:bookmarkStart w:id="442" w:name="_Toc1543"/>
      <w:bookmarkStart w:id="443" w:name="_Toc3881"/>
      <w:bookmarkStart w:id="444" w:name="_Toc2232"/>
      <w:bookmarkStart w:id="445" w:name="_Toc307501154"/>
      <w:bookmarkStart w:id="446" w:name="_Toc483"/>
      <w:bookmarkStart w:id="447" w:name="_Toc217446097"/>
      <w:bookmarkStart w:id="448" w:name="_Toc21302"/>
      <w:bookmarkStart w:id="449" w:name="_Toc309897563"/>
      <w:bookmarkStart w:id="450" w:name="_Toc319439946"/>
      <w:bookmarkStart w:id="451" w:name="_Toc25959"/>
      <w:bookmarkStart w:id="452" w:name="_Toc307564896"/>
      <w:bookmarkStart w:id="453" w:name="_Toc183682415"/>
      <w:bookmarkStart w:id="454" w:name="_Toc327196339"/>
      <w:bookmarkStart w:id="455" w:name="_Toc183582280"/>
      <w:bookmarkStart w:id="456" w:name="_Toc4553"/>
      <w:bookmarkStart w:id="457" w:name="_Toc308188198"/>
      <w:bookmarkStart w:id="458" w:name="_Toc25435"/>
      <w:bookmarkStart w:id="459" w:name="_Toc11039"/>
      <w:r>
        <w:rPr>
          <w:rFonts w:hint="eastAsia"/>
          <w:color w:val="auto"/>
          <w:highlight w:val="none"/>
        </w:rPr>
        <w:t>磋商程序</w:t>
      </w:r>
      <w:bookmarkEnd w:id="437"/>
    </w:p>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Pr>
        <w:pStyle w:val="34"/>
        <w:rPr>
          <w:color w:val="auto"/>
          <w:highlight w:val="none"/>
        </w:rPr>
      </w:pPr>
      <w:bookmarkStart w:id="460" w:name="_Toc28956"/>
      <w:r>
        <w:rPr>
          <w:rFonts w:hint="eastAsia"/>
          <w:color w:val="auto"/>
          <w:highlight w:val="none"/>
        </w:rPr>
        <w:t>根据《中华人民共和国政府采购法》、《中华人民共和国政府采购法实施条例》、《政府采购竞争性磋商采购方式管理暂行办法》等法律法规并结合本次采购项目的特点制定本评审程序、评审方法、评审标准。</w:t>
      </w:r>
    </w:p>
    <w:p>
      <w:pPr>
        <w:pStyle w:val="31"/>
        <w:numPr>
          <w:ilvl w:val="1"/>
          <w:numId w:val="26"/>
        </w:numPr>
        <w:ind w:firstLine="482"/>
        <w:rPr>
          <w:color w:val="auto"/>
          <w:highlight w:val="none"/>
        </w:rPr>
      </w:pPr>
      <w:bookmarkStart w:id="461" w:name="_Toc2426"/>
      <w:bookmarkStart w:id="462" w:name="_Toc7941"/>
      <w:r>
        <w:rPr>
          <w:rFonts w:hint="eastAsia"/>
          <w:color w:val="auto"/>
          <w:highlight w:val="none"/>
        </w:rPr>
        <w:t>磋商小组及专家组成</w:t>
      </w:r>
      <w:bookmarkEnd w:id="461"/>
      <w:bookmarkEnd w:id="462"/>
    </w:p>
    <w:p>
      <w:pPr>
        <w:pStyle w:val="34"/>
        <w:rPr>
          <w:color w:val="auto"/>
          <w:highlight w:val="none"/>
        </w:rPr>
      </w:pPr>
      <w:r>
        <w:rPr>
          <w:rFonts w:hint="eastAsia"/>
          <w:color w:val="auto"/>
          <w:highlight w:val="none"/>
        </w:rPr>
        <w:t>根据《政府采购竞争性磋商采购方式管理暂行办法》等规定，结合本次采购项目的实际情况依法组建磋商小组，负责本次采购项目的竞争性磋商和评审工作。磋商小组由采购人代表和评审专家共3人以上单数组成，达到公开招标数额标准的服务采购项目，评审委员会应当由5人以上单数组成，其中评审专家人数不得少于成员总数的2/3。采购人代表不得以评审专家的身份参加本部门或本单位采购项目的评审。采购代理机构人员不得参加本机构代理的采购项目的评审。</w:t>
      </w:r>
    </w:p>
    <w:p>
      <w:pPr>
        <w:pStyle w:val="31"/>
        <w:numPr>
          <w:ilvl w:val="1"/>
          <w:numId w:val="26"/>
        </w:numPr>
        <w:ind w:firstLine="482"/>
        <w:rPr>
          <w:color w:val="auto"/>
          <w:highlight w:val="none"/>
        </w:rPr>
      </w:pPr>
      <w:bookmarkStart w:id="463" w:name="_Toc10809"/>
      <w:bookmarkStart w:id="464" w:name="_Toc2442"/>
      <w:bookmarkStart w:id="465" w:name="_Toc15700"/>
      <w:bookmarkStart w:id="466" w:name="_Toc15935"/>
      <w:bookmarkStart w:id="467" w:name="_Toc4151"/>
      <w:r>
        <w:rPr>
          <w:rFonts w:hint="eastAsia"/>
          <w:color w:val="auto"/>
          <w:highlight w:val="none"/>
        </w:rPr>
        <w:t>磋商组织</w:t>
      </w:r>
      <w:bookmarkEnd w:id="463"/>
      <w:bookmarkEnd w:id="464"/>
      <w:bookmarkEnd w:id="465"/>
      <w:bookmarkEnd w:id="466"/>
      <w:bookmarkEnd w:id="467"/>
    </w:p>
    <w:p>
      <w:pPr>
        <w:pStyle w:val="34"/>
        <w:rPr>
          <w:color w:val="auto"/>
          <w:highlight w:val="none"/>
          <w:lang w:val="zh-CN"/>
        </w:rPr>
      </w:pPr>
      <w:r>
        <w:rPr>
          <w:rFonts w:hint="eastAsia"/>
          <w:color w:val="auto"/>
          <w:highlight w:val="none"/>
        </w:rPr>
        <w:t>(一)</w:t>
      </w:r>
      <w:r>
        <w:rPr>
          <w:rFonts w:hint="eastAsia"/>
          <w:color w:val="auto"/>
          <w:highlight w:val="none"/>
          <w:lang w:val="zh-CN"/>
        </w:rPr>
        <w:t>磋商工作由采购代理机构组织，具体磋商事务由依法组建的磋商小组负责。</w:t>
      </w:r>
    </w:p>
    <w:p>
      <w:pPr>
        <w:pStyle w:val="34"/>
        <w:rPr>
          <w:color w:val="auto"/>
          <w:highlight w:val="none"/>
        </w:rPr>
      </w:pPr>
      <w:r>
        <w:rPr>
          <w:rFonts w:hint="eastAsia"/>
          <w:color w:val="auto"/>
          <w:highlight w:val="none"/>
        </w:rPr>
        <w:t>(二)磋商小组成员应当按照客观、公正、审慎的原则，根据磋商文件规定的评审程序、评审方法和评审标准进行独立评审。未实质性响应磋商文件的响应文件按无效响应处理，磋商小组应当告知提交响应文件的供应商。</w:t>
      </w:r>
    </w:p>
    <w:p>
      <w:pPr>
        <w:pStyle w:val="34"/>
        <w:rPr>
          <w:color w:val="auto"/>
          <w:highlight w:val="none"/>
        </w:rPr>
      </w:pPr>
      <w:r>
        <w:rPr>
          <w:rFonts w:hint="eastAsia"/>
          <w:color w:val="auto"/>
          <w:highlight w:val="none"/>
        </w:rPr>
        <w:t>(三)磋商文件内容违反国家有关强制性规定的，磋商小组应当停止评审并向采购人或者采购代理机构说明情况(注明法律法规依据)。</w:t>
      </w:r>
    </w:p>
    <w:p>
      <w:pPr>
        <w:pStyle w:val="34"/>
        <w:rPr>
          <w:color w:val="auto"/>
          <w:highlight w:val="none"/>
        </w:rPr>
      </w:pPr>
      <w:r>
        <w:rPr>
          <w:rFonts w:hint="eastAsia"/>
          <w:color w:val="auto"/>
          <w:highlight w:val="none"/>
        </w:rPr>
        <w:t>(四)磋商小组按照磋商文件规定的评审程序、评审方法和评审标准进行独立评审，并履行下列职责：</w:t>
      </w:r>
    </w:p>
    <w:p>
      <w:pPr>
        <w:pStyle w:val="34"/>
        <w:rPr>
          <w:color w:val="auto"/>
          <w:highlight w:val="none"/>
        </w:rPr>
      </w:pPr>
      <w:r>
        <w:rPr>
          <w:rFonts w:hint="eastAsia"/>
          <w:color w:val="auto"/>
          <w:highlight w:val="none"/>
        </w:rPr>
        <w:t>1.熟悉和理解磋商文件，确定磋商文件内容是否违反国家有关强制性规定或者磋商文件存在歧义、重大缺陷，根据需要书面要求采购人、采购代理机构对磋商文件作出解释。采购代理机构的解释不得改变磋商文件的原义或者影响公平、公正，解释事项如果涉及供应商权益的以有利于供应商的原则进行解释。</w:t>
      </w:r>
    </w:p>
    <w:p>
      <w:pPr>
        <w:pStyle w:val="34"/>
        <w:rPr>
          <w:color w:val="auto"/>
          <w:highlight w:val="none"/>
        </w:rPr>
      </w:pPr>
      <w:r>
        <w:rPr>
          <w:rFonts w:hint="eastAsia"/>
          <w:color w:val="auto"/>
          <w:highlight w:val="none"/>
        </w:rPr>
        <w:t>2.审查供应商响应文件是否满足磋商文件要求，并作出公正评价；</w:t>
      </w:r>
    </w:p>
    <w:p>
      <w:pPr>
        <w:pStyle w:val="34"/>
        <w:rPr>
          <w:color w:val="auto"/>
          <w:highlight w:val="none"/>
        </w:rPr>
      </w:pPr>
      <w:r>
        <w:rPr>
          <w:rFonts w:hint="eastAsia"/>
          <w:color w:val="auto"/>
          <w:highlight w:val="none"/>
        </w:rPr>
        <w:t>3.根据需要书面要求供应商对响应文件中含义不明确、同类问题表述不一致或者有明显文字和计算错误的内容等作出必要的澄清、说明或者更正，并给予供应商必要的反馈时间；</w:t>
      </w:r>
    </w:p>
    <w:p>
      <w:pPr>
        <w:pStyle w:val="34"/>
        <w:rPr>
          <w:color w:val="auto"/>
          <w:highlight w:val="none"/>
        </w:rPr>
      </w:pPr>
      <w:r>
        <w:rPr>
          <w:rFonts w:hint="eastAsia"/>
          <w:color w:val="auto"/>
          <w:highlight w:val="none"/>
        </w:rPr>
        <w:t>4.推荐成交供应商，或者受采购人委托确定成交供应商；</w:t>
      </w:r>
    </w:p>
    <w:p>
      <w:pPr>
        <w:pStyle w:val="34"/>
        <w:rPr>
          <w:color w:val="auto"/>
          <w:highlight w:val="none"/>
        </w:rPr>
      </w:pPr>
      <w:r>
        <w:rPr>
          <w:rFonts w:hint="eastAsia"/>
          <w:color w:val="auto"/>
          <w:highlight w:val="none"/>
        </w:rPr>
        <w:t>5.起草评审报告并进行签署；</w:t>
      </w:r>
    </w:p>
    <w:p>
      <w:pPr>
        <w:pStyle w:val="34"/>
        <w:rPr>
          <w:color w:val="auto"/>
          <w:highlight w:val="none"/>
        </w:rPr>
      </w:pPr>
      <w:r>
        <w:rPr>
          <w:rFonts w:hint="eastAsia"/>
          <w:color w:val="auto"/>
          <w:highlight w:val="none"/>
        </w:rPr>
        <w:t>6.向采购人、采购代理机构、财政部门或者其他监督部门报告非法干预评审工作的行为；</w:t>
      </w:r>
    </w:p>
    <w:p>
      <w:pPr>
        <w:pStyle w:val="34"/>
        <w:rPr>
          <w:color w:val="auto"/>
          <w:highlight w:val="none"/>
        </w:rPr>
      </w:pPr>
      <w:r>
        <w:rPr>
          <w:rFonts w:hint="eastAsia"/>
          <w:color w:val="auto"/>
          <w:highlight w:val="none"/>
        </w:rPr>
        <w:t>7.法律、法规和规章规定的其他职责。</w:t>
      </w:r>
    </w:p>
    <w:p>
      <w:pPr>
        <w:pStyle w:val="31"/>
        <w:numPr>
          <w:ilvl w:val="1"/>
          <w:numId w:val="26"/>
        </w:numPr>
        <w:ind w:firstLine="482"/>
        <w:rPr>
          <w:color w:val="auto"/>
          <w:highlight w:val="none"/>
        </w:rPr>
      </w:pPr>
      <w:bookmarkStart w:id="468" w:name="_Toc10940"/>
      <w:bookmarkStart w:id="469" w:name="_Toc25397"/>
      <w:bookmarkStart w:id="470" w:name="_Toc19418"/>
      <w:bookmarkStart w:id="471" w:name="_Toc30112"/>
      <w:bookmarkStart w:id="472" w:name="_Toc25873"/>
      <w:r>
        <w:rPr>
          <w:rFonts w:hint="eastAsia"/>
          <w:color w:val="auto"/>
          <w:highlight w:val="none"/>
        </w:rPr>
        <w:t>评审程序</w:t>
      </w:r>
      <w:bookmarkEnd w:id="468"/>
      <w:bookmarkEnd w:id="469"/>
      <w:bookmarkEnd w:id="470"/>
      <w:bookmarkEnd w:id="471"/>
      <w:bookmarkEnd w:id="472"/>
    </w:p>
    <w:p>
      <w:pPr>
        <w:pStyle w:val="32"/>
        <w:numPr>
          <w:ilvl w:val="2"/>
          <w:numId w:val="26"/>
        </w:numPr>
        <w:ind w:firstLine="482"/>
        <w:rPr>
          <w:color w:val="auto"/>
          <w:highlight w:val="none"/>
        </w:rPr>
      </w:pPr>
      <w:bookmarkStart w:id="473" w:name="_Toc3958"/>
      <w:bookmarkStart w:id="474" w:name="_Toc13257"/>
      <w:r>
        <w:rPr>
          <w:rFonts w:hint="eastAsia"/>
          <w:color w:val="auto"/>
          <w:highlight w:val="none"/>
        </w:rPr>
        <w:t>供应商资格审查</w:t>
      </w:r>
      <w:bookmarkEnd w:id="473"/>
      <w:bookmarkEnd w:id="474"/>
    </w:p>
    <w:p>
      <w:pPr>
        <w:pStyle w:val="33"/>
        <w:numPr>
          <w:ilvl w:val="3"/>
          <w:numId w:val="26"/>
        </w:numPr>
        <w:ind w:firstLine="480"/>
        <w:rPr>
          <w:color w:val="auto"/>
          <w:highlight w:val="none"/>
          <w:lang w:val="zh-CN"/>
        </w:rPr>
      </w:pPr>
      <w:r>
        <w:rPr>
          <w:rFonts w:hint="eastAsia"/>
          <w:color w:val="auto"/>
          <w:highlight w:val="none"/>
          <w:lang w:val="zh-CN"/>
        </w:rPr>
        <w:t>在</w:t>
      </w:r>
      <w:r>
        <w:rPr>
          <w:rFonts w:hint="eastAsia"/>
          <w:color w:val="auto"/>
          <w:highlight w:val="none"/>
        </w:rPr>
        <w:t>开启时间</w:t>
      </w:r>
      <w:r>
        <w:rPr>
          <w:rFonts w:hint="eastAsia"/>
          <w:color w:val="auto"/>
          <w:highlight w:val="none"/>
          <w:lang w:val="zh-CN"/>
        </w:rPr>
        <w:t>后，采购代理机构组织磋商小组对递交响应文件的供应商进行资格审查，确定参加磋商的供应商名单。</w:t>
      </w:r>
    </w:p>
    <w:p>
      <w:pPr>
        <w:pStyle w:val="33"/>
        <w:numPr>
          <w:ilvl w:val="3"/>
          <w:numId w:val="26"/>
        </w:numPr>
        <w:ind w:firstLine="480"/>
        <w:rPr>
          <w:color w:val="auto"/>
          <w:highlight w:val="none"/>
          <w:lang w:val="zh-CN"/>
        </w:rPr>
      </w:pPr>
      <w:r>
        <w:rPr>
          <w:rFonts w:hint="eastAsia"/>
          <w:color w:val="auto"/>
          <w:highlight w:val="none"/>
          <w:lang w:val="zh-CN"/>
        </w:rPr>
        <w:t>确定参加磋商的供应商数量采用合格制，即磋商小组对各供应商资格审查后，凡符合本竞争性磋商文件规定资格条件的，均进入参加磋商的供应商名单。</w:t>
      </w:r>
    </w:p>
    <w:p>
      <w:pPr>
        <w:pStyle w:val="33"/>
        <w:numPr>
          <w:ilvl w:val="3"/>
          <w:numId w:val="26"/>
        </w:numPr>
        <w:ind w:firstLine="480"/>
        <w:rPr>
          <w:color w:val="auto"/>
          <w:highlight w:val="none"/>
          <w:lang w:val="zh-CN"/>
        </w:rPr>
      </w:pPr>
      <w:r>
        <w:rPr>
          <w:rFonts w:hint="eastAsia"/>
          <w:color w:val="auto"/>
          <w:highlight w:val="none"/>
          <w:lang w:val="zh-CN"/>
        </w:rPr>
        <w:t>评审委员会资格审查结束后，应当向采购人、采购代理机构出具资格审查报告，确定参加磋商的供应商名单，并说明未通过资格审查的供应商未通过的原因。</w:t>
      </w:r>
    </w:p>
    <w:p>
      <w:pPr>
        <w:pStyle w:val="33"/>
        <w:numPr>
          <w:ilvl w:val="3"/>
          <w:numId w:val="26"/>
        </w:numPr>
        <w:ind w:firstLine="480"/>
        <w:rPr>
          <w:color w:val="auto"/>
          <w:highlight w:val="none"/>
          <w:lang w:val="zh-CN"/>
        </w:rPr>
      </w:pPr>
      <w:r>
        <w:rPr>
          <w:rFonts w:hint="eastAsia"/>
          <w:color w:val="auto"/>
          <w:highlight w:val="none"/>
          <w:lang w:val="zh-CN"/>
        </w:rPr>
        <w:t>资格审查报告应当由全体评审委员会成员签字确认。评审委员会成员对资格审查过程和结果有不同意见的，应当在资格审查报告中写明并说明理由。签字但不写明不同意见或者不说明理由的，视同无意见。拒不签字又不另行书面说明其不同意见和理由的，视同同意资格审查结果。</w:t>
      </w:r>
    </w:p>
    <w:p>
      <w:pPr>
        <w:pStyle w:val="33"/>
        <w:numPr>
          <w:ilvl w:val="3"/>
          <w:numId w:val="26"/>
        </w:numPr>
        <w:ind w:firstLine="480"/>
        <w:rPr>
          <w:color w:val="auto"/>
          <w:highlight w:val="none"/>
          <w:lang w:val="zh-CN"/>
        </w:rPr>
      </w:pPr>
      <w:r>
        <w:rPr>
          <w:rFonts w:hint="eastAsia"/>
          <w:color w:val="auto"/>
          <w:highlight w:val="none"/>
          <w:lang w:val="zh-CN"/>
        </w:rPr>
        <w:t>评审委员会出具资格审查报告后，采购人、采购代理机构应当将通过资格审查和未通过资格审查的供应商名单向所有递交响应文件的供应商当场宣布，并告知未通过资格审查的供应商未通过资格审查的原因，但涉及商业秘密的除外。</w:t>
      </w:r>
      <w:r>
        <w:rPr>
          <w:rFonts w:hint="eastAsia"/>
          <w:color w:val="auto"/>
          <w:highlight w:val="none"/>
        </w:rPr>
        <w:t>同时在磋商结果公示中向社会公开。</w:t>
      </w:r>
    </w:p>
    <w:p>
      <w:pPr>
        <w:pStyle w:val="32"/>
        <w:numPr>
          <w:ilvl w:val="2"/>
          <w:numId w:val="26"/>
        </w:numPr>
        <w:ind w:firstLine="482"/>
        <w:rPr>
          <w:color w:val="auto"/>
          <w:highlight w:val="none"/>
        </w:rPr>
      </w:pPr>
      <w:bookmarkStart w:id="475" w:name="_Toc10195"/>
      <w:bookmarkStart w:id="476" w:name="_Toc2214"/>
      <w:r>
        <w:rPr>
          <w:rFonts w:hint="eastAsia"/>
          <w:color w:val="auto"/>
          <w:highlight w:val="none"/>
        </w:rPr>
        <w:t>磋商</w:t>
      </w:r>
      <w:bookmarkEnd w:id="475"/>
      <w:bookmarkEnd w:id="476"/>
    </w:p>
    <w:p>
      <w:pPr>
        <w:pStyle w:val="33"/>
        <w:numPr>
          <w:ilvl w:val="3"/>
          <w:numId w:val="26"/>
        </w:numPr>
        <w:ind w:firstLine="480"/>
        <w:rPr>
          <w:color w:val="auto"/>
          <w:highlight w:val="none"/>
        </w:rPr>
      </w:pPr>
      <w:r>
        <w:rPr>
          <w:rFonts w:hint="eastAsia"/>
          <w:color w:val="auto"/>
          <w:highlight w:val="none"/>
        </w:rPr>
        <w:t>供应商资格审查结束后，采购人、采购代理机构应当组织评审委员会按照磋商文件的规定与通过资格审查的供应商分别进行磋商。磋商顺序以现场抽签的方式确定。磋商过程中，磋商小组可以根据磋商情况调整磋商轮次。每轮磋商开始前，磋商小组应根据磋商文件的规定，并结合各供应商的响应文件拟定磋商内容。</w:t>
      </w:r>
    </w:p>
    <w:p>
      <w:pPr>
        <w:pStyle w:val="33"/>
        <w:numPr>
          <w:ilvl w:val="3"/>
          <w:numId w:val="26"/>
        </w:numPr>
        <w:ind w:firstLine="480"/>
        <w:rPr>
          <w:color w:val="auto"/>
          <w:highlight w:val="none"/>
          <w:lang w:val="zh-CN"/>
        </w:rPr>
      </w:pPr>
      <w:r>
        <w:rPr>
          <w:color w:val="auto"/>
          <w:highlight w:val="none"/>
        </w:rPr>
        <w:t>磋商过程中，</w:t>
      </w:r>
      <w:r>
        <w:rPr>
          <w:color w:val="auto"/>
          <w:highlight w:val="none"/>
          <w:lang w:val="zh-CN"/>
        </w:rPr>
        <w:t>磋商小组对响应文件的有效性、完整性和响应程度进行审查，审查中发现供应商响应文件属于下列情况之一的，应按照无效响应文件处理：</w:t>
      </w:r>
    </w:p>
    <w:p>
      <w:pPr>
        <w:pStyle w:val="35"/>
        <w:numPr>
          <w:ilvl w:val="4"/>
          <w:numId w:val="26"/>
        </w:numPr>
        <w:ind w:firstLine="480"/>
        <w:rPr>
          <w:color w:val="auto"/>
          <w:highlight w:val="none"/>
          <w:lang w:val="zh-CN"/>
        </w:rPr>
      </w:pPr>
      <w:r>
        <w:rPr>
          <w:color w:val="auto"/>
          <w:highlight w:val="none"/>
          <w:lang w:val="zh-CN"/>
        </w:rPr>
        <w:t>响应文件正副本数量不足的；</w:t>
      </w:r>
    </w:p>
    <w:p>
      <w:pPr>
        <w:pStyle w:val="35"/>
        <w:numPr>
          <w:ilvl w:val="4"/>
          <w:numId w:val="26"/>
        </w:numPr>
        <w:ind w:firstLine="480"/>
        <w:rPr>
          <w:color w:val="auto"/>
          <w:highlight w:val="none"/>
          <w:lang w:val="zh-CN"/>
        </w:rPr>
      </w:pPr>
      <w:r>
        <w:rPr>
          <w:color w:val="auto"/>
          <w:highlight w:val="none"/>
          <w:lang w:val="zh-CN"/>
        </w:rPr>
        <w:t>响应文件的语言、计量单位、</w:t>
      </w:r>
      <w:r>
        <w:rPr>
          <w:rFonts w:hint="eastAsia"/>
          <w:color w:val="auto"/>
          <w:highlight w:val="none"/>
          <w:lang w:val="zh-CN"/>
        </w:rPr>
        <w:t>知识产权、磋商有效期</w:t>
      </w:r>
      <w:r>
        <w:rPr>
          <w:color w:val="auto"/>
          <w:highlight w:val="none"/>
          <w:lang w:val="zh-CN"/>
        </w:rPr>
        <w:t>等不符合</w:t>
      </w:r>
      <w:r>
        <w:rPr>
          <w:rFonts w:hint="eastAsia"/>
          <w:color w:val="auto"/>
          <w:highlight w:val="none"/>
          <w:lang w:val="zh-CN"/>
        </w:rPr>
        <w:t>磋商文件</w:t>
      </w:r>
      <w:r>
        <w:rPr>
          <w:color w:val="auto"/>
          <w:highlight w:val="none"/>
          <w:lang w:val="zh-CN"/>
        </w:rPr>
        <w:t>的规定，影响磋商小组评判的；</w:t>
      </w:r>
    </w:p>
    <w:p>
      <w:pPr>
        <w:pStyle w:val="33"/>
        <w:numPr>
          <w:ilvl w:val="3"/>
          <w:numId w:val="26"/>
        </w:numPr>
        <w:ind w:firstLine="480"/>
        <w:rPr>
          <w:color w:val="auto"/>
          <w:highlight w:val="none"/>
          <w:lang w:val="zh-CN"/>
        </w:rPr>
      </w:pPr>
      <w:r>
        <w:rPr>
          <w:color w:val="auto"/>
          <w:highlight w:val="none"/>
          <w:lang w:val="zh-CN"/>
        </w:rPr>
        <w:t>但磋商小组对响应文件签署、盖章等进行审查过程中，有下列情形的，磋商小组应当评定为不影响整个响应文件有效性和采购活动公平竞争，并通过响应文件的有效性审查：</w:t>
      </w:r>
    </w:p>
    <w:p>
      <w:pPr>
        <w:pStyle w:val="35"/>
        <w:numPr>
          <w:ilvl w:val="4"/>
          <w:numId w:val="26"/>
        </w:numPr>
        <w:ind w:firstLine="480"/>
        <w:rPr>
          <w:color w:val="auto"/>
          <w:highlight w:val="none"/>
          <w:lang w:val="zh-CN"/>
        </w:rPr>
      </w:pPr>
      <w:r>
        <w:rPr>
          <w:color w:val="auto"/>
          <w:highlight w:val="none"/>
          <w:lang w:val="zh-CN"/>
        </w:rPr>
        <w:t>响应文件正副本数量齐全，只是未按照</w:t>
      </w:r>
      <w:r>
        <w:rPr>
          <w:rFonts w:hint="eastAsia"/>
          <w:color w:val="auto"/>
          <w:highlight w:val="none"/>
          <w:lang w:val="zh-CN"/>
        </w:rPr>
        <w:t>磋商文件</w:t>
      </w:r>
      <w:r>
        <w:rPr>
          <w:color w:val="auto"/>
          <w:highlight w:val="none"/>
          <w:lang w:val="zh-CN"/>
        </w:rPr>
        <w:t>要求进行分装或者统装的；</w:t>
      </w:r>
    </w:p>
    <w:p>
      <w:pPr>
        <w:pStyle w:val="35"/>
        <w:numPr>
          <w:ilvl w:val="4"/>
          <w:numId w:val="26"/>
        </w:numPr>
        <w:ind w:firstLine="480"/>
        <w:rPr>
          <w:color w:val="auto"/>
          <w:highlight w:val="none"/>
          <w:lang w:val="zh-CN"/>
        </w:rPr>
      </w:pPr>
      <w:r>
        <w:rPr>
          <w:color w:val="auto"/>
          <w:highlight w:val="none"/>
          <w:lang w:val="zh-CN"/>
        </w:rPr>
        <w:t>响应文件存在个别地方</w:t>
      </w:r>
      <w:r>
        <w:rPr>
          <w:rFonts w:hint="eastAsia"/>
          <w:color w:val="auto"/>
          <w:highlight w:val="none"/>
          <w:lang w:val="zh-CN"/>
        </w:rPr>
        <w:t>(</w:t>
      </w:r>
      <w:r>
        <w:rPr>
          <w:color w:val="auto"/>
          <w:highlight w:val="none"/>
          <w:lang w:val="zh-CN"/>
        </w:rPr>
        <w:t>总数不能超过2个</w:t>
      </w:r>
      <w:r>
        <w:rPr>
          <w:rFonts w:hint="eastAsia"/>
          <w:color w:val="auto"/>
          <w:highlight w:val="none"/>
          <w:lang w:val="zh-CN"/>
        </w:rPr>
        <w:t>)</w:t>
      </w:r>
      <w:r>
        <w:rPr>
          <w:color w:val="auto"/>
          <w:highlight w:val="none"/>
          <w:lang w:val="zh-CN"/>
        </w:rPr>
        <w:t>没有法定代表人/单位负责人签字，但有法定代表人/单位负责人的私人印章或者有效授权代理人签字的；</w:t>
      </w:r>
    </w:p>
    <w:p>
      <w:pPr>
        <w:pStyle w:val="35"/>
        <w:numPr>
          <w:ilvl w:val="4"/>
          <w:numId w:val="26"/>
        </w:numPr>
        <w:ind w:firstLine="480"/>
        <w:rPr>
          <w:color w:val="auto"/>
          <w:highlight w:val="none"/>
          <w:lang w:val="zh-CN"/>
        </w:rPr>
      </w:pPr>
      <w:r>
        <w:rPr>
          <w:color w:val="auto"/>
          <w:highlight w:val="none"/>
          <w:lang w:val="zh-CN"/>
        </w:rPr>
        <w:t>响应文件除</w:t>
      </w:r>
      <w:r>
        <w:rPr>
          <w:rFonts w:hint="eastAsia"/>
          <w:color w:val="auto"/>
          <w:highlight w:val="none"/>
          <w:lang w:val="zh-CN"/>
        </w:rPr>
        <w:t>磋商文件</w:t>
      </w:r>
      <w:r>
        <w:rPr>
          <w:color w:val="auto"/>
          <w:highlight w:val="none"/>
          <w:lang w:val="zh-CN"/>
        </w:rPr>
        <w:t>明确要求加盖单位(法人)公章的以外，其他地方以相关专用章加盖的；</w:t>
      </w:r>
    </w:p>
    <w:p>
      <w:pPr>
        <w:pStyle w:val="35"/>
        <w:numPr>
          <w:ilvl w:val="4"/>
          <w:numId w:val="26"/>
        </w:numPr>
        <w:ind w:firstLine="480"/>
        <w:rPr>
          <w:color w:val="auto"/>
          <w:highlight w:val="none"/>
          <w:lang w:val="zh-CN"/>
        </w:rPr>
      </w:pPr>
      <w:r>
        <w:rPr>
          <w:color w:val="auto"/>
          <w:highlight w:val="none"/>
          <w:lang w:val="zh-CN"/>
        </w:rPr>
        <w:t>以骑缝章的形式代替响应文件内容逐页盖章的</w:t>
      </w:r>
      <w:r>
        <w:rPr>
          <w:rFonts w:hint="eastAsia"/>
          <w:color w:val="auto"/>
          <w:highlight w:val="none"/>
          <w:lang w:val="zh-CN"/>
        </w:rPr>
        <w:t>(</w:t>
      </w:r>
      <w:r>
        <w:rPr>
          <w:color w:val="auto"/>
          <w:highlight w:val="none"/>
          <w:lang w:val="zh-CN"/>
        </w:rPr>
        <w:t>但是骑缝章模糊不清，印章名称无法辨认的除外</w:t>
      </w:r>
      <w:r>
        <w:rPr>
          <w:rFonts w:hint="eastAsia"/>
          <w:color w:val="auto"/>
          <w:highlight w:val="none"/>
          <w:lang w:val="zh-CN"/>
        </w:rPr>
        <w:t>)</w:t>
      </w:r>
      <w:r>
        <w:rPr>
          <w:color w:val="auto"/>
          <w:highlight w:val="none"/>
          <w:lang w:val="zh-CN"/>
        </w:rPr>
        <w:t>。</w:t>
      </w:r>
    </w:p>
    <w:p>
      <w:pPr>
        <w:pStyle w:val="34"/>
        <w:rPr>
          <w:color w:val="auto"/>
          <w:highlight w:val="none"/>
        </w:rPr>
      </w:pPr>
      <w:r>
        <w:rPr>
          <w:color w:val="auto"/>
          <w:highlight w:val="none"/>
          <w:lang w:val="zh-CN"/>
        </w:rPr>
        <w:t>磋商小组对所有响应文件的有效性、完整性和响应程度进行审查后，向采购代理机构出具有效性、完整性和响应程度审查</w:t>
      </w:r>
      <w:r>
        <w:rPr>
          <w:rFonts w:hint="eastAsia"/>
          <w:color w:val="auto"/>
          <w:highlight w:val="none"/>
        </w:rPr>
        <w:t>意见</w:t>
      </w:r>
      <w:r>
        <w:rPr>
          <w:color w:val="auto"/>
          <w:highlight w:val="none"/>
          <w:lang w:val="zh-CN"/>
        </w:rPr>
        <w:t>，确定继续磋商的供应商名单。没有通过有效性、完整性和响应程度审查的供应商，磋商小组应在有效性、完整性和响应程度审查</w:t>
      </w:r>
      <w:r>
        <w:rPr>
          <w:rFonts w:hint="eastAsia"/>
          <w:color w:val="auto"/>
          <w:highlight w:val="none"/>
        </w:rPr>
        <w:t>意见</w:t>
      </w:r>
      <w:r>
        <w:rPr>
          <w:color w:val="auto"/>
          <w:highlight w:val="none"/>
          <w:lang w:val="zh-CN"/>
        </w:rPr>
        <w:t>中说明原因。</w:t>
      </w:r>
    </w:p>
    <w:p>
      <w:pPr>
        <w:pStyle w:val="33"/>
        <w:numPr>
          <w:ilvl w:val="3"/>
          <w:numId w:val="26"/>
        </w:numPr>
        <w:ind w:firstLine="480"/>
        <w:rPr>
          <w:color w:val="auto"/>
          <w:highlight w:val="none"/>
        </w:rPr>
      </w:pPr>
      <w:r>
        <w:rPr>
          <w:rFonts w:hint="eastAsia"/>
          <w:color w:val="auto"/>
          <w:highlight w:val="none"/>
        </w:rPr>
        <w:t>本项目可能实质性变动的内容：采购需求中的技术、服务要求以及合同草案条款。</w:t>
      </w:r>
    </w:p>
    <w:p>
      <w:pPr>
        <w:pStyle w:val="33"/>
        <w:numPr>
          <w:ilvl w:val="3"/>
          <w:numId w:val="26"/>
        </w:numPr>
        <w:ind w:firstLine="480"/>
        <w:rPr>
          <w:color w:val="auto"/>
          <w:highlight w:val="none"/>
        </w:rPr>
      </w:pPr>
      <w:r>
        <w:rPr>
          <w:rFonts w:hint="eastAsia"/>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pStyle w:val="33"/>
        <w:numPr>
          <w:ilvl w:val="3"/>
          <w:numId w:val="26"/>
        </w:numPr>
        <w:ind w:firstLine="480"/>
        <w:rPr>
          <w:color w:val="auto"/>
          <w:highlight w:val="none"/>
        </w:rPr>
      </w:pPr>
      <w:r>
        <w:rPr>
          <w:rFonts w:hint="eastAsia"/>
          <w:color w:val="auto"/>
          <w:highlight w:val="none"/>
        </w:rPr>
        <w:t>对磋商文件作出的实质性变动是磋商文件的有效组成部分，评审委员会应当将变动的内容书面通知所有参加磋商的供应商，做好书面记录。</w:t>
      </w:r>
    </w:p>
    <w:p>
      <w:pPr>
        <w:pStyle w:val="33"/>
        <w:numPr>
          <w:ilvl w:val="3"/>
          <w:numId w:val="26"/>
        </w:numPr>
        <w:ind w:firstLine="480"/>
        <w:rPr>
          <w:color w:val="auto"/>
          <w:highlight w:val="none"/>
        </w:rPr>
      </w:pPr>
      <w:r>
        <w:rPr>
          <w:rFonts w:hint="eastAsia"/>
          <w:color w:val="auto"/>
          <w:highlight w:val="none"/>
        </w:rPr>
        <w:t>评审委员会变动磋商文件的，应当要求供应商就变动的部分重新提交响应文件，并给予供应商重新提交响应文件的合理时间。供应商变更其响应文件，应当以有利于满足磋商文件要求为原则，不得变更为不利于满足磋商文件规定，否则，其响应文件作为无效处理。</w:t>
      </w:r>
    </w:p>
    <w:p>
      <w:pPr>
        <w:pStyle w:val="33"/>
        <w:numPr>
          <w:ilvl w:val="3"/>
          <w:numId w:val="26"/>
        </w:numPr>
        <w:ind w:firstLine="480"/>
        <w:rPr>
          <w:color w:val="auto"/>
          <w:highlight w:val="none"/>
        </w:rPr>
      </w:pPr>
      <w:r>
        <w:rPr>
          <w:rFonts w:hint="eastAsia"/>
          <w:color w:val="auto"/>
          <w:highlight w:val="none"/>
        </w:rPr>
        <w:t>磋商过程中，磋商的任何一方不得透露与磋商有关的其他供应商的技术资料、价格和其他信息。</w:t>
      </w:r>
    </w:p>
    <w:p>
      <w:pPr>
        <w:pStyle w:val="33"/>
        <w:numPr>
          <w:ilvl w:val="3"/>
          <w:numId w:val="26"/>
        </w:numPr>
        <w:ind w:firstLine="480"/>
        <w:rPr>
          <w:color w:val="auto"/>
          <w:highlight w:val="none"/>
        </w:rPr>
      </w:pPr>
      <w:r>
        <w:rPr>
          <w:rFonts w:hint="eastAsia"/>
          <w:color w:val="auto"/>
          <w:highlight w:val="none"/>
        </w:rPr>
        <w:t>磋商过程中，供应商可以根据磋商情况变更其响应文件，并将变更内容形成书面材料送评审委员会。供应商变更内容书面材料应当签字确认或者加盖公章，否则无效。变更内容书面材料的签字确认，供应商为法人的，由其法定代表人或者代理人签字确认；供应商为其他组织的，由其主要负责人或者代理人签字确认；供应商为自然人的，由其本人或者代理人签字确认。有效的变更内容书面材料应作为响应文件的一部分。供应商响应文件中已经提供授权书、身份证明的，可以不再提供。</w:t>
      </w:r>
    </w:p>
    <w:p>
      <w:pPr>
        <w:pStyle w:val="33"/>
        <w:numPr>
          <w:ilvl w:val="3"/>
          <w:numId w:val="26"/>
        </w:numPr>
        <w:ind w:firstLine="480"/>
        <w:rPr>
          <w:color w:val="auto"/>
          <w:highlight w:val="none"/>
        </w:rPr>
      </w:pPr>
      <w:r>
        <w:rPr>
          <w:rFonts w:hint="eastAsia"/>
          <w:color w:val="auto"/>
          <w:highlight w:val="none"/>
        </w:rPr>
        <w:t>供应商重新提交响应文件的，响应文件应当按照前款规定签字确认或者加盖公章，否则无效。</w:t>
      </w:r>
    </w:p>
    <w:p>
      <w:pPr>
        <w:pStyle w:val="33"/>
        <w:numPr>
          <w:ilvl w:val="3"/>
          <w:numId w:val="26"/>
        </w:numPr>
        <w:ind w:firstLine="480"/>
        <w:rPr>
          <w:color w:val="auto"/>
          <w:highlight w:val="none"/>
        </w:rPr>
      </w:pPr>
      <w:r>
        <w:rPr>
          <w:rFonts w:hint="eastAsia"/>
          <w:color w:val="auto"/>
          <w:highlight w:val="none"/>
        </w:rPr>
        <w:t>评审委员会经与供应商磋商和对供应商响应文件审查后，供应商响应文件未实质性响应磋商文件的，评审委员会应当对其响应文件按无效处理，并书面告知供应商，说明理由。</w:t>
      </w:r>
    </w:p>
    <w:p>
      <w:pPr>
        <w:pStyle w:val="33"/>
        <w:numPr>
          <w:ilvl w:val="3"/>
          <w:numId w:val="26"/>
        </w:numPr>
        <w:ind w:firstLine="480"/>
        <w:rPr>
          <w:color w:val="auto"/>
          <w:highlight w:val="none"/>
        </w:rPr>
      </w:pPr>
      <w:r>
        <w:rPr>
          <w:rFonts w:hint="eastAsia"/>
          <w:color w:val="auto"/>
          <w:highlight w:val="none"/>
        </w:rPr>
        <w:t>磋商过程中，评审专家应当遵守评审工作纪律，不得泄露评审情况和评审中获悉的商业秘密。磋商小组在评审过程中发现供应商有行贿、提供虚假材料或者串通等违法行为的，应当及时向财政部门报告。评审专家在评审过程中受到非法干涉的，应当及时向财政、监察等部门举报。</w:t>
      </w:r>
    </w:p>
    <w:p>
      <w:pPr>
        <w:pStyle w:val="32"/>
        <w:numPr>
          <w:ilvl w:val="2"/>
          <w:numId w:val="26"/>
        </w:numPr>
        <w:ind w:firstLine="482"/>
        <w:rPr>
          <w:color w:val="auto"/>
          <w:highlight w:val="none"/>
        </w:rPr>
      </w:pPr>
      <w:bookmarkStart w:id="477" w:name="_Toc4881"/>
      <w:bookmarkStart w:id="478" w:name="_Toc29996"/>
      <w:r>
        <w:rPr>
          <w:rFonts w:hint="eastAsia"/>
          <w:color w:val="auto"/>
          <w:highlight w:val="none"/>
        </w:rPr>
        <w:t>采购活动终止</w:t>
      </w:r>
      <w:bookmarkEnd w:id="477"/>
      <w:bookmarkEnd w:id="478"/>
    </w:p>
    <w:p>
      <w:pPr>
        <w:pStyle w:val="34"/>
        <w:rPr>
          <w:color w:val="auto"/>
          <w:highlight w:val="none"/>
        </w:rPr>
      </w:pPr>
      <w:r>
        <w:rPr>
          <w:rFonts w:hint="eastAsia"/>
          <w:color w:val="auto"/>
          <w:highlight w:val="none"/>
        </w:rPr>
        <w:t>出现下列情形之一的，采购人或者采购代理机构应当终止竞争性磋商采购活动，发布项目终止公告并说明原因，重新开展采购活动：</w:t>
      </w:r>
    </w:p>
    <w:p>
      <w:pPr>
        <w:pStyle w:val="33"/>
        <w:numPr>
          <w:ilvl w:val="3"/>
          <w:numId w:val="26"/>
        </w:numPr>
        <w:ind w:firstLine="480"/>
        <w:rPr>
          <w:color w:val="auto"/>
          <w:highlight w:val="none"/>
        </w:rPr>
      </w:pPr>
      <w:r>
        <w:rPr>
          <w:rFonts w:hint="eastAsia"/>
          <w:color w:val="auto"/>
          <w:highlight w:val="none"/>
        </w:rPr>
        <w:t>因情况变化，不再符合规定的竞争性磋商采购方式适用情形的；</w:t>
      </w:r>
    </w:p>
    <w:p>
      <w:pPr>
        <w:pStyle w:val="33"/>
        <w:numPr>
          <w:ilvl w:val="3"/>
          <w:numId w:val="26"/>
        </w:numPr>
        <w:ind w:firstLine="480"/>
        <w:rPr>
          <w:color w:val="auto"/>
          <w:highlight w:val="none"/>
        </w:rPr>
      </w:pPr>
      <w:r>
        <w:rPr>
          <w:rFonts w:hint="eastAsia"/>
          <w:color w:val="auto"/>
          <w:highlight w:val="none"/>
        </w:rPr>
        <w:t>在采购过程中符合要求的供应商或者最后报价未超过采购预算或采购最高限价的供应商不足三家的；</w:t>
      </w:r>
    </w:p>
    <w:p>
      <w:pPr>
        <w:pStyle w:val="33"/>
        <w:numPr>
          <w:ilvl w:val="3"/>
          <w:numId w:val="26"/>
        </w:numPr>
        <w:ind w:firstLine="480"/>
        <w:rPr>
          <w:color w:val="auto"/>
          <w:highlight w:val="none"/>
        </w:rPr>
      </w:pPr>
      <w:r>
        <w:rPr>
          <w:rFonts w:hint="eastAsia"/>
          <w:color w:val="auto"/>
          <w:highlight w:val="none"/>
        </w:rPr>
        <w:t>出现影响采购公正的违法、违规行为的；</w:t>
      </w:r>
    </w:p>
    <w:p>
      <w:pPr>
        <w:pStyle w:val="33"/>
        <w:numPr>
          <w:ilvl w:val="3"/>
          <w:numId w:val="26"/>
        </w:numPr>
        <w:ind w:firstLine="480"/>
        <w:rPr>
          <w:color w:val="auto"/>
          <w:highlight w:val="none"/>
        </w:rPr>
      </w:pPr>
      <w:r>
        <w:rPr>
          <w:rFonts w:hint="eastAsia"/>
          <w:color w:val="auto"/>
          <w:highlight w:val="none"/>
        </w:rPr>
        <w:t>其他无法继续开展磋商或者无法成交的情形。</w:t>
      </w:r>
    </w:p>
    <w:p>
      <w:pPr>
        <w:pStyle w:val="52"/>
        <w:ind w:firstLine="482"/>
        <w:rPr>
          <w:color w:val="auto"/>
          <w:highlight w:val="none"/>
        </w:rPr>
      </w:pPr>
      <w:r>
        <w:rPr>
          <w:rFonts w:hint="eastAsia"/>
          <w:color w:val="auto"/>
          <w:highlight w:val="none"/>
        </w:rPr>
        <w:t>注：终止后，采购代理机构应在“四川政府采购网”公告，并公告终止的情形。</w:t>
      </w:r>
    </w:p>
    <w:p>
      <w:pPr>
        <w:pStyle w:val="32"/>
        <w:numPr>
          <w:ilvl w:val="2"/>
          <w:numId w:val="26"/>
        </w:numPr>
        <w:ind w:firstLine="482"/>
        <w:rPr>
          <w:color w:val="auto"/>
          <w:highlight w:val="none"/>
        </w:rPr>
      </w:pPr>
      <w:bookmarkStart w:id="479" w:name="_Toc31944"/>
      <w:bookmarkStart w:id="480" w:name="_Toc20786"/>
      <w:r>
        <w:rPr>
          <w:rFonts w:hint="eastAsia"/>
          <w:color w:val="auto"/>
          <w:highlight w:val="none"/>
        </w:rPr>
        <w:t>报价</w:t>
      </w:r>
      <w:bookmarkEnd w:id="479"/>
      <w:bookmarkEnd w:id="480"/>
    </w:p>
    <w:p>
      <w:pPr>
        <w:pStyle w:val="33"/>
        <w:numPr>
          <w:ilvl w:val="3"/>
          <w:numId w:val="26"/>
        </w:numPr>
        <w:ind w:firstLine="480"/>
        <w:rPr>
          <w:color w:val="auto"/>
          <w:highlight w:val="none"/>
        </w:rPr>
      </w:pPr>
      <w:r>
        <w:rPr>
          <w:rFonts w:hint="eastAsia"/>
          <w:color w:val="auto"/>
          <w:highlight w:val="none"/>
        </w:rPr>
        <w:t>磋商结束后，磋商小组应当要求所有实质性响应的供应商在规定时间内提交最后报价，提交最后报价的供应商不得少于3家。已提交响应文件的供应商，在提交最后报价之前，可以根据磋商情况退出磋商。</w:t>
      </w:r>
    </w:p>
    <w:p>
      <w:pPr>
        <w:pStyle w:val="33"/>
        <w:numPr>
          <w:ilvl w:val="3"/>
          <w:numId w:val="26"/>
        </w:numPr>
        <w:ind w:firstLine="480"/>
        <w:rPr>
          <w:color w:val="auto"/>
          <w:highlight w:val="none"/>
        </w:rPr>
      </w:pPr>
      <w:r>
        <w:rPr>
          <w:rFonts w:hint="eastAsia"/>
          <w:color w:val="auto"/>
          <w:highlight w:val="none"/>
        </w:rPr>
        <w:t>磋商文件不能详细列明采购标的工程、技术、服务要求，需经磋商由供应商提供最终设计方案或解决方案的，磋商结束后，磋商小组应当按照少数服从多数的原则投票推荐3家以上供应商的设计方案或者解决方案，并要求其在规定时间内提交最后报价(格式由采购代理机构现场提供)。</w:t>
      </w:r>
    </w:p>
    <w:p>
      <w:pPr>
        <w:pStyle w:val="33"/>
        <w:numPr>
          <w:ilvl w:val="3"/>
          <w:numId w:val="26"/>
        </w:numPr>
        <w:ind w:firstLine="480"/>
        <w:rPr>
          <w:color w:val="auto"/>
          <w:highlight w:val="none"/>
        </w:rPr>
      </w:pPr>
      <w:r>
        <w:rPr>
          <w:rFonts w:hint="eastAsia"/>
          <w:color w:val="auto"/>
          <w:highlight w:val="none"/>
        </w:rPr>
        <w:t>供应商进行现场报价，应当在评审室外填写报价单，密封递交采购人、采购代理机构工作人员，由采购人、采购代理机构工作人员收齐后集中递交评审委员会。采购人、采购代理机构工作人员不能拆封供应商报价单。</w:t>
      </w:r>
    </w:p>
    <w:p>
      <w:pPr>
        <w:pStyle w:val="33"/>
        <w:numPr>
          <w:ilvl w:val="3"/>
          <w:numId w:val="26"/>
        </w:numPr>
        <w:ind w:firstLine="480"/>
        <w:rPr>
          <w:color w:val="auto"/>
          <w:highlight w:val="none"/>
        </w:rPr>
      </w:pPr>
      <w:r>
        <w:rPr>
          <w:rFonts w:hint="eastAsia"/>
          <w:color w:val="auto"/>
          <w:highlight w:val="none"/>
        </w:rPr>
        <w:t>供应商报价单应当签字确认或者加盖公章，否则无效。报价单的签字确认，供应商为法人的，由其法定代表人或者代理人签字确认；供应商为其他组织的，由其主要负责人或者代理人签字确认；供应商为自然人的，由其本人或者代理人签字确认。</w:t>
      </w:r>
    </w:p>
    <w:p>
      <w:pPr>
        <w:pStyle w:val="33"/>
        <w:numPr>
          <w:ilvl w:val="3"/>
          <w:numId w:val="26"/>
        </w:numPr>
        <w:ind w:firstLine="480"/>
        <w:rPr>
          <w:color w:val="auto"/>
          <w:highlight w:val="none"/>
        </w:rPr>
      </w:pPr>
      <w:r>
        <w:rPr>
          <w:rFonts w:hint="eastAsia"/>
          <w:color w:val="auto"/>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pStyle w:val="33"/>
        <w:numPr>
          <w:ilvl w:val="3"/>
          <w:numId w:val="26"/>
        </w:numPr>
        <w:ind w:firstLine="480"/>
        <w:rPr>
          <w:color w:val="auto"/>
          <w:highlight w:val="none"/>
        </w:rPr>
      </w:pPr>
      <w:r>
        <w:rPr>
          <w:rFonts w:hint="eastAsia"/>
          <w:color w:val="auto"/>
          <w:highlight w:val="none"/>
        </w:rPr>
        <w:t>最后报价中的算术错误将按以下方法修正：响应文件大写金额和小写金额不一致的，以大写金额为准，但大写金额文字存在错误的，应当先对大写金额的文字错误进行澄清、说明或者更正，再行修正；</w:t>
      </w:r>
    </w:p>
    <w:p>
      <w:pPr>
        <w:pStyle w:val="34"/>
        <w:rPr>
          <w:color w:val="auto"/>
          <w:highlight w:val="none"/>
        </w:rPr>
      </w:pPr>
      <w:r>
        <w:rPr>
          <w:rFonts w:hint="eastAsia"/>
          <w:color w:val="auto"/>
          <w:highlight w:val="none"/>
        </w:rPr>
        <w:t>总价金额与按单价汇总金额不一致的，以单价金额计算结果为准，但单价或者单价汇总金额存在数字或者文字错误的，应当先对数字或者文字错误进行澄清、说明或者更正，再行修正；</w:t>
      </w:r>
    </w:p>
    <w:p>
      <w:pPr>
        <w:pStyle w:val="34"/>
        <w:rPr>
          <w:color w:val="auto"/>
          <w:highlight w:val="none"/>
        </w:rPr>
      </w:pPr>
      <w:r>
        <w:rPr>
          <w:rFonts w:hint="eastAsia"/>
          <w:color w:val="auto"/>
          <w:highlight w:val="none"/>
        </w:rPr>
        <w:t>单价金额小数点或者百分比有明显错位的，以总价为准，修正单价。</w:t>
      </w:r>
    </w:p>
    <w:p>
      <w:pPr>
        <w:pStyle w:val="34"/>
        <w:rPr>
          <w:color w:val="auto"/>
          <w:highlight w:val="none"/>
        </w:rPr>
      </w:pPr>
      <w:r>
        <w:rPr>
          <w:rFonts w:hint="eastAsia"/>
          <w:color w:val="auto"/>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32"/>
        <w:numPr>
          <w:ilvl w:val="2"/>
          <w:numId w:val="26"/>
        </w:numPr>
        <w:ind w:firstLine="482"/>
        <w:rPr>
          <w:color w:val="auto"/>
          <w:highlight w:val="none"/>
        </w:rPr>
      </w:pPr>
      <w:bookmarkStart w:id="481" w:name="_Toc15902"/>
      <w:bookmarkStart w:id="482" w:name="_Toc21874"/>
      <w:r>
        <w:rPr>
          <w:rFonts w:hint="eastAsia"/>
          <w:color w:val="auto"/>
          <w:highlight w:val="none"/>
        </w:rPr>
        <w:t>评审方法</w:t>
      </w:r>
      <w:bookmarkEnd w:id="481"/>
      <w:bookmarkEnd w:id="482"/>
    </w:p>
    <w:p>
      <w:pPr>
        <w:pStyle w:val="34"/>
        <w:rPr>
          <w:color w:val="auto"/>
          <w:highlight w:val="none"/>
        </w:rPr>
      </w:pPr>
      <w:r>
        <w:rPr>
          <w:rFonts w:hint="eastAsia"/>
          <w:color w:val="auto"/>
          <w:highlight w:val="none"/>
        </w:rPr>
        <w:t>本项目采用综合评分法</w:t>
      </w:r>
    </w:p>
    <w:p>
      <w:pPr>
        <w:pStyle w:val="33"/>
        <w:numPr>
          <w:ilvl w:val="3"/>
          <w:numId w:val="0"/>
        </w:numPr>
        <w:ind w:firstLine="480" w:firstLineChars="200"/>
        <w:rPr>
          <w:color w:val="auto"/>
          <w:highlight w:val="none"/>
        </w:rPr>
      </w:pPr>
      <w:r>
        <w:rPr>
          <w:rFonts w:hint="eastAsia"/>
          <w:color w:val="auto"/>
          <w:highlight w:val="none"/>
        </w:rPr>
        <w:t>经磋商确定最终采购需求和提交最后报价的供应商后，由磋商小组采用综合评分法对提交最后报价的供应商的响应文件和最后报价进行综合评分。磋商文件中没有规定的评审标准不得作为评审依据。</w:t>
      </w:r>
    </w:p>
    <w:p>
      <w:pPr>
        <w:pStyle w:val="32"/>
        <w:numPr>
          <w:ilvl w:val="2"/>
          <w:numId w:val="26"/>
        </w:numPr>
        <w:ind w:firstLine="482"/>
        <w:rPr>
          <w:color w:val="auto"/>
          <w:highlight w:val="none"/>
        </w:rPr>
      </w:pPr>
      <w:bookmarkStart w:id="483" w:name="_Toc29323"/>
      <w:bookmarkStart w:id="484" w:name="_Toc4665"/>
      <w:r>
        <w:rPr>
          <w:rFonts w:hint="eastAsia"/>
          <w:color w:val="auto"/>
          <w:highlight w:val="none"/>
        </w:rPr>
        <w:t>评审标准</w:t>
      </w:r>
      <w:bookmarkEnd w:id="483"/>
      <w:bookmarkEnd w:id="484"/>
    </w:p>
    <w:tbl>
      <w:tblPr>
        <w:tblStyle w:val="2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02"/>
        <w:gridCol w:w="900"/>
        <w:gridCol w:w="568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93" w:type="dxa"/>
            <w:vAlign w:val="center"/>
          </w:tcPr>
          <w:p>
            <w:pPr>
              <w:pStyle w:val="51"/>
              <w:rPr>
                <w:b/>
                <w:bCs/>
                <w:color w:val="auto"/>
                <w:highlight w:val="none"/>
              </w:rPr>
            </w:pPr>
            <w:r>
              <w:rPr>
                <w:rFonts w:hint="eastAsia"/>
                <w:b/>
                <w:bCs/>
                <w:color w:val="auto"/>
                <w:highlight w:val="none"/>
              </w:rPr>
              <w:t>序号</w:t>
            </w:r>
          </w:p>
        </w:tc>
        <w:tc>
          <w:tcPr>
            <w:tcW w:w="1502" w:type="dxa"/>
            <w:vAlign w:val="center"/>
          </w:tcPr>
          <w:p>
            <w:pPr>
              <w:pStyle w:val="51"/>
              <w:rPr>
                <w:b/>
                <w:bCs/>
                <w:color w:val="auto"/>
                <w:highlight w:val="none"/>
              </w:rPr>
            </w:pPr>
            <w:r>
              <w:rPr>
                <w:rFonts w:hint="eastAsia"/>
                <w:b/>
                <w:bCs/>
                <w:color w:val="auto"/>
                <w:highlight w:val="none"/>
              </w:rPr>
              <w:t>评分因素</w:t>
            </w:r>
          </w:p>
          <w:p>
            <w:pPr>
              <w:pStyle w:val="51"/>
              <w:rPr>
                <w:b/>
                <w:bCs/>
                <w:color w:val="auto"/>
                <w:highlight w:val="none"/>
              </w:rPr>
            </w:pPr>
            <w:r>
              <w:rPr>
                <w:rFonts w:hint="eastAsia"/>
                <w:b/>
                <w:bCs/>
                <w:color w:val="auto"/>
                <w:highlight w:val="none"/>
              </w:rPr>
              <w:t>及权重</w:t>
            </w:r>
          </w:p>
        </w:tc>
        <w:tc>
          <w:tcPr>
            <w:tcW w:w="900" w:type="dxa"/>
            <w:vAlign w:val="center"/>
          </w:tcPr>
          <w:p>
            <w:pPr>
              <w:pStyle w:val="51"/>
              <w:rPr>
                <w:b/>
                <w:bCs/>
                <w:color w:val="auto"/>
                <w:highlight w:val="none"/>
              </w:rPr>
            </w:pPr>
            <w:r>
              <w:rPr>
                <w:rFonts w:hint="eastAsia"/>
                <w:b/>
                <w:bCs/>
                <w:color w:val="auto"/>
                <w:highlight w:val="none"/>
              </w:rPr>
              <w:t>分值</w:t>
            </w:r>
          </w:p>
        </w:tc>
        <w:tc>
          <w:tcPr>
            <w:tcW w:w="5685" w:type="dxa"/>
            <w:vAlign w:val="center"/>
          </w:tcPr>
          <w:p>
            <w:pPr>
              <w:pStyle w:val="51"/>
              <w:rPr>
                <w:b/>
                <w:bCs/>
                <w:color w:val="auto"/>
                <w:highlight w:val="none"/>
              </w:rPr>
            </w:pPr>
            <w:r>
              <w:rPr>
                <w:rFonts w:hint="eastAsia"/>
                <w:b/>
                <w:bCs/>
                <w:color w:val="auto"/>
                <w:highlight w:val="none"/>
              </w:rPr>
              <w:t>评分标准</w:t>
            </w:r>
          </w:p>
        </w:tc>
        <w:tc>
          <w:tcPr>
            <w:tcW w:w="1076" w:type="dxa"/>
            <w:vAlign w:val="center"/>
          </w:tcPr>
          <w:p>
            <w:pPr>
              <w:pStyle w:val="51"/>
              <w:rPr>
                <w:b/>
                <w:bCs/>
                <w:color w:val="auto"/>
                <w:highlight w:val="none"/>
              </w:rPr>
            </w:pPr>
            <w:r>
              <w:rPr>
                <w:rFonts w:hint="eastAsia"/>
                <w:b/>
                <w:bCs/>
                <w:color w:val="auto"/>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51"/>
              <w:rPr>
                <w:color w:val="auto"/>
                <w:highlight w:val="none"/>
              </w:rPr>
            </w:pPr>
            <w:r>
              <w:rPr>
                <w:rFonts w:hint="eastAsia"/>
                <w:color w:val="auto"/>
                <w:highlight w:val="none"/>
              </w:rPr>
              <w:t>一</w:t>
            </w:r>
          </w:p>
        </w:tc>
        <w:tc>
          <w:tcPr>
            <w:tcW w:w="1502" w:type="dxa"/>
            <w:vAlign w:val="center"/>
          </w:tcPr>
          <w:p>
            <w:pPr>
              <w:pStyle w:val="51"/>
              <w:rPr>
                <w:color w:val="auto"/>
                <w:highlight w:val="none"/>
              </w:rPr>
            </w:pPr>
            <w:r>
              <w:rPr>
                <w:rFonts w:hint="eastAsia"/>
                <w:color w:val="auto"/>
                <w:highlight w:val="none"/>
              </w:rPr>
              <w:t>报价10%</w:t>
            </w:r>
          </w:p>
        </w:tc>
        <w:tc>
          <w:tcPr>
            <w:tcW w:w="900" w:type="dxa"/>
            <w:vAlign w:val="center"/>
          </w:tcPr>
          <w:p>
            <w:pPr>
              <w:pStyle w:val="51"/>
              <w:rPr>
                <w:color w:val="auto"/>
                <w:highlight w:val="none"/>
              </w:rPr>
            </w:pPr>
            <w:r>
              <w:rPr>
                <w:rFonts w:hint="eastAsia"/>
                <w:color w:val="auto"/>
                <w:highlight w:val="none"/>
              </w:rPr>
              <w:t>10分</w:t>
            </w:r>
          </w:p>
        </w:tc>
        <w:tc>
          <w:tcPr>
            <w:tcW w:w="5685" w:type="dxa"/>
            <w:vAlign w:val="center"/>
          </w:tcPr>
          <w:p>
            <w:pPr>
              <w:pStyle w:val="49"/>
              <w:rPr>
                <w:color w:val="auto"/>
                <w:highlight w:val="none"/>
              </w:rPr>
            </w:pPr>
            <w:r>
              <w:rPr>
                <w:rFonts w:hint="eastAsia"/>
                <w:color w:val="auto"/>
                <w:highlight w:val="none"/>
              </w:rPr>
              <w:t>满足磋商文件要求且最后报价最低的供应商的价格为磋商基准价，其价格分为满分。其他供应商的价格分统一按照下列公式计算：</w:t>
            </w:r>
          </w:p>
          <w:p>
            <w:pPr>
              <w:pStyle w:val="49"/>
              <w:rPr>
                <w:color w:val="auto"/>
                <w:highlight w:val="none"/>
              </w:rPr>
            </w:pPr>
            <w:r>
              <w:rPr>
                <w:rFonts w:hint="eastAsia"/>
                <w:color w:val="auto"/>
                <w:highlight w:val="none"/>
              </w:rPr>
              <w:t>磋商报价得分=(磋商基准价/最后磋商报价)×10%×100；</w:t>
            </w:r>
          </w:p>
          <w:p>
            <w:pPr>
              <w:pStyle w:val="49"/>
              <w:rPr>
                <w:color w:val="auto"/>
                <w:highlight w:val="none"/>
              </w:rPr>
            </w:pPr>
            <w:r>
              <w:rPr>
                <w:rFonts w:hint="eastAsia"/>
                <w:color w:val="auto"/>
                <w:highlight w:val="none"/>
              </w:rPr>
              <w:t>注：1.项目评审过程中，不得去掉最后报价中的最高报价和最低报价。</w:t>
            </w:r>
          </w:p>
          <w:p>
            <w:pPr>
              <w:pStyle w:val="49"/>
              <w:rPr>
                <w:color w:val="auto"/>
                <w:highlight w:val="none"/>
              </w:rPr>
            </w:pPr>
            <w:r>
              <w:rPr>
                <w:rFonts w:hint="eastAsia"/>
                <w:color w:val="auto"/>
                <w:highlight w:val="none"/>
              </w:rPr>
              <w:t>2.因落实政府采购政策进行价格调整的，以调整后的价格计算磋商基准价和最后报价。</w:t>
            </w:r>
          </w:p>
          <w:p>
            <w:pPr>
              <w:pStyle w:val="49"/>
              <w:rPr>
                <w:color w:val="auto"/>
                <w:highlight w:val="none"/>
              </w:rPr>
            </w:pPr>
            <w:r>
              <w:rPr>
                <w:rFonts w:hint="eastAsia"/>
                <w:color w:val="auto"/>
                <w:highlight w:val="none"/>
              </w:rPr>
              <w:t>3.小微企业(残疾人福利性单位、监狱企业视同小微企业)价格扣除按照磋商须知表的相关要求执行。</w:t>
            </w:r>
          </w:p>
        </w:tc>
        <w:tc>
          <w:tcPr>
            <w:tcW w:w="1076" w:type="dxa"/>
            <w:vAlign w:val="center"/>
          </w:tcPr>
          <w:p>
            <w:pPr>
              <w:pStyle w:val="51"/>
              <w:rPr>
                <w:color w:val="auto"/>
                <w:highlight w:val="none"/>
              </w:rPr>
            </w:pPr>
            <w:r>
              <w:rPr>
                <w:rFonts w:hint="eastAsia"/>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51"/>
              <w:rPr>
                <w:color w:val="auto"/>
                <w:highlight w:val="none"/>
              </w:rPr>
            </w:pPr>
            <w:r>
              <w:rPr>
                <w:rFonts w:hint="eastAsia"/>
                <w:color w:val="auto"/>
                <w:highlight w:val="none"/>
              </w:rPr>
              <w:t>二</w:t>
            </w:r>
          </w:p>
        </w:tc>
        <w:tc>
          <w:tcPr>
            <w:tcW w:w="1502" w:type="dxa"/>
            <w:vAlign w:val="center"/>
          </w:tcPr>
          <w:p>
            <w:pPr>
              <w:pStyle w:val="51"/>
              <w:rPr>
                <w:color w:val="auto"/>
                <w:highlight w:val="none"/>
              </w:rPr>
            </w:pPr>
            <w:r>
              <w:rPr>
                <w:rFonts w:hint="eastAsia"/>
                <w:color w:val="auto"/>
                <w:highlight w:val="none"/>
              </w:rPr>
              <w:t>服务内容及要求24%</w:t>
            </w:r>
          </w:p>
        </w:tc>
        <w:tc>
          <w:tcPr>
            <w:tcW w:w="900" w:type="dxa"/>
            <w:vAlign w:val="center"/>
          </w:tcPr>
          <w:p>
            <w:pPr>
              <w:pStyle w:val="51"/>
              <w:rPr>
                <w:color w:val="auto"/>
                <w:highlight w:val="none"/>
              </w:rPr>
            </w:pPr>
            <w:r>
              <w:rPr>
                <w:rFonts w:hint="eastAsia"/>
                <w:color w:val="auto"/>
                <w:highlight w:val="none"/>
              </w:rPr>
              <w:t>24分</w:t>
            </w:r>
          </w:p>
        </w:tc>
        <w:tc>
          <w:tcPr>
            <w:tcW w:w="5685" w:type="dxa"/>
            <w:vAlign w:val="center"/>
          </w:tcPr>
          <w:p>
            <w:pPr>
              <w:pStyle w:val="49"/>
              <w:rPr>
                <w:color w:val="auto"/>
                <w:highlight w:val="none"/>
              </w:rPr>
            </w:pPr>
            <w:r>
              <w:rPr>
                <w:rFonts w:hint="eastAsia"/>
                <w:color w:val="auto"/>
                <w:highlight w:val="none"/>
              </w:rPr>
              <w:t>供应商磋商响应完全符合磋商文件服务内容及要求(非“★”号的参数，共8项)没有负偏离的得24分；每有一项有负偏离的，扣3分，24分扣完为止。</w:t>
            </w:r>
          </w:p>
        </w:tc>
        <w:tc>
          <w:tcPr>
            <w:tcW w:w="1076" w:type="dxa"/>
            <w:vAlign w:val="center"/>
          </w:tcPr>
          <w:p>
            <w:pPr>
              <w:pStyle w:val="51"/>
              <w:rPr>
                <w:color w:val="auto"/>
                <w:highlight w:val="none"/>
              </w:rPr>
            </w:pPr>
            <w:r>
              <w:rPr>
                <w:rFonts w:hint="eastAsia"/>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51"/>
              <w:rPr>
                <w:color w:val="auto"/>
                <w:highlight w:val="none"/>
              </w:rPr>
            </w:pPr>
            <w:r>
              <w:rPr>
                <w:rFonts w:hint="eastAsia"/>
                <w:color w:val="auto"/>
                <w:highlight w:val="none"/>
              </w:rPr>
              <w:t>三</w:t>
            </w:r>
          </w:p>
        </w:tc>
        <w:tc>
          <w:tcPr>
            <w:tcW w:w="1502" w:type="dxa"/>
            <w:vAlign w:val="center"/>
          </w:tcPr>
          <w:p>
            <w:pPr>
              <w:pStyle w:val="51"/>
              <w:rPr>
                <w:color w:val="auto"/>
                <w:highlight w:val="none"/>
              </w:rPr>
            </w:pPr>
            <w:r>
              <w:rPr>
                <w:rFonts w:hint="eastAsia"/>
                <w:color w:val="auto"/>
                <w:highlight w:val="none"/>
              </w:rPr>
              <w:t>医疗卫生服务方案</w:t>
            </w:r>
          </w:p>
          <w:p>
            <w:pPr>
              <w:pStyle w:val="51"/>
              <w:rPr>
                <w:color w:val="auto"/>
                <w:highlight w:val="none"/>
              </w:rPr>
            </w:pPr>
            <w:r>
              <w:rPr>
                <w:rFonts w:hint="eastAsia"/>
                <w:color w:val="auto"/>
                <w:highlight w:val="none"/>
              </w:rPr>
              <w:t>20%</w:t>
            </w:r>
          </w:p>
        </w:tc>
        <w:tc>
          <w:tcPr>
            <w:tcW w:w="900" w:type="dxa"/>
            <w:vAlign w:val="center"/>
          </w:tcPr>
          <w:p>
            <w:pPr>
              <w:pStyle w:val="51"/>
              <w:rPr>
                <w:color w:val="auto"/>
                <w:highlight w:val="none"/>
              </w:rPr>
            </w:pPr>
            <w:r>
              <w:rPr>
                <w:rFonts w:hint="eastAsia"/>
                <w:color w:val="auto"/>
                <w:highlight w:val="none"/>
              </w:rPr>
              <w:t>20分</w:t>
            </w:r>
          </w:p>
        </w:tc>
        <w:tc>
          <w:tcPr>
            <w:tcW w:w="5685" w:type="dxa"/>
            <w:vAlign w:val="center"/>
          </w:tcPr>
          <w:p>
            <w:pPr>
              <w:pStyle w:val="49"/>
              <w:ind w:left="0" w:leftChars="0"/>
              <w:rPr>
                <w:color w:val="auto"/>
                <w:highlight w:val="none"/>
              </w:rPr>
            </w:pPr>
            <w:r>
              <w:rPr>
                <w:rFonts w:hint="eastAsia"/>
                <w:color w:val="auto"/>
                <w:highlight w:val="none"/>
              </w:rPr>
              <w:t>根据供应商针对本项目提供的医疗卫生服务方案，方案应包含方案内容包含①医务室人员配置；②每日医护人员值守计划；③就诊及管理：申报成为采购人首诊医疗卫生机构，大学生就诊门诊、住院报销工作方案及后期服务管理、日常就诊管理</w:t>
            </w:r>
            <w:r>
              <w:rPr>
                <w:rFonts w:hint="eastAsia"/>
                <w:color w:val="auto"/>
                <w:highlight w:val="none"/>
                <w:lang w:eastAsia="zh-CN"/>
              </w:rPr>
              <w:t>(</w:t>
            </w:r>
            <w:r>
              <w:rPr>
                <w:rFonts w:hint="eastAsia"/>
                <w:color w:val="auto"/>
                <w:highlight w:val="none"/>
              </w:rPr>
              <w:t>含就诊过程中医疗卫生技术纠纷解决办法、急救措施、个人隐私保护</w:t>
            </w:r>
            <w:r>
              <w:rPr>
                <w:rFonts w:hint="eastAsia"/>
                <w:color w:val="auto"/>
                <w:highlight w:val="none"/>
                <w:lang w:eastAsia="zh-CN"/>
              </w:rPr>
              <w:t>)</w:t>
            </w:r>
            <w:r>
              <w:rPr>
                <w:rFonts w:hint="eastAsia"/>
                <w:color w:val="auto"/>
                <w:highlight w:val="none"/>
              </w:rPr>
              <w:t>方案；④卫生及环境保护措施；⑤医疗卫生应急处置方案；⑥健康教育方案；⑦协助学校完成临时性工作方案；⑧发现重大疾病处置方案；⑨隔离室管理方案；⑩传染病管理方案。方案完全响应的得20分，以此为标准，每缺少一项内容或每有一处内容存在缺陷的扣2分，20分扣完为止。</w:t>
            </w:r>
          </w:p>
          <w:p>
            <w:pPr>
              <w:pStyle w:val="49"/>
              <w:ind w:left="0" w:leftChars="0"/>
              <w:rPr>
                <w:color w:val="auto"/>
                <w:highlight w:val="none"/>
              </w:rPr>
            </w:pPr>
            <w:r>
              <w:rPr>
                <w:rFonts w:hint="eastAsia"/>
                <w:b/>
                <w:bCs/>
                <w:color w:val="auto"/>
                <w:highlight w:val="none"/>
              </w:rPr>
              <w:t>说明：内容存在缺陷是指内容与项目无关或与项目不匹配或项目名称、涉及的规范、技术服务标准要求与本项目不一致等情形。</w:t>
            </w:r>
            <w:r>
              <w:rPr>
                <w:rFonts w:hint="eastAsia"/>
                <w:color w:val="auto"/>
                <w:highlight w:val="none"/>
              </w:rPr>
              <w:t xml:space="preserve"> </w:t>
            </w:r>
          </w:p>
        </w:tc>
        <w:tc>
          <w:tcPr>
            <w:tcW w:w="1076" w:type="dxa"/>
            <w:vAlign w:val="center"/>
          </w:tcPr>
          <w:p>
            <w:pPr>
              <w:pStyle w:val="51"/>
              <w:rPr>
                <w:color w:val="auto"/>
                <w:highlight w:val="none"/>
              </w:rPr>
            </w:pPr>
            <w:r>
              <w:rPr>
                <w:rFonts w:hint="eastAsia"/>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3" w:type="dxa"/>
            <w:vAlign w:val="center"/>
          </w:tcPr>
          <w:p>
            <w:pPr>
              <w:pStyle w:val="51"/>
              <w:rPr>
                <w:color w:val="auto"/>
                <w:highlight w:val="none"/>
              </w:rPr>
            </w:pPr>
            <w:r>
              <w:rPr>
                <w:rFonts w:hint="eastAsia"/>
                <w:color w:val="auto"/>
                <w:highlight w:val="none"/>
              </w:rPr>
              <w:t>四</w:t>
            </w:r>
          </w:p>
        </w:tc>
        <w:tc>
          <w:tcPr>
            <w:tcW w:w="1502" w:type="dxa"/>
            <w:vAlign w:val="center"/>
          </w:tcPr>
          <w:p>
            <w:pPr>
              <w:pStyle w:val="51"/>
              <w:rPr>
                <w:color w:val="auto"/>
                <w:highlight w:val="none"/>
              </w:rPr>
            </w:pPr>
            <w:r>
              <w:rPr>
                <w:rFonts w:hint="eastAsia"/>
                <w:color w:val="auto"/>
                <w:highlight w:val="none"/>
              </w:rPr>
              <w:t>医资力量</w:t>
            </w:r>
          </w:p>
          <w:p>
            <w:pPr>
              <w:pStyle w:val="51"/>
              <w:rPr>
                <w:color w:val="auto"/>
                <w:highlight w:val="none"/>
              </w:rPr>
            </w:pPr>
            <w:r>
              <w:rPr>
                <w:rFonts w:hint="eastAsia" w:cs="宋体"/>
                <w:color w:val="auto"/>
                <w:szCs w:val="21"/>
                <w:highlight w:val="none"/>
              </w:rPr>
              <w:t>16%</w:t>
            </w:r>
          </w:p>
        </w:tc>
        <w:tc>
          <w:tcPr>
            <w:tcW w:w="900" w:type="dxa"/>
            <w:vAlign w:val="center"/>
          </w:tcPr>
          <w:p>
            <w:pPr>
              <w:pStyle w:val="51"/>
              <w:rPr>
                <w:color w:val="auto"/>
                <w:highlight w:val="none"/>
              </w:rPr>
            </w:pPr>
            <w:r>
              <w:rPr>
                <w:rFonts w:hint="eastAsia"/>
                <w:color w:val="auto"/>
                <w:highlight w:val="none"/>
              </w:rPr>
              <w:t>16分</w:t>
            </w:r>
          </w:p>
        </w:tc>
        <w:tc>
          <w:tcPr>
            <w:tcW w:w="5685" w:type="dxa"/>
            <w:vAlign w:val="center"/>
          </w:tcPr>
          <w:p>
            <w:pPr>
              <w:pStyle w:val="49"/>
              <w:rPr>
                <w:color w:val="auto"/>
                <w:highlight w:val="none"/>
              </w:rPr>
            </w:pPr>
            <w:r>
              <w:rPr>
                <w:color w:val="auto"/>
                <w:highlight w:val="none"/>
              </w:rPr>
              <w:t>供应商</w:t>
            </w:r>
            <w:r>
              <w:rPr>
                <w:rFonts w:hint="eastAsia"/>
                <w:color w:val="auto"/>
                <w:highlight w:val="none"/>
              </w:rPr>
              <w:t>拟为</w:t>
            </w:r>
            <w:r>
              <w:rPr>
                <w:color w:val="auto"/>
                <w:highlight w:val="none"/>
              </w:rPr>
              <w:t>本项目配置的医护人员</w:t>
            </w:r>
            <w:r>
              <w:rPr>
                <w:rFonts w:hint="eastAsia"/>
                <w:color w:val="auto"/>
                <w:highlight w:val="none"/>
              </w:rPr>
              <w:t>(</w:t>
            </w:r>
            <w:r>
              <w:rPr>
                <w:color w:val="auto"/>
                <w:highlight w:val="none"/>
              </w:rPr>
              <w:t>含负责人</w:t>
            </w:r>
            <w:r>
              <w:rPr>
                <w:rFonts w:hint="eastAsia"/>
                <w:color w:val="auto"/>
                <w:highlight w:val="none"/>
              </w:rPr>
              <w:t>)在满足采购文件要求〔具有</w:t>
            </w:r>
            <w:r>
              <w:rPr>
                <w:color w:val="auto"/>
                <w:highlight w:val="none"/>
              </w:rPr>
              <w:t>副高及以上</w:t>
            </w:r>
            <w:r>
              <w:rPr>
                <w:rFonts w:hint="eastAsia"/>
                <w:color w:val="auto"/>
                <w:highlight w:val="none"/>
              </w:rPr>
              <w:t>技术</w:t>
            </w:r>
            <w:r>
              <w:rPr>
                <w:color w:val="auto"/>
                <w:highlight w:val="none"/>
              </w:rPr>
              <w:t>职称</w:t>
            </w:r>
            <w:r>
              <w:rPr>
                <w:rFonts w:hint="eastAsia"/>
                <w:color w:val="auto"/>
                <w:highlight w:val="none"/>
              </w:rPr>
              <w:t>人员</w:t>
            </w:r>
            <w:r>
              <w:rPr>
                <w:color w:val="auto"/>
                <w:highlight w:val="none"/>
              </w:rPr>
              <w:t>1名，中级及以上</w:t>
            </w:r>
            <w:r>
              <w:rPr>
                <w:rFonts w:hint="eastAsia"/>
                <w:color w:val="auto"/>
                <w:highlight w:val="none"/>
              </w:rPr>
              <w:t>技术</w:t>
            </w:r>
            <w:r>
              <w:rPr>
                <w:color w:val="auto"/>
                <w:highlight w:val="none"/>
              </w:rPr>
              <w:t>职称</w:t>
            </w:r>
            <w:r>
              <w:rPr>
                <w:rFonts w:hint="eastAsia"/>
                <w:color w:val="auto"/>
                <w:highlight w:val="none"/>
              </w:rPr>
              <w:t>人员</w:t>
            </w:r>
            <w:r>
              <w:rPr>
                <w:color w:val="auto"/>
                <w:highlight w:val="none"/>
              </w:rPr>
              <w:t>3名</w:t>
            </w:r>
            <w:r>
              <w:rPr>
                <w:rFonts w:hint="eastAsia"/>
                <w:color w:val="auto"/>
                <w:highlight w:val="none"/>
              </w:rPr>
              <w:t>(</w:t>
            </w:r>
            <w:r>
              <w:rPr>
                <w:color w:val="auto"/>
                <w:highlight w:val="none"/>
              </w:rPr>
              <w:t>其中负责人须具备中级及以上医师职称</w:t>
            </w:r>
            <w:r>
              <w:rPr>
                <w:rFonts w:hint="eastAsia"/>
                <w:color w:val="auto"/>
                <w:highlight w:val="none"/>
              </w:rPr>
              <w:t>)﹞</w:t>
            </w:r>
            <w:r>
              <w:rPr>
                <w:color w:val="auto"/>
                <w:highlight w:val="none"/>
              </w:rPr>
              <w:t>的基础上，每</w:t>
            </w:r>
            <w:r>
              <w:rPr>
                <w:rFonts w:hint="eastAsia"/>
                <w:color w:val="auto"/>
                <w:highlight w:val="none"/>
              </w:rPr>
              <w:t>增加</w:t>
            </w:r>
            <w:r>
              <w:rPr>
                <w:color w:val="auto"/>
                <w:highlight w:val="none"/>
              </w:rPr>
              <w:t>1名</w:t>
            </w:r>
            <w:r>
              <w:rPr>
                <w:rFonts w:hint="eastAsia"/>
                <w:color w:val="auto"/>
                <w:highlight w:val="none"/>
              </w:rPr>
              <w:t>具有</w:t>
            </w:r>
            <w:r>
              <w:rPr>
                <w:color w:val="auto"/>
                <w:highlight w:val="none"/>
              </w:rPr>
              <w:t>副高及以上</w:t>
            </w:r>
            <w:r>
              <w:rPr>
                <w:rFonts w:hint="eastAsia"/>
                <w:color w:val="auto"/>
                <w:highlight w:val="none"/>
              </w:rPr>
              <w:t>技术</w:t>
            </w:r>
            <w:r>
              <w:rPr>
                <w:color w:val="auto"/>
                <w:highlight w:val="none"/>
              </w:rPr>
              <w:t>职称医生得3分，最高得6分；每</w:t>
            </w:r>
            <w:r>
              <w:rPr>
                <w:rFonts w:hint="eastAsia"/>
                <w:color w:val="auto"/>
                <w:highlight w:val="none"/>
              </w:rPr>
              <w:t>增加</w:t>
            </w:r>
            <w:r>
              <w:rPr>
                <w:color w:val="auto"/>
                <w:highlight w:val="none"/>
              </w:rPr>
              <w:t>1名</w:t>
            </w:r>
            <w:r>
              <w:rPr>
                <w:rFonts w:hint="eastAsia"/>
                <w:color w:val="auto"/>
                <w:highlight w:val="none"/>
              </w:rPr>
              <w:t>具有</w:t>
            </w:r>
            <w:r>
              <w:rPr>
                <w:color w:val="auto"/>
                <w:highlight w:val="none"/>
              </w:rPr>
              <w:t>中级及以上</w:t>
            </w:r>
            <w:r>
              <w:rPr>
                <w:rFonts w:hint="eastAsia"/>
                <w:color w:val="auto"/>
                <w:highlight w:val="none"/>
              </w:rPr>
              <w:t>技术</w:t>
            </w:r>
            <w:r>
              <w:rPr>
                <w:color w:val="auto"/>
                <w:highlight w:val="none"/>
              </w:rPr>
              <w:t>职称医护人员得2</w:t>
            </w:r>
            <w:r>
              <w:rPr>
                <w:rFonts w:hint="eastAsia"/>
                <w:color w:val="auto"/>
                <w:highlight w:val="none"/>
              </w:rPr>
              <w:t>.5</w:t>
            </w:r>
            <w:r>
              <w:rPr>
                <w:color w:val="auto"/>
                <w:highlight w:val="none"/>
              </w:rPr>
              <w:t>分，最高可得</w:t>
            </w:r>
            <w:r>
              <w:rPr>
                <w:rFonts w:hint="eastAsia"/>
                <w:color w:val="auto"/>
                <w:highlight w:val="none"/>
              </w:rPr>
              <w:t>10</w:t>
            </w:r>
            <w:r>
              <w:rPr>
                <w:color w:val="auto"/>
                <w:highlight w:val="none"/>
              </w:rPr>
              <w:t>分</w:t>
            </w:r>
            <w:r>
              <w:rPr>
                <w:rFonts w:hint="eastAsia"/>
                <w:color w:val="auto"/>
                <w:highlight w:val="none"/>
                <w:lang w:eastAsia="zh-CN"/>
              </w:rPr>
              <w:t>。</w:t>
            </w:r>
            <w:r>
              <w:rPr>
                <w:color w:val="auto"/>
                <w:highlight w:val="none"/>
              </w:rPr>
              <w:t xml:space="preserve"> </w:t>
            </w:r>
          </w:p>
          <w:p>
            <w:pPr>
              <w:pStyle w:val="49"/>
              <w:rPr>
                <w:color w:val="auto"/>
                <w:highlight w:val="none"/>
              </w:rPr>
            </w:pPr>
            <w:r>
              <w:rPr>
                <w:b/>
                <w:bCs/>
                <w:color w:val="auto"/>
                <w:highlight w:val="none"/>
              </w:rPr>
              <w:t>注：</w:t>
            </w:r>
            <w:r>
              <w:rPr>
                <w:rFonts w:hint="eastAsia"/>
                <w:b/>
                <w:bCs/>
                <w:color w:val="auto"/>
                <w:highlight w:val="none"/>
                <w:lang w:val="en-US" w:eastAsia="zh-CN"/>
              </w:rPr>
              <w:t>1.</w:t>
            </w:r>
            <w:r>
              <w:rPr>
                <w:rFonts w:hint="eastAsia"/>
                <w:b/>
                <w:bCs/>
                <w:color w:val="auto"/>
                <w:highlight w:val="none"/>
              </w:rPr>
              <w:t>提供职称证复印件，</w:t>
            </w:r>
            <w:r>
              <w:rPr>
                <w:rFonts w:hint="eastAsia"/>
                <w:b/>
                <w:bCs/>
                <w:color w:val="auto"/>
                <w:highlight w:val="none"/>
                <w:lang w:val="en-US" w:eastAsia="zh-CN"/>
              </w:rPr>
              <w:t>2.</w:t>
            </w:r>
            <w:r>
              <w:rPr>
                <w:rFonts w:hint="eastAsia"/>
                <w:b/>
                <w:bCs/>
                <w:color w:val="auto"/>
                <w:highlight w:val="none"/>
              </w:rPr>
              <w:t>执业证复印件</w:t>
            </w: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rPr>
              <w:t>资格证复印件</w:t>
            </w:r>
            <w:r>
              <w:rPr>
                <w:rFonts w:hint="eastAsia"/>
                <w:b/>
                <w:bCs/>
                <w:color w:val="auto"/>
                <w:highlight w:val="none"/>
                <w:lang w:eastAsia="zh-CN"/>
              </w:rPr>
              <w:t>，</w:t>
            </w:r>
            <w:r>
              <w:rPr>
                <w:rFonts w:hint="eastAsia"/>
                <w:b/>
                <w:bCs/>
                <w:color w:val="auto"/>
                <w:highlight w:val="none"/>
                <w:lang w:val="en-US" w:eastAsia="zh-CN"/>
              </w:rPr>
              <w:t>4.</w:t>
            </w:r>
            <w:r>
              <w:rPr>
                <w:rFonts w:hint="eastAsia"/>
                <w:b/>
                <w:bCs/>
                <w:color w:val="auto"/>
                <w:highlight w:val="none"/>
              </w:rPr>
              <w:t>同一医护人员不重复得分。</w:t>
            </w:r>
          </w:p>
        </w:tc>
        <w:tc>
          <w:tcPr>
            <w:tcW w:w="1076" w:type="dxa"/>
            <w:vAlign w:val="center"/>
          </w:tcPr>
          <w:p>
            <w:pPr>
              <w:pStyle w:val="51"/>
              <w:rPr>
                <w:rFonts w:cs="宋体"/>
                <w:color w:val="auto"/>
                <w:szCs w:val="21"/>
                <w:highlight w:val="none"/>
              </w:rPr>
            </w:pPr>
            <w:r>
              <w:rPr>
                <w:rFonts w:hint="eastAsia" w:cs="宋体"/>
                <w:color w:val="auto"/>
                <w:szCs w:val="21"/>
                <w:highlight w:val="none"/>
              </w:rPr>
              <w:t>共同评</w:t>
            </w:r>
          </w:p>
          <w:p>
            <w:pPr>
              <w:pStyle w:val="51"/>
              <w:rPr>
                <w:color w:val="auto"/>
                <w:highlight w:val="none"/>
              </w:rPr>
            </w:pPr>
            <w:r>
              <w:rPr>
                <w:rFonts w:hint="eastAsia" w:cs="宋体"/>
                <w:color w:val="auto"/>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3" w:type="dxa"/>
            <w:vAlign w:val="center"/>
          </w:tcPr>
          <w:p>
            <w:pPr>
              <w:pStyle w:val="51"/>
              <w:rPr>
                <w:color w:val="auto"/>
                <w:highlight w:val="none"/>
              </w:rPr>
            </w:pPr>
            <w:r>
              <w:rPr>
                <w:rFonts w:hint="eastAsia"/>
                <w:color w:val="auto"/>
                <w:highlight w:val="none"/>
              </w:rPr>
              <w:t>五</w:t>
            </w:r>
          </w:p>
        </w:tc>
        <w:tc>
          <w:tcPr>
            <w:tcW w:w="1502" w:type="dxa"/>
            <w:vAlign w:val="center"/>
          </w:tcPr>
          <w:p>
            <w:pPr>
              <w:pStyle w:val="51"/>
              <w:rPr>
                <w:rFonts w:cs="宋体"/>
                <w:color w:val="auto"/>
                <w:szCs w:val="21"/>
                <w:highlight w:val="none"/>
              </w:rPr>
            </w:pPr>
            <w:r>
              <w:rPr>
                <w:rFonts w:hint="eastAsia" w:cs="宋体"/>
                <w:color w:val="auto"/>
                <w:szCs w:val="21"/>
                <w:highlight w:val="none"/>
              </w:rPr>
              <w:t>履约能力</w:t>
            </w:r>
          </w:p>
          <w:p>
            <w:pPr>
              <w:pStyle w:val="51"/>
              <w:rPr>
                <w:rFonts w:cs="宋体"/>
                <w:color w:val="auto"/>
                <w:szCs w:val="21"/>
                <w:highlight w:val="none"/>
              </w:rPr>
            </w:pPr>
            <w:r>
              <w:rPr>
                <w:rFonts w:hint="eastAsia" w:cs="宋体"/>
                <w:color w:val="auto"/>
                <w:szCs w:val="21"/>
                <w:highlight w:val="none"/>
              </w:rPr>
              <w:t>18%</w:t>
            </w:r>
          </w:p>
        </w:tc>
        <w:tc>
          <w:tcPr>
            <w:tcW w:w="900" w:type="dxa"/>
            <w:vAlign w:val="center"/>
          </w:tcPr>
          <w:p>
            <w:pPr>
              <w:pStyle w:val="51"/>
              <w:rPr>
                <w:color w:val="auto"/>
                <w:highlight w:val="none"/>
              </w:rPr>
            </w:pPr>
            <w:r>
              <w:rPr>
                <w:rFonts w:hint="eastAsia" w:cs="宋体"/>
                <w:color w:val="auto"/>
                <w:szCs w:val="21"/>
                <w:highlight w:val="none"/>
              </w:rPr>
              <w:t>18分</w:t>
            </w:r>
          </w:p>
        </w:tc>
        <w:tc>
          <w:tcPr>
            <w:tcW w:w="5685" w:type="dxa"/>
            <w:vAlign w:val="center"/>
          </w:tcPr>
          <w:p>
            <w:pPr>
              <w:pStyle w:val="49"/>
              <w:rPr>
                <w:color w:val="auto"/>
                <w:highlight w:val="none"/>
              </w:rPr>
            </w:pPr>
            <w:r>
              <w:rPr>
                <w:color w:val="auto"/>
                <w:highlight w:val="none"/>
              </w:rPr>
              <w:t>为保障</w:t>
            </w:r>
            <w:r>
              <w:rPr>
                <w:rFonts w:hint="eastAsia"/>
                <w:color w:val="auto"/>
                <w:highlight w:val="none"/>
              </w:rPr>
              <w:t>采购人</w:t>
            </w:r>
            <w:r>
              <w:rPr>
                <w:color w:val="auto"/>
                <w:highlight w:val="none"/>
              </w:rPr>
              <w:t>全校师生就诊，供应商诊疗科室设置有内科、外科、妇产科、儿科、医学检验科、医学影像科的得18分，以此为标准每少一个科室扣3分，18分扣完为止。</w:t>
            </w:r>
          </w:p>
          <w:p>
            <w:pPr>
              <w:pStyle w:val="49"/>
              <w:rPr>
                <w:rFonts w:eastAsia="仿宋"/>
                <w:b/>
                <w:bCs/>
                <w:color w:val="auto"/>
                <w:highlight w:val="none"/>
              </w:rPr>
            </w:pPr>
            <w:r>
              <w:rPr>
                <w:b/>
                <w:bCs/>
                <w:color w:val="auto"/>
                <w:highlight w:val="none"/>
              </w:rPr>
              <w:t>注：</w:t>
            </w:r>
            <w:r>
              <w:rPr>
                <w:rFonts w:hint="eastAsia"/>
                <w:b/>
                <w:bCs/>
                <w:color w:val="auto"/>
                <w:highlight w:val="none"/>
              </w:rPr>
              <w:t>提供医疗卫生机构执业许可证及科室现场照片。</w:t>
            </w:r>
          </w:p>
        </w:tc>
        <w:tc>
          <w:tcPr>
            <w:tcW w:w="1076" w:type="dxa"/>
            <w:vAlign w:val="center"/>
          </w:tcPr>
          <w:p>
            <w:pPr>
              <w:pStyle w:val="51"/>
              <w:rPr>
                <w:rFonts w:cs="宋体"/>
                <w:color w:val="auto"/>
                <w:szCs w:val="21"/>
                <w:highlight w:val="none"/>
              </w:rPr>
            </w:pPr>
            <w:r>
              <w:rPr>
                <w:rFonts w:hint="eastAsia" w:cs="宋体"/>
                <w:color w:val="auto"/>
                <w:szCs w:val="21"/>
                <w:highlight w:val="none"/>
              </w:rPr>
              <w:t>共同评</w:t>
            </w:r>
          </w:p>
          <w:p>
            <w:pPr>
              <w:pStyle w:val="51"/>
              <w:rPr>
                <w:rFonts w:cs="宋体"/>
                <w:color w:val="auto"/>
                <w:szCs w:val="21"/>
                <w:highlight w:val="none"/>
              </w:rPr>
            </w:pPr>
            <w:r>
              <w:rPr>
                <w:rFonts w:hint="eastAsia" w:cs="宋体"/>
                <w:color w:val="auto"/>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51"/>
              <w:rPr>
                <w:rFonts w:hint="eastAsia" w:eastAsia="宋体"/>
                <w:color w:val="auto"/>
                <w:highlight w:val="none"/>
                <w:lang w:eastAsia="zh-CN"/>
              </w:rPr>
            </w:pPr>
            <w:r>
              <w:rPr>
                <w:rFonts w:hint="eastAsia"/>
                <w:color w:val="auto"/>
                <w:highlight w:val="none"/>
                <w:lang w:val="en-US" w:eastAsia="zh-CN"/>
              </w:rPr>
              <w:t>六</w:t>
            </w:r>
          </w:p>
        </w:tc>
        <w:tc>
          <w:tcPr>
            <w:tcW w:w="1502" w:type="dxa"/>
            <w:vAlign w:val="center"/>
          </w:tcPr>
          <w:p>
            <w:pPr>
              <w:pStyle w:val="51"/>
              <w:spacing w:line="320" w:lineRule="exact"/>
              <w:rPr>
                <w:rFonts w:cs="宋体"/>
                <w:color w:val="auto"/>
                <w:szCs w:val="21"/>
                <w:highlight w:val="none"/>
              </w:rPr>
            </w:pPr>
            <w:r>
              <w:rPr>
                <w:rFonts w:hint="eastAsia" w:cs="宋体"/>
                <w:color w:val="auto"/>
                <w:szCs w:val="21"/>
                <w:highlight w:val="none"/>
              </w:rPr>
              <w:t>履约经验</w:t>
            </w:r>
          </w:p>
          <w:p>
            <w:pPr>
              <w:pStyle w:val="51"/>
              <w:spacing w:line="320" w:lineRule="exact"/>
              <w:rPr>
                <w:color w:val="auto"/>
                <w:highlight w:val="none"/>
              </w:rPr>
            </w:pPr>
            <w:r>
              <w:rPr>
                <w:rFonts w:hint="eastAsia" w:cs="宋体"/>
                <w:color w:val="auto"/>
                <w:szCs w:val="21"/>
                <w:highlight w:val="none"/>
              </w:rPr>
              <w:t>12%</w:t>
            </w:r>
          </w:p>
        </w:tc>
        <w:tc>
          <w:tcPr>
            <w:tcW w:w="900" w:type="dxa"/>
            <w:vAlign w:val="center"/>
          </w:tcPr>
          <w:p>
            <w:pPr>
              <w:pStyle w:val="51"/>
              <w:spacing w:line="320" w:lineRule="exact"/>
              <w:rPr>
                <w:color w:val="auto"/>
                <w:highlight w:val="none"/>
              </w:rPr>
            </w:pPr>
            <w:r>
              <w:rPr>
                <w:rFonts w:hint="eastAsia" w:cs="宋体"/>
                <w:color w:val="auto"/>
                <w:szCs w:val="21"/>
                <w:highlight w:val="none"/>
              </w:rPr>
              <w:t>12分</w:t>
            </w:r>
          </w:p>
        </w:tc>
        <w:tc>
          <w:tcPr>
            <w:tcW w:w="5685" w:type="dxa"/>
            <w:vAlign w:val="center"/>
          </w:tcPr>
          <w:p>
            <w:pPr>
              <w:pStyle w:val="49"/>
              <w:spacing w:line="320" w:lineRule="exact"/>
              <w:rPr>
                <w:rFonts w:cs="宋体"/>
                <w:color w:val="auto"/>
                <w:szCs w:val="21"/>
                <w:highlight w:val="none"/>
              </w:rPr>
            </w:pPr>
            <w:r>
              <w:rPr>
                <w:rFonts w:hint="eastAsia" w:cs="宋体"/>
                <w:color w:val="auto"/>
                <w:szCs w:val="21"/>
                <w:highlight w:val="none"/>
              </w:rPr>
              <w:t>1.供应商自2019年1月1日(含)以来每有1个类似项目履约经验(类似项目指合同内容同时包含急救保障、就诊服务、传染病防控、健康管理)的得3分，最多得12分。</w:t>
            </w:r>
          </w:p>
          <w:p>
            <w:pPr>
              <w:pStyle w:val="49"/>
              <w:spacing w:line="320" w:lineRule="exact"/>
              <w:rPr>
                <w:rFonts w:cs="宋体"/>
                <w:b/>
                <w:bCs/>
                <w:color w:val="auto"/>
                <w:szCs w:val="21"/>
                <w:highlight w:val="none"/>
              </w:rPr>
            </w:pPr>
            <w:r>
              <w:rPr>
                <w:rFonts w:hint="eastAsia" w:cs="宋体"/>
                <w:b/>
                <w:bCs/>
                <w:color w:val="auto"/>
                <w:szCs w:val="21"/>
                <w:highlight w:val="none"/>
              </w:rPr>
              <w:t>注：提供合同、成交(中标)通知书、验收报告复印件。</w:t>
            </w:r>
          </w:p>
          <w:p>
            <w:pPr>
              <w:pStyle w:val="49"/>
              <w:spacing w:line="320" w:lineRule="exact"/>
              <w:rPr>
                <w:rFonts w:cs="宋体"/>
                <w:color w:val="auto"/>
                <w:szCs w:val="21"/>
                <w:highlight w:val="none"/>
              </w:rPr>
            </w:pPr>
            <w:r>
              <w:rPr>
                <w:rFonts w:hint="eastAsia" w:cs="宋体"/>
                <w:color w:val="auto"/>
                <w:szCs w:val="21"/>
                <w:highlight w:val="none"/>
              </w:rPr>
              <w:t>2.供应商自2019年1月1日(含)以来每有1个因自身原因导致合同终止(供应商不能正常履约)情况的扣3分，最多扣12分。</w:t>
            </w:r>
          </w:p>
          <w:p>
            <w:pPr>
              <w:pStyle w:val="49"/>
              <w:spacing w:line="320" w:lineRule="exact"/>
              <w:rPr>
                <w:color w:val="auto"/>
                <w:highlight w:val="none"/>
              </w:rPr>
            </w:pPr>
            <w:r>
              <w:rPr>
                <w:rFonts w:hint="eastAsia" w:cs="宋体"/>
                <w:b/>
                <w:bCs/>
                <w:color w:val="auto"/>
                <w:szCs w:val="21"/>
                <w:highlight w:val="none"/>
              </w:rPr>
              <w:t>注：提供承诺函原件。</w:t>
            </w:r>
          </w:p>
        </w:tc>
        <w:tc>
          <w:tcPr>
            <w:tcW w:w="1076" w:type="dxa"/>
            <w:vAlign w:val="center"/>
          </w:tcPr>
          <w:p>
            <w:pPr>
              <w:pStyle w:val="51"/>
              <w:rPr>
                <w:rFonts w:cs="宋体"/>
                <w:color w:val="auto"/>
                <w:szCs w:val="21"/>
                <w:highlight w:val="none"/>
              </w:rPr>
            </w:pPr>
            <w:r>
              <w:rPr>
                <w:rFonts w:hint="eastAsia" w:cs="宋体"/>
                <w:color w:val="auto"/>
                <w:szCs w:val="21"/>
                <w:highlight w:val="none"/>
              </w:rPr>
              <w:t>共同评</w:t>
            </w:r>
          </w:p>
          <w:p>
            <w:pPr>
              <w:pStyle w:val="51"/>
              <w:rPr>
                <w:color w:val="auto"/>
                <w:highlight w:val="none"/>
              </w:rPr>
            </w:pPr>
            <w:r>
              <w:rPr>
                <w:rFonts w:hint="eastAsia" w:cs="宋体"/>
                <w:color w:val="auto"/>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56" w:type="dxa"/>
            <w:gridSpan w:val="5"/>
            <w:tcBorders>
              <w:top w:val="single" w:color="auto" w:sz="4" w:space="0"/>
              <w:left w:val="single" w:color="auto" w:sz="4" w:space="0"/>
              <w:bottom w:val="single" w:color="auto" w:sz="4" w:space="0"/>
              <w:right w:val="single" w:color="auto" w:sz="4" w:space="0"/>
            </w:tcBorders>
            <w:vAlign w:val="center"/>
          </w:tcPr>
          <w:p>
            <w:pPr>
              <w:pStyle w:val="51"/>
              <w:jc w:val="both"/>
              <w:rPr>
                <w:color w:val="auto"/>
                <w:highlight w:val="none"/>
              </w:rPr>
            </w:pPr>
            <w:r>
              <w:rPr>
                <w:rFonts w:hint="eastAsia" w:asciiTheme="minorEastAsia" w:hAnsiTheme="minorEastAsia" w:eastAsiaTheme="minorEastAsia" w:cstheme="minorEastAsia"/>
                <w:color w:val="auto"/>
                <w:szCs w:val="21"/>
                <w:highlight w:val="none"/>
              </w:rPr>
              <w:t>注：</w:t>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 1 \* GB3 \* MERGEFORMAT </w:instrText>
            </w:r>
            <w:r>
              <w:rPr>
                <w:rFonts w:hint="eastAsia" w:asciiTheme="minorEastAsia" w:hAnsiTheme="minorEastAsia" w:eastAsiaTheme="minorEastAsia" w:cstheme="minorEastAsia"/>
                <w:color w:val="auto"/>
                <w:szCs w:val="21"/>
                <w:highlight w:val="none"/>
              </w:rPr>
              <w:fldChar w:fldCharType="separate"/>
            </w:r>
            <w:r>
              <w:rPr>
                <w:color w:val="auto"/>
                <w:highlight w:val="none"/>
              </w:rPr>
              <w:t>①</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t>评分的取值按四舍五入法，小数点后保留两位。</w:t>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 2 \* GB3 \* MERGEFORMAT </w:instrText>
            </w:r>
            <w:r>
              <w:rPr>
                <w:rFonts w:hint="eastAsia" w:asciiTheme="minorEastAsia" w:hAnsiTheme="minorEastAsia" w:eastAsiaTheme="minorEastAsia" w:cstheme="minorEastAsia"/>
                <w:color w:val="auto"/>
                <w:szCs w:val="21"/>
                <w:highlight w:val="none"/>
              </w:rPr>
              <w:fldChar w:fldCharType="separate"/>
            </w:r>
            <w:r>
              <w:rPr>
                <w:color w:val="auto"/>
                <w:highlight w:val="none"/>
              </w:rPr>
              <w:t>②</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t>本表中要求提供各类证明材料，均需加盖供应商单位公章，否则将不认可该项材料的有效性。</w:t>
            </w:r>
            <w:r>
              <w:rPr>
                <w:rFonts w:hint="eastAsia" w:cs="宋体"/>
                <w:color w:val="auto"/>
                <w:szCs w:val="21"/>
                <w:highlight w:val="none"/>
              </w:rPr>
              <w:t>③本项目不涉及节能、环境标志、无线局域网产品，故在评审标准中不作体现。</w:t>
            </w:r>
          </w:p>
        </w:tc>
      </w:tr>
    </w:tbl>
    <w:p>
      <w:pPr>
        <w:pStyle w:val="32"/>
        <w:numPr>
          <w:ilvl w:val="2"/>
          <w:numId w:val="26"/>
        </w:numPr>
        <w:ind w:firstLine="482"/>
        <w:rPr>
          <w:color w:val="auto"/>
          <w:highlight w:val="none"/>
        </w:rPr>
      </w:pPr>
      <w:bookmarkStart w:id="485" w:name="_Toc12029"/>
      <w:bookmarkStart w:id="486" w:name="_Toc10537"/>
      <w:r>
        <w:rPr>
          <w:rFonts w:hint="eastAsia"/>
          <w:color w:val="auto"/>
          <w:highlight w:val="none"/>
        </w:rPr>
        <w:t>复核</w:t>
      </w:r>
      <w:bookmarkEnd w:id="485"/>
      <w:bookmarkEnd w:id="486"/>
    </w:p>
    <w:p>
      <w:pPr>
        <w:pStyle w:val="33"/>
        <w:numPr>
          <w:ilvl w:val="3"/>
          <w:numId w:val="26"/>
        </w:numPr>
        <w:ind w:firstLine="480"/>
        <w:rPr>
          <w:color w:val="auto"/>
          <w:highlight w:val="none"/>
        </w:rPr>
      </w:pPr>
      <w:r>
        <w:rPr>
          <w:rFonts w:hint="eastAsia"/>
          <w:color w:val="auto"/>
          <w:highlight w:val="none"/>
        </w:rPr>
        <w:t>评审结果汇总完成后，评审委员会拟出具评审报告前，采购组织单位应当组织2名以上的本单位工作人员，在采购现场监督人员的监督之下，依据有关的法律制度和磋商文件对评审结果进行复核，出具复核报告。存在下列情形之一的，应当根据情况要求磋商小组现场修改磋商结果或者重新评审：</w:t>
      </w:r>
    </w:p>
    <w:p>
      <w:pPr>
        <w:pStyle w:val="35"/>
        <w:numPr>
          <w:ilvl w:val="4"/>
          <w:numId w:val="26"/>
        </w:numPr>
        <w:ind w:firstLine="480"/>
        <w:rPr>
          <w:color w:val="auto"/>
          <w:highlight w:val="none"/>
        </w:rPr>
      </w:pPr>
      <w:r>
        <w:rPr>
          <w:rFonts w:hint="eastAsia"/>
          <w:color w:val="auto"/>
          <w:highlight w:val="none"/>
        </w:rPr>
        <w:t>资格性审查认定错误的；</w:t>
      </w:r>
    </w:p>
    <w:p>
      <w:pPr>
        <w:pStyle w:val="35"/>
        <w:numPr>
          <w:ilvl w:val="4"/>
          <w:numId w:val="26"/>
        </w:numPr>
        <w:ind w:firstLine="480"/>
        <w:rPr>
          <w:color w:val="auto"/>
          <w:highlight w:val="none"/>
        </w:rPr>
      </w:pPr>
      <w:r>
        <w:rPr>
          <w:rFonts w:hint="eastAsia"/>
          <w:color w:val="auto"/>
          <w:highlight w:val="none"/>
        </w:rPr>
        <w:t>分值汇总计算错误的；</w:t>
      </w:r>
    </w:p>
    <w:p>
      <w:pPr>
        <w:pStyle w:val="35"/>
        <w:numPr>
          <w:ilvl w:val="4"/>
          <w:numId w:val="26"/>
        </w:numPr>
        <w:ind w:firstLine="480"/>
        <w:rPr>
          <w:color w:val="auto"/>
          <w:highlight w:val="none"/>
        </w:rPr>
      </w:pPr>
      <w:r>
        <w:rPr>
          <w:rFonts w:hint="eastAsia"/>
          <w:color w:val="auto"/>
          <w:highlight w:val="none"/>
        </w:rPr>
        <w:t>分项评分超出评分标准范围的；</w:t>
      </w:r>
    </w:p>
    <w:p>
      <w:pPr>
        <w:pStyle w:val="35"/>
        <w:numPr>
          <w:ilvl w:val="4"/>
          <w:numId w:val="26"/>
        </w:numPr>
        <w:ind w:firstLine="480"/>
        <w:rPr>
          <w:color w:val="auto"/>
          <w:highlight w:val="none"/>
        </w:rPr>
      </w:pPr>
      <w:r>
        <w:rPr>
          <w:rFonts w:hint="eastAsia"/>
          <w:color w:val="auto"/>
          <w:highlight w:val="none"/>
        </w:rPr>
        <w:t>客观评分不一致的；</w:t>
      </w:r>
    </w:p>
    <w:p>
      <w:pPr>
        <w:pStyle w:val="35"/>
        <w:numPr>
          <w:ilvl w:val="4"/>
          <w:numId w:val="26"/>
        </w:numPr>
        <w:ind w:firstLine="480"/>
        <w:rPr>
          <w:color w:val="auto"/>
          <w:highlight w:val="none"/>
        </w:rPr>
      </w:pPr>
      <w:r>
        <w:rPr>
          <w:rFonts w:hint="eastAsia"/>
          <w:color w:val="auto"/>
          <w:highlight w:val="none"/>
        </w:rPr>
        <w:t>经磋商小组一致认定评分畸高、畸低的。</w:t>
      </w:r>
    </w:p>
    <w:p>
      <w:pPr>
        <w:pStyle w:val="33"/>
        <w:numPr>
          <w:ilvl w:val="3"/>
          <w:numId w:val="26"/>
        </w:numPr>
        <w:ind w:firstLine="480"/>
        <w:rPr>
          <w:color w:val="auto"/>
          <w:highlight w:val="none"/>
        </w:rPr>
      </w:pPr>
      <w:r>
        <w:rPr>
          <w:rFonts w:hint="eastAsia"/>
          <w:color w:val="auto"/>
          <w:highlight w:val="none"/>
        </w:rPr>
        <w:t>采购代理机构复核过程中，磋商小组不得离开评审现场。</w:t>
      </w:r>
    </w:p>
    <w:p>
      <w:pPr>
        <w:pStyle w:val="33"/>
        <w:numPr>
          <w:ilvl w:val="3"/>
          <w:numId w:val="26"/>
        </w:numPr>
        <w:ind w:firstLine="480"/>
        <w:rPr>
          <w:color w:val="auto"/>
          <w:highlight w:val="none"/>
        </w:rPr>
      </w:pPr>
      <w:r>
        <w:rPr>
          <w:rFonts w:hint="eastAsia"/>
          <w:color w:val="auto"/>
          <w:highlight w:val="none"/>
        </w:rPr>
        <w:t>存在本条上述规定情形的，由磋商小组自主决定是否采纳采购代理机构的书面建议，并承担独立评审责任。磋商小组采纳采购代理机构书面建议的，应当按照规定现场修改磋商结果或者重新评审，并在评审报告中详细记载有关事宜；不采纳采购代理机构书面建议的，应当书面说明理由。采购代理机构书面建议未被磋商小组采纳的，应当按照规定程序要求继续组织实施采购活动，不得擅自中止采购活动。采购代理机构发现磋商小组未按照磋商文件规定的评审标准进行评审的，应当书面报告采购项目同级财政部门。</w:t>
      </w:r>
    </w:p>
    <w:p>
      <w:pPr>
        <w:pStyle w:val="33"/>
        <w:numPr>
          <w:ilvl w:val="3"/>
          <w:numId w:val="26"/>
        </w:numPr>
        <w:ind w:firstLine="480"/>
        <w:rPr>
          <w:color w:val="auto"/>
          <w:highlight w:val="none"/>
        </w:rPr>
      </w:pPr>
      <w:r>
        <w:rPr>
          <w:rFonts w:hint="eastAsia"/>
          <w:color w:val="auto"/>
          <w:highlight w:val="none"/>
        </w:rPr>
        <w:t>有下列情形之一的，不得修改磋商结果或者重新评审：</w:t>
      </w:r>
    </w:p>
    <w:p>
      <w:pPr>
        <w:pStyle w:val="35"/>
        <w:numPr>
          <w:ilvl w:val="4"/>
          <w:numId w:val="26"/>
        </w:numPr>
        <w:ind w:firstLine="480"/>
        <w:rPr>
          <w:color w:val="auto"/>
          <w:highlight w:val="none"/>
        </w:rPr>
      </w:pPr>
      <w:r>
        <w:rPr>
          <w:rFonts w:hint="eastAsia"/>
          <w:color w:val="auto"/>
          <w:highlight w:val="none"/>
        </w:rPr>
        <w:t>磋商小组已经出具评审报告并且离开评审现场的；</w:t>
      </w:r>
    </w:p>
    <w:p>
      <w:pPr>
        <w:pStyle w:val="35"/>
        <w:numPr>
          <w:ilvl w:val="4"/>
          <w:numId w:val="26"/>
        </w:numPr>
        <w:ind w:firstLine="480"/>
        <w:rPr>
          <w:color w:val="auto"/>
          <w:highlight w:val="none"/>
        </w:rPr>
      </w:pPr>
      <w:r>
        <w:rPr>
          <w:rFonts w:hint="eastAsia"/>
          <w:color w:val="auto"/>
          <w:highlight w:val="none"/>
        </w:rPr>
        <w:t>采购代理机构现场复核时，复核工作人员数量不足的；</w:t>
      </w:r>
    </w:p>
    <w:p>
      <w:pPr>
        <w:pStyle w:val="35"/>
        <w:numPr>
          <w:ilvl w:val="4"/>
          <w:numId w:val="26"/>
        </w:numPr>
        <w:ind w:firstLine="480"/>
        <w:rPr>
          <w:color w:val="auto"/>
          <w:highlight w:val="none"/>
        </w:rPr>
      </w:pPr>
      <w:r>
        <w:rPr>
          <w:rFonts w:hint="eastAsia"/>
          <w:color w:val="auto"/>
          <w:highlight w:val="none"/>
        </w:rPr>
        <w:t>采购代理机构现场复核时，没有采购监督人员现场监督的；</w:t>
      </w:r>
    </w:p>
    <w:p>
      <w:pPr>
        <w:pStyle w:val="35"/>
        <w:numPr>
          <w:ilvl w:val="4"/>
          <w:numId w:val="26"/>
        </w:numPr>
        <w:ind w:firstLine="480"/>
        <w:rPr>
          <w:color w:val="auto"/>
          <w:highlight w:val="none"/>
        </w:rPr>
      </w:pPr>
      <w:r>
        <w:rPr>
          <w:rFonts w:hint="eastAsia"/>
          <w:color w:val="auto"/>
          <w:highlight w:val="none"/>
        </w:rPr>
        <w:t>采购代理机构现场复核内容超出规定范围的；</w:t>
      </w:r>
    </w:p>
    <w:p>
      <w:pPr>
        <w:pStyle w:val="35"/>
        <w:numPr>
          <w:ilvl w:val="4"/>
          <w:numId w:val="26"/>
        </w:numPr>
        <w:ind w:firstLine="480"/>
        <w:rPr>
          <w:color w:val="auto"/>
          <w:highlight w:val="none"/>
        </w:rPr>
      </w:pPr>
      <w:r>
        <w:rPr>
          <w:rFonts w:hint="eastAsia"/>
          <w:color w:val="auto"/>
          <w:highlight w:val="none"/>
        </w:rPr>
        <w:t>采购代理机构未提供书面建议的。</w:t>
      </w:r>
    </w:p>
    <w:p>
      <w:pPr>
        <w:pStyle w:val="32"/>
        <w:numPr>
          <w:ilvl w:val="2"/>
          <w:numId w:val="26"/>
        </w:numPr>
        <w:ind w:firstLine="482"/>
        <w:rPr>
          <w:color w:val="auto"/>
          <w:highlight w:val="none"/>
        </w:rPr>
      </w:pPr>
      <w:bookmarkStart w:id="487" w:name="_Toc4617"/>
      <w:bookmarkStart w:id="488" w:name="_Toc4187"/>
      <w:r>
        <w:rPr>
          <w:rFonts w:hint="eastAsia"/>
          <w:color w:val="auto"/>
          <w:highlight w:val="none"/>
        </w:rPr>
        <w:t>评审报告</w:t>
      </w:r>
      <w:bookmarkEnd w:id="487"/>
      <w:bookmarkEnd w:id="488"/>
    </w:p>
    <w:p>
      <w:pPr>
        <w:pStyle w:val="33"/>
        <w:numPr>
          <w:ilvl w:val="3"/>
          <w:numId w:val="26"/>
        </w:numPr>
        <w:ind w:firstLine="480"/>
        <w:rPr>
          <w:color w:val="auto"/>
          <w:highlight w:val="none"/>
        </w:rPr>
      </w:pPr>
      <w:r>
        <w:rPr>
          <w:rFonts w:hint="eastAsia"/>
          <w:color w:val="auto"/>
          <w:highlight w:val="none"/>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pPr>
        <w:pStyle w:val="33"/>
        <w:numPr>
          <w:ilvl w:val="3"/>
          <w:numId w:val="26"/>
        </w:numPr>
        <w:ind w:firstLine="480"/>
        <w:rPr>
          <w:color w:val="auto"/>
          <w:highlight w:val="none"/>
        </w:rPr>
      </w:pPr>
      <w:r>
        <w:rPr>
          <w:rFonts w:hint="eastAsia"/>
          <w:color w:val="auto"/>
          <w:highlight w:val="none"/>
        </w:rPr>
        <w:t>出具评审报告。评审委员会推荐成交候选供应商后，应当向采购组织单位出具评审报告。评审报告应当包括下列内容：</w:t>
      </w:r>
    </w:p>
    <w:p>
      <w:pPr>
        <w:pStyle w:val="35"/>
        <w:numPr>
          <w:ilvl w:val="4"/>
          <w:numId w:val="26"/>
        </w:numPr>
        <w:ind w:firstLine="480"/>
        <w:rPr>
          <w:color w:val="auto"/>
          <w:highlight w:val="none"/>
        </w:rPr>
      </w:pPr>
      <w:r>
        <w:rPr>
          <w:rFonts w:hint="eastAsia"/>
          <w:color w:val="auto"/>
          <w:highlight w:val="none"/>
        </w:rPr>
        <w:t>邀请供应商参加采购活动的具体方式和相关情况、以及参加采购活动的供应商名单；</w:t>
      </w:r>
    </w:p>
    <w:p>
      <w:pPr>
        <w:pStyle w:val="35"/>
        <w:numPr>
          <w:ilvl w:val="4"/>
          <w:numId w:val="26"/>
        </w:numPr>
        <w:ind w:firstLine="480"/>
        <w:rPr>
          <w:color w:val="auto"/>
          <w:highlight w:val="none"/>
        </w:rPr>
      </w:pPr>
      <w:r>
        <w:rPr>
          <w:rFonts w:hint="eastAsia"/>
          <w:color w:val="auto"/>
          <w:highlight w:val="none"/>
        </w:rPr>
        <w:t>响应文件开启日期和地点；</w:t>
      </w:r>
    </w:p>
    <w:p>
      <w:pPr>
        <w:pStyle w:val="35"/>
        <w:numPr>
          <w:ilvl w:val="4"/>
          <w:numId w:val="26"/>
        </w:numPr>
        <w:ind w:firstLine="480"/>
        <w:rPr>
          <w:color w:val="auto"/>
          <w:highlight w:val="none"/>
        </w:rPr>
      </w:pPr>
      <w:r>
        <w:rPr>
          <w:rFonts w:hint="eastAsia"/>
          <w:color w:val="auto"/>
          <w:highlight w:val="none"/>
        </w:rPr>
        <w:t>获取磋商文件的供应商名单和磋商小组成员名单；</w:t>
      </w:r>
    </w:p>
    <w:p>
      <w:pPr>
        <w:pStyle w:val="35"/>
        <w:numPr>
          <w:ilvl w:val="4"/>
          <w:numId w:val="26"/>
        </w:numPr>
        <w:ind w:firstLine="480"/>
        <w:rPr>
          <w:color w:val="auto"/>
          <w:highlight w:val="none"/>
        </w:rPr>
      </w:pPr>
      <w:r>
        <w:rPr>
          <w:rFonts w:hint="eastAsia"/>
          <w:color w:val="auto"/>
          <w:highlight w:val="none"/>
        </w:rPr>
        <w:t>参加报价的供应商名单及报价情况和未参加报价的供应商名单及原因；</w:t>
      </w:r>
    </w:p>
    <w:p>
      <w:pPr>
        <w:pStyle w:val="35"/>
        <w:numPr>
          <w:ilvl w:val="4"/>
          <w:numId w:val="26"/>
        </w:numPr>
        <w:ind w:firstLine="480"/>
        <w:rPr>
          <w:color w:val="auto"/>
          <w:highlight w:val="none"/>
        </w:rPr>
      </w:pPr>
      <w:r>
        <w:rPr>
          <w:rFonts w:hint="eastAsia"/>
          <w:color w:val="auto"/>
          <w:highlight w:val="none"/>
        </w:rPr>
        <w:t>磋商文件规定的采购项目实质性要求及变动磋商文件实质性内容的有关资料及记录；</w:t>
      </w:r>
    </w:p>
    <w:p>
      <w:pPr>
        <w:pStyle w:val="35"/>
        <w:numPr>
          <w:ilvl w:val="4"/>
          <w:numId w:val="26"/>
        </w:numPr>
        <w:ind w:firstLine="480"/>
        <w:rPr>
          <w:color w:val="auto"/>
          <w:highlight w:val="none"/>
        </w:rPr>
      </w:pPr>
      <w:r>
        <w:rPr>
          <w:rFonts w:hint="eastAsia"/>
          <w:color w:val="auto"/>
          <w:highlight w:val="none"/>
        </w:rPr>
        <w:t>供应商响应文件响应磋商文件实质性要求情况及供应商变动响应文件有关资料及记录；</w:t>
      </w:r>
    </w:p>
    <w:p>
      <w:pPr>
        <w:pStyle w:val="35"/>
        <w:numPr>
          <w:ilvl w:val="4"/>
          <w:numId w:val="26"/>
        </w:numPr>
        <w:ind w:firstLine="480"/>
        <w:rPr>
          <w:color w:val="auto"/>
          <w:highlight w:val="none"/>
        </w:rPr>
      </w:pPr>
      <w:r>
        <w:rPr>
          <w:rFonts w:hint="eastAsia"/>
          <w:color w:val="auto"/>
          <w:highlight w:val="none"/>
        </w:rPr>
        <w:t>评审情况记录和说明，包括对供应商的资格审查情况、供应商响应文件评审情况、磋商情况、报价情况等；</w:t>
      </w:r>
    </w:p>
    <w:p>
      <w:pPr>
        <w:pStyle w:val="35"/>
        <w:numPr>
          <w:ilvl w:val="4"/>
          <w:numId w:val="26"/>
        </w:numPr>
        <w:ind w:firstLine="480"/>
        <w:rPr>
          <w:color w:val="auto"/>
          <w:highlight w:val="none"/>
        </w:rPr>
      </w:pPr>
      <w:r>
        <w:rPr>
          <w:rFonts w:hint="eastAsia"/>
          <w:color w:val="auto"/>
          <w:highlight w:val="none"/>
        </w:rPr>
        <w:t>提出的成交候选供应商的排序名单及理由。</w:t>
      </w:r>
    </w:p>
    <w:p>
      <w:pPr>
        <w:pStyle w:val="33"/>
        <w:numPr>
          <w:ilvl w:val="3"/>
          <w:numId w:val="26"/>
        </w:numPr>
        <w:ind w:firstLine="480"/>
        <w:rPr>
          <w:color w:val="auto"/>
          <w:highlight w:val="none"/>
        </w:rPr>
      </w:pPr>
      <w:r>
        <w:rPr>
          <w:rFonts w:hint="eastAsia"/>
          <w:color w:val="auto"/>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33"/>
        <w:numPr>
          <w:ilvl w:val="3"/>
          <w:numId w:val="26"/>
        </w:numPr>
        <w:ind w:firstLine="480"/>
        <w:rPr>
          <w:color w:val="auto"/>
          <w:highlight w:val="none"/>
        </w:rPr>
      </w:pPr>
      <w:r>
        <w:rPr>
          <w:rFonts w:hint="eastAsia"/>
          <w:color w:val="auto"/>
          <w:highlight w:val="none"/>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32"/>
        <w:numPr>
          <w:ilvl w:val="2"/>
          <w:numId w:val="26"/>
        </w:numPr>
        <w:ind w:firstLine="482"/>
        <w:rPr>
          <w:color w:val="auto"/>
          <w:highlight w:val="none"/>
        </w:rPr>
      </w:pPr>
      <w:bookmarkStart w:id="489" w:name="_Toc19477"/>
      <w:bookmarkStart w:id="490" w:name="_Toc29842"/>
      <w:bookmarkStart w:id="491" w:name="_Toc29300"/>
      <w:bookmarkStart w:id="492" w:name="_Toc18115"/>
      <w:bookmarkStart w:id="493" w:name="_Toc27829"/>
      <w:bookmarkStart w:id="494" w:name="_Toc5227"/>
      <w:bookmarkStart w:id="495" w:name="_Toc25447"/>
      <w:r>
        <w:rPr>
          <w:rFonts w:hint="eastAsia"/>
          <w:color w:val="auto"/>
          <w:highlight w:val="none"/>
        </w:rPr>
        <w:t>评审专家在政府采购活动中承担以下义务</w:t>
      </w:r>
      <w:bookmarkEnd w:id="489"/>
      <w:bookmarkEnd w:id="490"/>
      <w:bookmarkEnd w:id="491"/>
      <w:bookmarkEnd w:id="492"/>
      <w:bookmarkEnd w:id="493"/>
      <w:bookmarkEnd w:id="494"/>
      <w:bookmarkEnd w:id="495"/>
    </w:p>
    <w:p>
      <w:pPr>
        <w:pStyle w:val="33"/>
        <w:numPr>
          <w:ilvl w:val="3"/>
          <w:numId w:val="26"/>
        </w:numPr>
        <w:ind w:firstLine="480"/>
        <w:rPr>
          <w:color w:val="auto"/>
          <w:highlight w:val="none"/>
        </w:rPr>
      </w:pPr>
      <w:r>
        <w:rPr>
          <w:rFonts w:hint="eastAsia"/>
          <w:color w:val="auto"/>
          <w:highlight w:val="none"/>
        </w:rPr>
        <w:t>遵纪守法，客观、公正、廉洁地履行职责。</w:t>
      </w:r>
    </w:p>
    <w:p>
      <w:pPr>
        <w:pStyle w:val="33"/>
        <w:numPr>
          <w:ilvl w:val="3"/>
          <w:numId w:val="26"/>
        </w:numPr>
        <w:ind w:firstLine="480"/>
        <w:rPr>
          <w:color w:val="auto"/>
          <w:highlight w:val="none"/>
        </w:rPr>
      </w:pPr>
      <w:r>
        <w:rPr>
          <w:rFonts w:hint="eastAsia"/>
          <w:color w:val="auto"/>
          <w:highlight w:val="none"/>
        </w:rPr>
        <w:t>按照政府采购法律法规和磋商文件的规定要求对供应商的资格条件和供应商提供的产品价格、技术、服务等方面严格进行评判，提供科学合理、公平公正的评审意见，参与起草评审报告，并予签字确认。</w:t>
      </w:r>
    </w:p>
    <w:p>
      <w:pPr>
        <w:pStyle w:val="33"/>
        <w:numPr>
          <w:ilvl w:val="3"/>
          <w:numId w:val="26"/>
        </w:numPr>
        <w:ind w:firstLine="480"/>
        <w:rPr>
          <w:color w:val="auto"/>
          <w:highlight w:val="none"/>
        </w:rPr>
      </w:pPr>
      <w:r>
        <w:rPr>
          <w:rFonts w:hint="eastAsia"/>
          <w:color w:val="auto"/>
          <w:highlight w:val="none"/>
        </w:rPr>
        <w:t>评审专家应当遵守评审工作纪律，不得泄露评审情况和评审中获悉的商业秘密。</w:t>
      </w:r>
    </w:p>
    <w:p>
      <w:pPr>
        <w:pStyle w:val="33"/>
        <w:numPr>
          <w:ilvl w:val="3"/>
          <w:numId w:val="26"/>
        </w:numPr>
        <w:ind w:firstLine="480"/>
        <w:rPr>
          <w:color w:val="auto"/>
          <w:highlight w:val="none"/>
        </w:rPr>
      </w:pPr>
      <w:r>
        <w:rPr>
          <w:rFonts w:hint="eastAsia"/>
          <w:color w:val="auto"/>
          <w:highlight w:val="none"/>
        </w:rPr>
        <w:t>发现供应商在政府采购活动中有不正当竞争或恶意串通等违规行为，及时向政府采购评审工作的组织者或财政部门报告并加以制止。</w:t>
      </w:r>
    </w:p>
    <w:p>
      <w:pPr>
        <w:pStyle w:val="33"/>
        <w:numPr>
          <w:ilvl w:val="3"/>
          <w:numId w:val="26"/>
        </w:numPr>
        <w:ind w:firstLine="480"/>
        <w:rPr>
          <w:color w:val="auto"/>
          <w:highlight w:val="none"/>
        </w:rPr>
      </w:pPr>
      <w:r>
        <w:rPr>
          <w:rFonts w:hint="eastAsia"/>
          <w:color w:val="auto"/>
          <w:highlight w:val="none"/>
        </w:rPr>
        <w:t>在评审过程中发现供应商有行贿、提供虚假材料或者串通等违法行为的，应当及时向财政部门报告。</w:t>
      </w:r>
    </w:p>
    <w:p>
      <w:pPr>
        <w:pStyle w:val="33"/>
        <w:numPr>
          <w:ilvl w:val="3"/>
          <w:numId w:val="26"/>
        </w:numPr>
        <w:ind w:firstLine="480"/>
        <w:rPr>
          <w:color w:val="auto"/>
          <w:highlight w:val="none"/>
        </w:rPr>
      </w:pPr>
      <w:r>
        <w:rPr>
          <w:rFonts w:hint="eastAsia"/>
          <w:color w:val="auto"/>
          <w:highlight w:val="none"/>
        </w:rPr>
        <w:t>评审专家在评审过程中受到非法干涉的，应当及时向财政、监察等部门汇报。</w:t>
      </w:r>
    </w:p>
    <w:p>
      <w:pPr>
        <w:pStyle w:val="33"/>
        <w:numPr>
          <w:ilvl w:val="3"/>
          <w:numId w:val="26"/>
        </w:numPr>
        <w:ind w:firstLine="480"/>
        <w:rPr>
          <w:color w:val="auto"/>
          <w:highlight w:val="none"/>
        </w:rPr>
      </w:pPr>
      <w:r>
        <w:rPr>
          <w:rFonts w:hint="eastAsia"/>
          <w:color w:val="auto"/>
          <w:highlight w:val="none"/>
        </w:rPr>
        <w:t>解答有关方面对政府采购评审工作中有关问题的询问，配合采购人或者政府采购代理机构答复供应商询问、质疑，配合财政部门的投诉处理工作等事宜。</w:t>
      </w:r>
    </w:p>
    <w:p>
      <w:pPr>
        <w:pStyle w:val="33"/>
        <w:numPr>
          <w:ilvl w:val="3"/>
          <w:numId w:val="26"/>
        </w:numPr>
        <w:ind w:firstLine="480"/>
        <w:rPr>
          <w:color w:val="auto"/>
          <w:highlight w:val="none"/>
        </w:rPr>
      </w:pPr>
      <w:r>
        <w:rPr>
          <w:rFonts w:hint="eastAsia"/>
          <w:color w:val="auto"/>
          <w:highlight w:val="none"/>
        </w:rPr>
        <w:t>法律、法规和规章规定的其他义务。</w:t>
      </w:r>
    </w:p>
    <w:p>
      <w:pPr>
        <w:pStyle w:val="32"/>
        <w:numPr>
          <w:ilvl w:val="2"/>
          <w:numId w:val="26"/>
        </w:numPr>
        <w:ind w:firstLine="482"/>
        <w:rPr>
          <w:color w:val="auto"/>
          <w:highlight w:val="none"/>
        </w:rPr>
      </w:pPr>
      <w:bookmarkStart w:id="496" w:name="_Toc319440195"/>
      <w:bookmarkStart w:id="497" w:name="_Toc24516"/>
      <w:bookmarkStart w:id="498" w:name="_Toc15363"/>
      <w:bookmarkStart w:id="499" w:name="_Toc8073"/>
      <w:bookmarkStart w:id="500" w:name="_Toc7984"/>
      <w:bookmarkStart w:id="501" w:name="_Toc22719"/>
      <w:bookmarkStart w:id="502" w:name="_Toc2641"/>
      <w:bookmarkStart w:id="503" w:name="_Toc32588"/>
      <w:bookmarkStart w:id="504" w:name="_Toc29181"/>
      <w:bookmarkStart w:id="505" w:name="_Toc327196346"/>
      <w:bookmarkStart w:id="506" w:name="_Toc22731"/>
      <w:bookmarkStart w:id="507" w:name="_Toc1306"/>
      <w:r>
        <w:rPr>
          <w:rFonts w:hint="eastAsia"/>
          <w:color w:val="auto"/>
          <w:highlight w:val="none"/>
        </w:rPr>
        <w:t>评审专家在政府采购活动中应当遵守以下工作纪律</w:t>
      </w:r>
      <w:bookmarkEnd w:id="496"/>
      <w:bookmarkEnd w:id="497"/>
      <w:bookmarkEnd w:id="498"/>
      <w:bookmarkEnd w:id="499"/>
      <w:bookmarkEnd w:id="500"/>
      <w:bookmarkEnd w:id="501"/>
      <w:bookmarkEnd w:id="502"/>
      <w:bookmarkEnd w:id="503"/>
      <w:bookmarkEnd w:id="504"/>
      <w:bookmarkEnd w:id="505"/>
      <w:bookmarkEnd w:id="506"/>
      <w:bookmarkEnd w:id="507"/>
    </w:p>
    <w:p>
      <w:pPr>
        <w:pStyle w:val="33"/>
        <w:numPr>
          <w:ilvl w:val="3"/>
          <w:numId w:val="26"/>
        </w:numPr>
        <w:ind w:firstLine="480"/>
        <w:rPr>
          <w:color w:val="auto"/>
          <w:highlight w:val="none"/>
        </w:rPr>
      </w:pPr>
      <w:r>
        <w:rPr>
          <w:rFonts w:hint="eastAsia"/>
          <w:color w:val="auto"/>
          <w:highlight w:val="none"/>
        </w:rPr>
        <w:t>遵行《中华人民共和国政府采购法》第十二条和《中华人民共和国政府采购法实施条例》第九条及财政部关于回避的规定。</w:t>
      </w:r>
    </w:p>
    <w:p>
      <w:pPr>
        <w:pStyle w:val="33"/>
        <w:numPr>
          <w:ilvl w:val="3"/>
          <w:numId w:val="26"/>
        </w:numPr>
        <w:ind w:firstLine="480"/>
        <w:rPr>
          <w:color w:val="auto"/>
          <w:highlight w:val="none"/>
        </w:rPr>
      </w:pPr>
      <w:r>
        <w:rPr>
          <w:rFonts w:hint="eastAsia"/>
          <w:color w:val="auto"/>
          <w:highlight w:val="none"/>
        </w:rPr>
        <w:t>评审前，应当将通讯工具或者相关电子设备交由采购代理机构统一保管。</w:t>
      </w:r>
    </w:p>
    <w:p>
      <w:pPr>
        <w:pStyle w:val="33"/>
        <w:numPr>
          <w:ilvl w:val="3"/>
          <w:numId w:val="26"/>
        </w:numPr>
        <w:ind w:firstLine="480"/>
        <w:rPr>
          <w:color w:val="auto"/>
          <w:highlight w:val="none"/>
        </w:rPr>
      </w:pPr>
      <w:r>
        <w:rPr>
          <w:rFonts w:hint="eastAsia"/>
          <w:color w:val="auto"/>
          <w:highlight w:val="none"/>
        </w:rPr>
        <w:t>评审过程中，不得与外界联系，因发生不可预见情况，确实需要与外界联系的，应当在监督人员监督之下办理。</w:t>
      </w:r>
    </w:p>
    <w:p>
      <w:pPr>
        <w:pStyle w:val="33"/>
        <w:numPr>
          <w:ilvl w:val="3"/>
          <w:numId w:val="26"/>
        </w:numPr>
        <w:ind w:firstLine="480"/>
        <w:rPr>
          <w:color w:val="auto"/>
          <w:highlight w:val="none"/>
        </w:rPr>
      </w:pPr>
      <w:r>
        <w:rPr>
          <w:rFonts w:hint="eastAsia"/>
          <w:color w:val="auto"/>
          <w:highlight w:val="none"/>
        </w:rPr>
        <w:t>评审过程中，不得干预或者影响正常评审工作，不得发表倾向性、引导性意见，不得修改或细化磋商文件确定的评审程序、评审方法、评审标准，不得接受供应商主动提出的澄清和解释，不得征询采购人代表的意见，不得协商评分，不得违反规定的评审格式评分和撰写评审意见，不得拒绝对自己的评审意见签字确认。</w:t>
      </w:r>
    </w:p>
    <w:p>
      <w:pPr>
        <w:pStyle w:val="33"/>
        <w:numPr>
          <w:ilvl w:val="3"/>
          <w:numId w:val="26"/>
        </w:numPr>
        <w:ind w:firstLine="480"/>
        <w:rPr>
          <w:color w:val="auto"/>
          <w:highlight w:val="none"/>
        </w:rPr>
      </w:pPr>
      <w:r>
        <w:rPr>
          <w:rFonts w:hint="eastAsia"/>
          <w:color w:val="auto"/>
          <w:highlight w:val="none"/>
        </w:rPr>
        <w:t>在评审过程中和评审结束后，不得记录、复制或带走任何评审资料，除因规定的义务外，不得向外界透露评审内容。</w:t>
      </w:r>
    </w:p>
    <w:p>
      <w:pPr>
        <w:pStyle w:val="33"/>
        <w:numPr>
          <w:ilvl w:val="3"/>
          <w:numId w:val="26"/>
        </w:numPr>
        <w:ind w:firstLine="480"/>
        <w:rPr>
          <w:color w:val="auto"/>
          <w:highlight w:val="none"/>
        </w:rPr>
      </w:pPr>
      <w:r>
        <w:rPr>
          <w:rFonts w:hint="eastAsia"/>
          <w:color w:val="auto"/>
          <w:highlight w:val="none"/>
        </w:rPr>
        <w:t>服从评审现场采购代理机构的现场秩序管理，接受评审现场监督人员的合法监督。</w:t>
      </w:r>
    </w:p>
    <w:p>
      <w:pPr>
        <w:pStyle w:val="33"/>
        <w:numPr>
          <w:ilvl w:val="3"/>
          <w:numId w:val="26"/>
        </w:numPr>
        <w:ind w:firstLine="480"/>
        <w:rPr>
          <w:color w:val="auto"/>
          <w:highlight w:val="none"/>
        </w:rPr>
      </w:pPr>
      <w:r>
        <w:rPr>
          <w:rFonts w:hint="eastAsia"/>
          <w:color w:val="auto"/>
          <w:highlight w:val="none"/>
        </w:rPr>
        <w:t>遵守有关廉洁自律规定，不得私下接触供应商，不得收受供应商及有关业务单位和个人的财物或好处，不得接受采购组织单位的请托。</w:t>
      </w:r>
    </w:p>
    <w:p>
      <w:pPr>
        <w:pStyle w:val="33"/>
        <w:numPr>
          <w:ilvl w:val="3"/>
          <w:numId w:val="26"/>
        </w:numPr>
        <w:ind w:firstLine="480"/>
        <w:rPr>
          <w:color w:val="auto"/>
          <w:highlight w:val="none"/>
        </w:rPr>
      </w:pPr>
      <w:r>
        <w:rPr>
          <w:rFonts w:hint="eastAsia"/>
          <w:color w:val="auto"/>
          <w:highlight w:val="none"/>
        </w:rPr>
        <w:t>有关部门(机构)制定的其他评审工作纪律。</w:t>
      </w:r>
    </w:p>
    <w:p>
      <w:pPr>
        <w:pStyle w:val="32"/>
        <w:numPr>
          <w:ilvl w:val="2"/>
          <w:numId w:val="26"/>
        </w:numPr>
        <w:ind w:firstLine="482"/>
        <w:rPr>
          <w:color w:val="auto"/>
          <w:highlight w:val="none"/>
        </w:rPr>
      </w:pPr>
      <w:bookmarkStart w:id="508" w:name="_Toc6289"/>
      <w:bookmarkStart w:id="509" w:name="_Toc2722"/>
      <w:r>
        <w:rPr>
          <w:rFonts w:hint="eastAsia"/>
          <w:color w:val="auto"/>
          <w:highlight w:val="none"/>
        </w:rPr>
        <w:t>评审委员会及其成员不得有下列违约情形</w:t>
      </w:r>
      <w:bookmarkEnd w:id="508"/>
      <w:bookmarkEnd w:id="509"/>
    </w:p>
    <w:p>
      <w:pPr>
        <w:pStyle w:val="33"/>
        <w:numPr>
          <w:ilvl w:val="3"/>
          <w:numId w:val="26"/>
        </w:numPr>
        <w:ind w:firstLine="480"/>
        <w:rPr>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33"/>
        <w:numPr>
          <w:ilvl w:val="3"/>
          <w:numId w:val="26"/>
        </w:numPr>
        <w:ind w:firstLine="480"/>
        <w:rPr>
          <w:color w:val="auto"/>
          <w:highlight w:val="none"/>
        </w:rPr>
      </w:pPr>
      <w:r>
        <w:rPr>
          <w:rFonts w:hint="eastAsia"/>
          <w:color w:val="auto"/>
          <w:highlight w:val="none"/>
        </w:rPr>
        <w:t>不遵守评审现场工作纪律的；</w:t>
      </w:r>
    </w:p>
    <w:p>
      <w:pPr>
        <w:pStyle w:val="33"/>
        <w:numPr>
          <w:ilvl w:val="3"/>
          <w:numId w:val="26"/>
        </w:numPr>
        <w:ind w:firstLine="480"/>
        <w:rPr>
          <w:color w:val="auto"/>
          <w:highlight w:val="none"/>
        </w:rPr>
      </w:pPr>
      <w:r>
        <w:rPr>
          <w:rFonts w:hint="eastAsia"/>
          <w:color w:val="auto"/>
          <w:highlight w:val="none"/>
        </w:rPr>
        <w:t>明显故意拖延评审时间的；</w:t>
      </w:r>
    </w:p>
    <w:p>
      <w:pPr>
        <w:pStyle w:val="33"/>
        <w:numPr>
          <w:ilvl w:val="3"/>
          <w:numId w:val="26"/>
        </w:numPr>
        <w:ind w:firstLine="480"/>
        <w:rPr>
          <w:color w:val="auto"/>
          <w:highlight w:val="none"/>
        </w:rPr>
      </w:pPr>
      <w:r>
        <w:rPr>
          <w:rFonts w:hint="eastAsia"/>
          <w:color w:val="auto"/>
          <w:highlight w:val="none"/>
        </w:rPr>
        <w:t>抄袭其他评审委员会成员的评审意见的；</w:t>
      </w:r>
    </w:p>
    <w:p>
      <w:pPr>
        <w:pStyle w:val="33"/>
        <w:numPr>
          <w:ilvl w:val="3"/>
          <w:numId w:val="26"/>
        </w:numPr>
        <w:ind w:firstLine="480"/>
        <w:rPr>
          <w:color w:val="auto"/>
          <w:highlight w:val="none"/>
        </w:rPr>
      </w:pPr>
      <w:r>
        <w:rPr>
          <w:rFonts w:hint="eastAsia"/>
          <w:color w:val="auto"/>
          <w:highlight w:val="none"/>
        </w:rPr>
        <w:t>不按照政府采购法律制度和磋商文件的规定进行评审，导致评审过程、评审结果违法违规，情节轻微不构成行政处罚的；</w:t>
      </w:r>
    </w:p>
    <w:p>
      <w:pPr>
        <w:pStyle w:val="33"/>
        <w:numPr>
          <w:ilvl w:val="3"/>
          <w:numId w:val="26"/>
        </w:numPr>
        <w:ind w:firstLine="480"/>
        <w:rPr>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33"/>
        <w:numPr>
          <w:ilvl w:val="3"/>
          <w:numId w:val="26"/>
        </w:numPr>
        <w:ind w:firstLine="480"/>
        <w:rPr>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33"/>
        <w:numPr>
          <w:ilvl w:val="3"/>
          <w:numId w:val="26"/>
        </w:numPr>
        <w:ind w:firstLine="480"/>
        <w:rPr>
          <w:color w:val="auto"/>
          <w:highlight w:val="none"/>
        </w:rPr>
      </w:pPr>
      <w:r>
        <w:rPr>
          <w:rFonts w:hint="eastAsia"/>
          <w:color w:val="auto"/>
          <w:highlight w:val="none"/>
        </w:rPr>
        <w:t>存在其他违反政府采购法规制度，但不构成行政处罚行为的。</w:t>
      </w:r>
    </w:p>
    <w:p>
      <w:pPr>
        <w:pStyle w:val="30"/>
        <w:rPr>
          <w:color w:val="auto"/>
          <w:highlight w:val="none"/>
        </w:rPr>
      </w:pPr>
    </w:p>
    <w:p>
      <w:pPr>
        <w:pStyle w:val="29"/>
        <w:numPr>
          <w:ilvl w:val="0"/>
          <w:numId w:val="23"/>
        </w:numPr>
        <w:spacing w:before="120" w:after="120"/>
        <w:rPr>
          <w:color w:val="auto"/>
          <w:highlight w:val="none"/>
        </w:rPr>
      </w:pPr>
      <w:r>
        <w:rPr>
          <w:rFonts w:hint="eastAsia"/>
          <w:color w:val="auto"/>
          <w:highlight w:val="none"/>
        </w:rPr>
        <w:br w:type="page"/>
      </w:r>
      <w:bookmarkEnd w:id="460"/>
      <w:bookmarkStart w:id="510" w:name="_Toc13264"/>
      <w:bookmarkStart w:id="511" w:name="_Toc18908"/>
      <w:bookmarkStart w:id="512" w:name="_Toc229"/>
      <w:bookmarkStart w:id="513" w:name="_Toc7547"/>
      <w:bookmarkStart w:id="514" w:name="_Toc12602"/>
      <w:r>
        <w:rPr>
          <w:rFonts w:hint="eastAsia"/>
          <w:color w:val="auto"/>
          <w:highlight w:val="none"/>
        </w:rPr>
        <w:t>政府采购合同</w:t>
      </w:r>
      <w:bookmarkEnd w:id="510"/>
      <w:bookmarkEnd w:id="511"/>
      <w:bookmarkEnd w:id="512"/>
      <w:bookmarkEnd w:id="513"/>
      <w:bookmarkEnd w:id="514"/>
    </w:p>
    <w:p>
      <w:pPr>
        <w:ind w:firstLine="480" w:firstLineChars="200"/>
        <w:jc w:val="both"/>
        <w:rPr>
          <w:rFonts w:cs="宋体"/>
          <w:color w:val="auto"/>
          <w:highlight w:val="none"/>
        </w:rPr>
      </w:pPr>
      <w:r>
        <w:rPr>
          <w:rFonts w:hint="eastAsia" w:cs="宋体"/>
          <w:color w:val="auto"/>
          <w:highlight w:val="none"/>
        </w:rPr>
        <w:t>(重要说明：甲方、乙方在签订正式合同前应依据本项目的采购文件、响应文件、项目的澄清文件等对以下合同内容进行修正和完善。)</w:t>
      </w:r>
    </w:p>
    <w:p>
      <w:pPr>
        <w:ind w:firstLine="480" w:firstLineChars="200"/>
        <w:jc w:val="both"/>
        <w:rPr>
          <w:rFonts w:cs="宋体"/>
          <w:color w:val="auto"/>
          <w:highlight w:val="none"/>
        </w:rPr>
      </w:pPr>
    </w:p>
    <w:p>
      <w:pPr>
        <w:ind w:firstLine="480" w:firstLineChars="200"/>
        <w:rPr>
          <w:rFonts w:cs="宋体"/>
          <w:color w:val="auto"/>
          <w:highlight w:val="none"/>
        </w:rPr>
      </w:pPr>
      <w:r>
        <w:rPr>
          <w:rFonts w:hint="eastAsia" w:cs="宋体"/>
          <w:color w:val="auto"/>
          <w:highlight w:val="none"/>
        </w:rPr>
        <w:t>合同编号：</w:t>
      </w:r>
    </w:p>
    <w:p>
      <w:pPr>
        <w:wordWrap w:val="0"/>
        <w:topLinePunct/>
        <w:ind w:firstLine="480" w:firstLineChars="200"/>
        <w:jc w:val="both"/>
        <w:rPr>
          <w:rFonts w:cs="宋体"/>
          <w:color w:val="auto"/>
          <w:highlight w:val="none"/>
        </w:rPr>
      </w:pPr>
      <w:r>
        <w:rPr>
          <w:rFonts w:hint="eastAsia" w:cs="Times New Roman"/>
          <w:snapToGrid w:val="0"/>
          <w:color w:val="auto"/>
          <w:highlight w:val="none"/>
        </w:rPr>
        <w:t>备案号：</w:t>
      </w:r>
    </w:p>
    <w:p>
      <w:pPr>
        <w:wordWrap w:val="0"/>
        <w:topLinePunct/>
        <w:ind w:firstLine="480" w:firstLineChars="200"/>
        <w:jc w:val="both"/>
        <w:rPr>
          <w:rFonts w:cs="宋体"/>
          <w:color w:val="auto"/>
          <w:highlight w:val="none"/>
        </w:rPr>
      </w:pPr>
      <w:r>
        <w:rPr>
          <w:rFonts w:hint="eastAsia" w:cs="宋体"/>
          <w:color w:val="auto"/>
          <w:highlight w:val="none"/>
        </w:rPr>
        <w:t>签订地点：</w:t>
      </w:r>
    </w:p>
    <w:p>
      <w:pPr>
        <w:wordWrap w:val="0"/>
        <w:topLinePunct/>
        <w:ind w:firstLine="480" w:firstLineChars="200"/>
        <w:jc w:val="both"/>
        <w:rPr>
          <w:rFonts w:cs="宋体"/>
          <w:color w:val="auto"/>
          <w:highlight w:val="none"/>
        </w:rPr>
      </w:pPr>
      <w:r>
        <w:rPr>
          <w:rFonts w:hint="eastAsia" w:cs="宋体"/>
          <w:color w:val="auto"/>
          <w:highlight w:val="none"/>
        </w:rPr>
        <w:t>签订时间：</w:t>
      </w:r>
    </w:p>
    <w:p>
      <w:pPr>
        <w:wordWrap w:val="0"/>
        <w:topLinePunct/>
        <w:ind w:firstLine="480" w:firstLineChars="200"/>
        <w:jc w:val="both"/>
        <w:rPr>
          <w:rFonts w:cs="宋体"/>
          <w:color w:val="auto"/>
          <w:highlight w:val="none"/>
        </w:rPr>
      </w:pPr>
      <w:r>
        <w:rPr>
          <w:rFonts w:hint="eastAsia" w:cs="宋体"/>
          <w:color w:val="auto"/>
          <w:highlight w:val="none"/>
        </w:rPr>
        <w:t>甲方(采购人)：成都市技师学院(成都工贸职业技术学院)</w:t>
      </w:r>
    </w:p>
    <w:p>
      <w:pPr>
        <w:wordWrap w:val="0"/>
        <w:topLinePunct/>
        <w:ind w:firstLine="480" w:firstLineChars="200"/>
        <w:jc w:val="both"/>
        <w:rPr>
          <w:rFonts w:cs="宋体"/>
          <w:color w:val="auto"/>
          <w:highlight w:val="none"/>
        </w:rPr>
      </w:pPr>
      <w:r>
        <w:rPr>
          <w:rFonts w:hint="eastAsia" w:cs="宋体"/>
          <w:color w:val="auto"/>
          <w:highlight w:val="none"/>
        </w:rPr>
        <w:t xml:space="preserve">乙方(供应商)：    </w:t>
      </w:r>
    </w:p>
    <w:p>
      <w:pPr>
        <w:wordWrap w:val="0"/>
        <w:topLinePunct/>
        <w:ind w:firstLine="482" w:firstLineChars="200"/>
        <w:jc w:val="both"/>
        <w:rPr>
          <w:rFonts w:cs="Times New Roman"/>
          <w:b/>
          <w:bCs/>
          <w:snapToGrid w:val="0"/>
          <w:color w:val="auto"/>
          <w:highlight w:val="none"/>
        </w:rPr>
      </w:pPr>
      <w:r>
        <w:rPr>
          <w:rFonts w:hint="eastAsia" w:cs="Times New Roman"/>
          <w:b/>
          <w:bCs/>
          <w:snapToGrid w:val="0"/>
          <w:color w:val="auto"/>
          <w:highlight w:val="none"/>
        </w:rPr>
        <w:t>合同类型：</w:t>
      </w:r>
      <w:r>
        <w:rPr>
          <w:rFonts w:hint="eastAsia" w:cs="Times New Roman"/>
          <w:b/>
          <w:bCs/>
          <w:snapToGrid w:val="0"/>
          <w:color w:val="auto"/>
          <w:highlight w:val="none"/>
          <w:u w:val="single"/>
        </w:rPr>
        <w:t xml:space="preserve">      </w:t>
      </w:r>
      <w:r>
        <w:rPr>
          <w:rFonts w:hint="eastAsia" w:cs="Times New Roman"/>
          <w:b/>
          <w:bCs/>
          <w:snapToGrid w:val="0"/>
          <w:color w:val="auto"/>
          <w:highlight w:val="none"/>
        </w:rPr>
        <w:t>合同</w:t>
      </w:r>
    </w:p>
    <w:p>
      <w:pPr>
        <w:topLinePunct/>
        <w:ind w:firstLine="480" w:firstLineChars="200"/>
        <w:jc w:val="both"/>
        <w:rPr>
          <w:rFonts w:cs="宋体"/>
          <w:color w:val="auto"/>
          <w:highlight w:val="none"/>
        </w:rPr>
      </w:pPr>
    </w:p>
    <w:p>
      <w:pPr>
        <w:topLinePunct/>
        <w:ind w:firstLine="480" w:firstLineChars="200"/>
        <w:jc w:val="both"/>
        <w:rPr>
          <w:rFonts w:cs="宋体"/>
          <w:color w:val="auto"/>
          <w:highlight w:val="none"/>
        </w:rPr>
      </w:pPr>
      <w:r>
        <w:rPr>
          <w:rFonts w:hint="eastAsia" w:cs="宋体"/>
          <w:color w:val="auto"/>
          <w:highlight w:val="none"/>
        </w:rPr>
        <w:t>根据《中华人民共和国政府采购法》、《中华人民共和国民法典》及</w:t>
      </w:r>
      <w:r>
        <w:rPr>
          <w:rFonts w:hint="eastAsia" w:cs="宋体"/>
          <w:color w:val="auto"/>
          <w:highlight w:val="none"/>
          <w:lang w:eastAsia="zh-CN"/>
        </w:rPr>
        <w:t>成都市技师学院(成都工贸职业技术学院)医疗卫生服务采购项目(第二次)</w:t>
      </w:r>
      <w:r>
        <w:rPr>
          <w:rFonts w:hint="eastAsia" w:cs="宋体"/>
          <w:color w:val="auto"/>
          <w:highlight w:val="none"/>
        </w:rPr>
        <w:t>(项目编号：XXX)的磋商文件、乙方的响应文件及成交通知书，甲、乙双方同意签订本合同，共同遵守如下条款：</w:t>
      </w:r>
    </w:p>
    <w:p>
      <w:pPr>
        <w:ind w:firstLine="482" w:firstLineChars="200"/>
        <w:rPr>
          <w:rFonts w:cs="宋体"/>
          <w:b/>
          <w:bCs/>
          <w:color w:val="auto"/>
          <w:highlight w:val="none"/>
        </w:rPr>
      </w:pPr>
      <w:r>
        <w:rPr>
          <w:rFonts w:hint="eastAsia" w:cs="宋体"/>
          <w:b/>
          <w:bCs/>
          <w:color w:val="auto"/>
          <w:highlight w:val="none"/>
        </w:rPr>
        <w:t>一、项目基本情况</w:t>
      </w:r>
    </w:p>
    <w:p>
      <w:pPr>
        <w:pStyle w:val="21"/>
        <w:widowControl/>
        <w:adjustRightInd/>
        <w:snapToGrid/>
        <w:ind w:firstLine="480" w:firstLineChars="200"/>
        <w:rPr>
          <w:rFonts w:hint="default" w:cs="宋体"/>
          <w:color w:val="auto"/>
          <w:kern w:val="2"/>
          <w:highlight w:val="none"/>
        </w:rPr>
      </w:pPr>
      <w:r>
        <w:rPr>
          <w:rFonts w:cs="宋体"/>
          <w:color w:val="auto"/>
          <w:kern w:val="2"/>
          <w:highlight w:val="none"/>
        </w:rPr>
        <w:t>本项目拟采购一名医疗卫生机构，为甲方本部校区(成都市郫都区红光街道港通北三路1899号)和西校区(成都市郫都区红光街道高店路1666号)师生提供一年的医疗卫生服务，甲方本部校区现有师生8000余人，西校区现有师生3000余人。甲方为乙方提供的场地：本部校区医务室占地面积约60平方米，西校区医务室占地面积约88.75平方米。在本部校区和西校区内乙方不得对校外人员开展服务，仅限于全校师生,自负盈亏。医疗卫生服务包括学校医务室常规医疗就诊服务、疾病防控服务、应急服务、医学试验相关服务(PPD结核菌素试验、核酸检测等)和上级管理机构要求临时或新增的医疗卫生相关服务，为甲方教育教学工作的正常运行提供24小时服务保障。</w:t>
      </w:r>
    </w:p>
    <w:p>
      <w:pPr>
        <w:ind w:firstLine="482" w:firstLineChars="200"/>
        <w:rPr>
          <w:rFonts w:cs="宋体"/>
          <w:b/>
          <w:bCs/>
          <w:color w:val="auto"/>
          <w:highlight w:val="none"/>
        </w:rPr>
      </w:pPr>
      <w:r>
        <w:rPr>
          <w:rFonts w:hint="eastAsia" w:cs="宋体"/>
          <w:b/>
          <w:bCs/>
          <w:color w:val="auto"/>
          <w:highlight w:val="none"/>
        </w:rPr>
        <w:t>二、服务内容及要求</w:t>
      </w:r>
    </w:p>
    <w:p>
      <w:pPr>
        <w:snapToGrid/>
        <w:ind w:firstLine="480" w:firstLineChars="200"/>
        <w:jc w:val="both"/>
        <w:rPr>
          <w:rFonts w:cs="宋体"/>
          <w:color w:val="auto"/>
          <w:highlight w:val="none"/>
        </w:rPr>
      </w:pPr>
      <w:r>
        <w:rPr>
          <w:rFonts w:hint="eastAsia" w:cs="宋体"/>
          <w:color w:val="auto"/>
          <w:highlight w:val="none"/>
        </w:rPr>
        <w:t>1.医疗卫生服务时间</w:t>
      </w:r>
    </w:p>
    <w:p>
      <w:pPr>
        <w:pStyle w:val="37"/>
        <w:spacing w:line="440" w:lineRule="exact"/>
        <w:ind w:firstLine="480" w:firstLineChars="200"/>
        <w:jc w:val="both"/>
        <w:rPr>
          <w:color w:val="auto"/>
          <w:kern w:val="2"/>
          <w:highlight w:val="none"/>
        </w:rPr>
      </w:pPr>
      <w:r>
        <w:rPr>
          <w:rFonts w:hint="eastAsia"/>
          <w:color w:val="auto"/>
          <w:kern w:val="2"/>
          <w:highlight w:val="none"/>
        </w:rPr>
        <w:t>1.1 乙方提供全日(24小时)医疗卫生服务。</w:t>
      </w:r>
    </w:p>
    <w:p>
      <w:pPr>
        <w:pStyle w:val="37"/>
        <w:spacing w:line="440" w:lineRule="exact"/>
        <w:ind w:firstLine="480" w:firstLineChars="200"/>
        <w:jc w:val="both"/>
        <w:rPr>
          <w:color w:val="auto"/>
          <w:kern w:val="2"/>
          <w:highlight w:val="none"/>
        </w:rPr>
      </w:pPr>
      <w:r>
        <w:rPr>
          <w:rFonts w:hint="eastAsia"/>
          <w:color w:val="auto"/>
          <w:kern w:val="2"/>
          <w:highlight w:val="none"/>
        </w:rPr>
        <w:t xml:space="preserve">1.2乙方在学生返校时，按照疾控中心和采购人要求开展预检分诊和其他临时性医疗服务。返校时增加的预检分诊具体人员和时间按照甲方统一安排，且符合上级管理部门的部署要求。        </w:t>
      </w:r>
    </w:p>
    <w:p>
      <w:pPr>
        <w:pStyle w:val="37"/>
        <w:spacing w:line="440" w:lineRule="exact"/>
        <w:ind w:firstLine="480" w:firstLineChars="200"/>
        <w:jc w:val="both"/>
        <w:rPr>
          <w:color w:val="auto"/>
          <w:kern w:val="2"/>
          <w:highlight w:val="none"/>
        </w:rPr>
      </w:pPr>
      <w:r>
        <w:rPr>
          <w:rFonts w:hint="eastAsia"/>
          <w:color w:val="auto"/>
          <w:kern w:val="2"/>
          <w:highlight w:val="none"/>
        </w:rPr>
        <w:t>1.3.甲方放假期间，如需医疗卫生保障，乙方则按照甲方要求到校或到指定的地方进行医疗卫生保障服务。</w:t>
      </w:r>
    </w:p>
    <w:p>
      <w:pPr>
        <w:snapToGrid/>
        <w:ind w:firstLine="480" w:firstLineChars="200"/>
        <w:jc w:val="both"/>
        <w:rPr>
          <w:rFonts w:cs="宋体"/>
          <w:color w:val="auto"/>
          <w:highlight w:val="none"/>
        </w:rPr>
      </w:pPr>
      <w:r>
        <w:rPr>
          <w:rFonts w:hint="eastAsia" w:cs="宋体"/>
          <w:color w:val="auto"/>
          <w:highlight w:val="none"/>
        </w:rPr>
        <w:t>2.乙方提供的校园医疗室服务不得设置不符合执业许可范围要求的业务。</w:t>
      </w:r>
    </w:p>
    <w:p>
      <w:pPr>
        <w:snapToGrid/>
        <w:ind w:firstLine="480" w:firstLineChars="200"/>
        <w:jc w:val="both"/>
        <w:rPr>
          <w:rFonts w:cs="宋体"/>
          <w:color w:val="auto"/>
          <w:highlight w:val="none"/>
        </w:rPr>
      </w:pPr>
      <w:r>
        <w:rPr>
          <w:rFonts w:hint="eastAsia" w:cs="宋体"/>
          <w:color w:val="auto"/>
          <w:highlight w:val="none"/>
        </w:rPr>
        <w:t>3.乙方安排的在校医生应具有紧急救护和处理突发医疗事件的能力和资质。</w:t>
      </w:r>
    </w:p>
    <w:p>
      <w:pPr>
        <w:snapToGrid/>
        <w:ind w:firstLine="480" w:firstLineChars="200"/>
        <w:jc w:val="both"/>
        <w:rPr>
          <w:rFonts w:cs="宋体"/>
          <w:color w:val="auto"/>
          <w:highlight w:val="none"/>
        </w:rPr>
      </w:pPr>
      <w:r>
        <w:rPr>
          <w:rFonts w:hint="eastAsia" w:cs="宋体"/>
          <w:color w:val="auto"/>
          <w:highlight w:val="none"/>
        </w:rPr>
        <w:t>4.配合甲方开展疾病防控工作,对进入留观室、隔离室的学生进行常规观察，如测量体温、血压等，并对隔离室进行管理，严格按照隔离室管理制度开展工作。如隔离室有入住人员，需有至少1名医护人员住在隔离室进行观测，对隔离室进行管理，并且如实做好观测记录.</w:t>
      </w:r>
    </w:p>
    <w:p>
      <w:pPr>
        <w:snapToGrid/>
        <w:ind w:firstLine="480" w:firstLineChars="200"/>
        <w:jc w:val="both"/>
        <w:rPr>
          <w:rFonts w:cs="宋体"/>
          <w:color w:val="auto"/>
          <w:highlight w:val="none"/>
        </w:rPr>
      </w:pPr>
      <w:r>
        <w:rPr>
          <w:rFonts w:hint="eastAsia" w:cs="宋体"/>
          <w:color w:val="auto"/>
          <w:highlight w:val="none"/>
        </w:rPr>
        <w:t>5.协助甲方完成上级主管部门要求开展的疾病防控和医务工作，为学生开展免费健康教育讲座不少于4次。</w:t>
      </w:r>
    </w:p>
    <w:p>
      <w:pPr>
        <w:snapToGrid/>
        <w:ind w:firstLine="480" w:firstLineChars="200"/>
        <w:jc w:val="both"/>
        <w:rPr>
          <w:rFonts w:cs="宋体"/>
          <w:color w:val="auto"/>
          <w:highlight w:val="none"/>
        </w:rPr>
      </w:pPr>
      <w:r>
        <w:rPr>
          <w:rFonts w:hint="eastAsia" w:cs="宋体"/>
          <w:color w:val="auto"/>
          <w:highlight w:val="none"/>
        </w:rPr>
        <w:t>6.医务室所需的设施设备由乙方负责提供(甲方的医务室现有基本配置包括桌椅、检查床、药柜)，同时负责校园医疗卫生服务所需的网络搭建、网络使用等费用。</w:t>
      </w:r>
    </w:p>
    <w:p>
      <w:pPr>
        <w:snapToGrid/>
        <w:ind w:firstLine="480" w:firstLineChars="200"/>
        <w:jc w:val="both"/>
        <w:rPr>
          <w:rFonts w:cs="宋体"/>
          <w:color w:val="auto"/>
          <w:highlight w:val="none"/>
        </w:rPr>
      </w:pPr>
      <w:r>
        <w:rPr>
          <w:rFonts w:hint="eastAsia" w:cs="宋体"/>
          <w:color w:val="auto"/>
          <w:highlight w:val="none"/>
        </w:rPr>
        <w:t>7.药品及其他医疗卫生服务用品由乙方提供。学生就诊所产生的费用单价价格(如药费、检查费等)不能高于供应商医疗卫生机构的价格。</w:t>
      </w:r>
    </w:p>
    <w:p>
      <w:pPr>
        <w:snapToGrid/>
        <w:ind w:firstLine="480" w:firstLineChars="200"/>
        <w:jc w:val="both"/>
        <w:rPr>
          <w:rFonts w:cs="宋体"/>
          <w:color w:val="auto"/>
          <w:highlight w:val="none"/>
        </w:rPr>
      </w:pPr>
      <w:r>
        <w:rPr>
          <w:rFonts w:hint="eastAsia" w:cs="宋体"/>
          <w:color w:val="auto"/>
          <w:highlight w:val="none"/>
        </w:rPr>
        <w:t>8.活动或竞赛医疗卫生保障</w:t>
      </w:r>
    </w:p>
    <w:p>
      <w:pPr>
        <w:snapToGrid/>
        <w:ind w:firstLine="480" w:firstLineChars="200"/>
        <w:jc w:val="both"/>
        <w:rPr>
          <w:rFonts w:cs="宋体"/>
          <w:color w:val="auto"/>
          <w:highlight w:val="none"/>
        </w:rPr>
      </w:pPr>
      <w:r>
        <w:rPr>
          <w:rFonts w:hint="eastAsia" w:cs="宋体"/>
          <w:color w:val="auto"/>
          <w:highlight w:val="none"/>
        </w:rPr>
        <w:t>8.1甲方承办或组织的培训、竞赛、考试、运动会、军训等各类活动，乙方需按甲方要求提供医疗卫生保障。</w:t>
      </w:r>
    </w:p>
    <w:p>
      <w:pPr>
        <w:snapToGrid/>
        <w:ind w:firstLine="480" w:firstLineChars="200"/>
        <w:jc w:val="both"/>
        <w:rPr>
          <w:rFonts w:cs="宋体"/>
          <w:color w:val="auto"/>
          <w:highlight w:val="none"/>
        </w:rPr>
      </w:pPr>
      <w:r>
        <w:rPr>
          <w:rFonts w:hint="eastAsia" w:cs="宋体"/>
          <w:color w:val="auto"/>
          <w:highlight w:val="none"/>
        </w:rPr>
        <w:t>8.2活动或竞赛医疗保障，需要医生到现场的，在不抽调当日校内医务室医护人员的情况下，乙方按照甲方的要求新增医护人员完成该项医疗卫生保障(含医疗救护队)。</w:t>
      </w:r>
    </w:p>
    <w:p>
      <w:pPr>
        <w:snapToGrid/>
        <w:ind w:firstLine="480" w:firstLineChars="200"/>
        <w:jc w:val="both"/>
        <w:rPr>
          <w:rFonts w:cs="宋体"/>
          <w:color w:val="auto"/>
          <w:highlight w:val="none"/>
        </w:rPr>
      </w:pPr>
      <w:bookmarkStart w:id="515" w:name="_Hlk98006420"/>
      <w:r>
        <w:rPr>
          <w:rFonts w:hint="eastAsia" w:cs="宋体"/>
          <w:color w:val="auto"/>
          <w:highlight w:val="none"/>
        </w:rPr>
        <w:t>8.3军训期间，医疗急救队分别设立于本部校区和西校区,秋季入学约连续使用10天(秋季新生入学军训时间本部与西校区同步)，春季约15天(春季只涉及本部校区)。</w:t>
      </w:r>
    </w:p>
    <w:p>
      <w:pPr>
        <w:snapToGrid/>
        <w:ind w:firstLine="480" w:firstLineChars="200"/>
        <w:jc w:val="both"/>
        <w:rPr>
          <w:rFonts w:cs="宋体"/>
          <w:color w:val="auto"/>
          <w:highlight w:val="none"/>
        </w:rPr>
      </w:pPr>
      <w:r>
        <w:rPr>
          <w:rFonts w:hint="eastAsia" w:cs="宋体"/>
          <w:color w:val="auto"/>
          <w:highlight w:val="none"/>
        </w:rPr>
        <w:t>8.4医疗急救队每队至少由1名医生、1名护士、1辆救护车组成。医疗急救队通常是在医疗保障需要时使用，且该项目产生的费用由乙方支付。</w:t>
      </w:r>
    </w:p>
    <w:bookmarkEnd w:id="515"/>
    <w:p>
      <w:pPr>
        <w:snapToGrid/>
        <w:ind w:firstLine="480" w:firstLineChars="200"/>
        <w:jc w:val="both"/>
        <w:rPr>
          <w:rFonts w:cs="宋体"/>
          <w:color w:val="auto"/>
          <w:highlight w:val="none"/>
        </w:rPr>
      </w:pPr>
      <w:r>
        <w:rPr>
          <w:rFonts w:hint="eastAsia" w:cs="宋体"/>
          <w:color w:val="auto"/>
          <w:highlight w:val="none"/>
        </w:rPr>
        <w:t>9.甲方为乙方提供的医务室面积本部校区约60㎡，西校区约88.75㎡，医生值班室均设在医务室内。隔离室设有医护监管人员工作休息室1间。合作期间的水电费由甲方负责。</w:t>
      </w:r>
    </w:p>
    <w:p>
      <w:pPr>
        <w:snapToGrid/>
        <w:ind w:firstLine="480" w:firstLineChars="200"/>
        <w:jc w:val="both"/>
        <w:rPr>
          <w:rFonts w:cs="宋体"/>
          <w:color w:val="auto"/>
          <w:highlight w:val="none"/>
        </w:rPr>
      </w:pPr>
      <w:r>
        <w:rPr>
          <w:rFonts w:hint="eastAsia" w:cs="宋体"/>
          <w:color w:val="auto"/>
          <w:highlight w:val="none"/>
        </w:rPr>
        <w:t>10.本项目中，乙方必须确保与安排到甲方服务的工作人员存在劳动关系，同时，在服务过程中，甲方与乙方安排的服务人员无任何劳动关系或劳务派遣关系。乙方安排到甲方提供服务的工作人员的工资、社保、安全、就餐等费用均由乙方负责，工资不得低于当地最低要求。乙方因未向服务人员支付工资福利或缴纳五险一金等任何原因产生的法律责任(包括但不限于滞纳金、罚款和引发劳动争议产生的法定赔付)由乙方自行承担。因疫情或上级管理部门要求校区增加医护人员时，每校区增加人员在3人及以内的，该费用由乙方承担甲方无需再支付任何费用。</w:t>
      </w:r>
    </w:p>
    <w:p>
      <w:pPr>
        <w:ind w:firstLine="480" w:firstLineChars="200"/>
        <w:rPr>
          <w:rFonts w:cs="宋体"/>
          <w:color w:val="auto"/>
          <w:highlight w:val="none"/>
        </w:rPr>
      </w:pPr>
      <w:r>
        <w:rPr>
          <w:rFonts w:hint="eastAsia" w:cs="宋体"/>
          <w:color w:val="auto"/>
          <w:highlight w:val="none"/>
        </w:rPr>
        <w:t>11.乙方为本项目配置的医护人员(含负责人)XXX人，副高及以上职称X名(xx\xx\xx)，中级及以上职称不少于xxx名(xx\xx\xx\)，其余人员可为初级职称；其中负责人(XXX)具备中级及以上医师职称，且具有5年及以上临床工作经验，其余人员须具有临床工作3年及以上经验。</w:t>
      </w:r>
    </w:p>
    <w:p>
      <w:pPr>
        <w:snapToGrid/>
        <w:ind w:firstLine="480" w:firstLineChars="200"/>
        <w:jc w:val="both"/>
        <w:rPr>
          <w:rFonts w:cs="宋体"/>
          <w:color w:val="auto"/>
          <w:highlight w:val="none"/>
        </w:rPr>
      </w:pPr>
      <w:r>
        <w:rPr>
          <w:rFonts w:hint="eastAsia" w:cs="宋体"/>
          <w:color w:val="auto"/>
          <w:highlight w:val="none"/>
        </w:rPr>
        <w:t>12.乙方组织本项目配置的医护人员在校工作期间参加医疗卫生机构的业务培训不得少于2次，参加培训和继续教育所产生的费用由乙方负责。</w:t>
      </w:r>
    </w:p>
    <w:p>
      <w:pPr>
        <w:adjustRightInd/>
        <w:snapToGrid/>
        <w:ind w:firstLine="480" w:firstLineChars="200"/>
        <w:jc w:val="both"/>
        <w:rPr>
          <w:rFonts w:cs="宋体"/>
          <w:color w:val="auto"/>
          <w:highlight w:val="none"/>
        </w:rPr>
      </w:pPr>
      <w:r>
        <w:rPr>
          <w:rFonts w:hint="eastAsia" w:cs="宋体"/>
          <w:color w:val="auto"/>
          <w:highlight w:val="none"/>
        </w:rPr>
        <w:t>13.乙方不得随意更换配置的医护人员，在非紧急的情况下需要更换，需提前5个工作日告知甲方并征得采购人同意。情况紧急时每日医护人员的值班名单需要变化(如：疫情防控需要医护人员被紧急抽调、医护人员自身身体不适等)，可以进行人员更换，但必须及时报甲方同意。</w:t>
      </w:r>
    </w:p>
    <w:p>
      <w:pPr>
        <w:snapToGrid/>
        <w:ind w:firstLine="480" w:firstLineChars="200"/>
        <w:jc w:val="both"/>
        <w:rPr>
          <w:rFonts w:cs="宋体"/>
          <w:color w:val="auto"/>
          <w:highlight w:val="none"/>
        </w:rPr>
      </w:pPr>
      <w:r>
        <w:rPr>
          <w:rFonts w:hint="eastAsia" w:cs="宋体"/>
          <w:color w:val="auto"/>
          <w:highlight w:val="none"/>
        </w:rPr>
        <w:t>14.乙方与环保部门签订《医疗垃圾处置协议》，协议产生的费用及医疗垃圾转运由乙方负责。</w:t>
      </w:r>
    </w:p>
    <w:p>
      <w:pPr>
        <w:snapToGrid/>
        <w:ind w:firstLine="480" w:firstLineChars="200"/>
        <w:jc w:val="both"/>
        <w:rPr>
          <w:rFonts w:cs="宋体"/>
          <w:color w:val="auto"/>
          <w:highlight w:val="none"/>
        </w:rPr>
      </w:pPr>
      <w:r>
        <w:rPr>
          <w:rFonts w:hint="eastAsia" w:cs="宋体"/>
          <w:color w:val="auto"/>
          <w:highlight w:val="none"/>
        </w:rPr>
        <w:t>15.乙方不得拒绝为甲方学生提供体检、结核菌素实验(PPD)、核酸检测、学校或上级部门其他临时性医疗卫生服务相关的项目。收费不得高于乙方医院价格，该项目的费用原则上为学生自付，</w:t>
      </w:r>
    </w:p>
    <w:p>
      <w:pPr>
        <w:snapToGrid/>
        <w:ind w:firstLine="480" w:firstLineChars="200"/>
        <w:jc w:val="both"/>
        <w:rPr>
          <w:rFonts w:cs="宋体"/>
          <w:color w:val="auto"/>
          <w:highlight w:val="none"/>
        </w:rPr>
      </w:pPr>
      <w:r>
        <w:rPr>
          <w:rFonts w:hint="eastAsia" w:cs="宋体"/>
          <w:color w:val="auto"/>
          <w:highlight w:val="none"/>
        </w:rPr>
        <w:t>16.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37"/>
        <w:spacing w:line="440" w:lineRule="exact"/>
        <w:ind w:firstLine="480" w:firstLineChars="200"/>
        <w:rPr>
          <w:color w:val="auto"/>
          <w:highlight w:val="none"/>
        </w:rPr>
      </w:pPr>
      <w:r>
        <w:rPr>
          <w:rFonts w:hint="eastAsia"/>
          <w:color w:val="auto"/>
          <w:kern w:val="2"/>
          <w:highlight w:val="none"/>
        </w:rPr>
        <w:t>17.乙方因自身经营等问题存在违约情形导致与甲方终止合同，乙方在校服务人员的所有事务(如：经济纠纷)皆由甲方自行解决。</w:t>
      </w:r>
    </w:p>
    <w:p>
      <w:pPr>
        <w:snapToGrid/>
        <w:ind w:firstLine="482" w:firstLineChars="200"/>
        <w:jc w:val="both"/>
        <w:rPr>
          <w:rFonts w:cs="宋体"/>
          <w:b/>
          <w:bCs/>
          <w:color w:val="auto"/>
          <w:highlight w:val="none"/>
        </w:rPr>
      </w:pPr>
      <w:r>
        <w:rPr>
          <w:rFonts w:hint="eastAsia" w:cs="宋体"/>
          <w:b/>
          <w:bCs/>
          <w:color w:val="auto"/>
          <w:highlight w:val="none"/>
        </w:rPr>
        <w:t>三、履约时间和方式</w:t>
      </w:r>
    </w:p>
    <w:p>
      <w:pPr>
        <w:snapToGrid/>
        <w:ind w:firstLine="480" w:firstLineChars="200"/>
        <w:jc w:val="both"/>
        <w:rPr>
          <w:rFonts w:hint="eastAsia" w:eastAsia="宋体" w:cs="宋体"/>
          <w:color w:val="auto"/>
          <w:highlight w:val="none"/>
          <w:lang w:val="en-US" w:eastAsia="zh-CN"/>
        </w:rPr>
      </w:pPr>
      <w:r>
        <w:rPr>
          <w:rFonts w:hint="eastAsia" w:cs="宋体"/>
          <w:color w:val="auto"/>
          <w:highlight w:val="none"/>
        </w:rPr>
        <w:t>履约时间为1年(合同生效之日起至  年  月  日)，乙方在甲方指定地点提供医疗卫生保障服务</w:t>
      </w:r>
      <w:r>
        <w:rPr>
          <w:rFonts w:hint="eastAsia" w:cs="宋体"/>
          <w:color w:val="auto"/>
          <w:highlight w:val="none"/>
          <w:lang w:eastAsia="zh-CN"/>
        </w:rPr>
        <w:t>。</w:t>
      </w:r>
    </w:p>
    <w:p>
      <w:pPr>
        <w:snapToGrid/>
        <w:ind w:firstLine="482" w:firstLineChars="200"/>
        <w:jc w:val="both"/>
        <w:rPr>
          <w:rFonts w:cs="宋体"/>
          <w:b/>
          <w:bCs/>
          <w:color w:val="auto"/>
          <w:highlight w:val="none"/>
        </w:rPr>
      </w:pPr>
      <w:r>
        <w:rPr>
          <w:rFonts w:hint="eastAsia" w:cs="宋体"/>
          <w:b/>
          <w:bCs/>
          <w:color w:val="auto"/>
          <w:highlight w:val="none"/>
        </w:rPr>
        <w:t>四、履约地点</w:t>
      </w:r>
    </w:p>
    <w:p>
      <w:pPr>
        <w:snapToGrid/>
        <w:ind w:firstLine="480" w:firstLineChars="200"/>
        <w:jc w:val="both"/>
        <w:rPr>
          <w:rFonts w:cs="宋体"/>
          <w:color w:val="auto"/>
          <w:highlight w:val="none"/>
        </w:rPr>
      </w:pPr>
      <w:r>
        <w:rPr>
          <w:rFonts w:hint="eastAsia" w:cs="宋体"/>
          <w:color w:val="auto"/>
          <w:highlight w:val="none"/>
        </w:rPr>
        <w:t>本部地址：成都市郫都区红光街道港通北三路1899号</w:t>
      </w:r>
    </w:p>
    <w:p>
      <w:pPr>
        <w:snapToGrid/>
        <w:ind w:firstLine="480" w:firstLineChars="200"/>
        <w:jc w:val="both"/>
        <w:rPr>
          <w:rFonts w:cs="宋体"/>
          <w:color w:val="auto"/>
          <w:highlight w:val="none"/>
        </w:rPr>
      </w:pPr>
      <w:r>
        <w:rPr>
          <w:rFonts w:hint="eastAsia" w:cs="宋体"/>
          <w:color w:val="auto"/>
          <w:highlight w:val="none"/>
        </w:rPr>
        <w:t>西校区地址：成都市郫都区红光街道高店路1666号</w:t>
      </w:r>
    </w:p>
    <w:p>
      <w:pPr>
        <w:snapToGrid/>
        <w:ind w:firstLine="482" w:firstLineChars="200"/>
        <w:jc w:val="both"/>
        <w:rPr>
          <w:rFonts w:cs="宋体"/>
          <w:b/>
          <w:bCs/>
          <w:color w:val="auto"/>
          <w:highlight w:val="none"/>
        </w:rPr>
      </w:pPr>
      <w:r>
        <w:rPr>
          <w:rFonts w:hint="eastAsia" w:cs="宋体"/>
          <w:b/>
          <w:bCs/>
          <w:color w:val="auto"/>
          <w:highlight w:val="none"/>
        </w:rPr>
        <w:t>五、合同总价、付款安排、支付方式</w:t>
      </w:r>
    </w:p>
    <w:p>
      <w:pPr>
        <w:snapToGrid/>
        <w:ind w:firstLine="480" w:firstLineChars="200"/>
        <w:jc w:val="both"/>
        <w:rPr>
          <w:rFonts w:cs="宋体"/>
          <w:color w:val="auto"/>
          <w:highlight w:val="none"/>
        </w:rPr>
      </w:pPr>
      <w:r>
        <w:rPr>
          <w:rFonts w:hint="eastAsia" w:cs="宋体"/>
          <w:color w:val="auto"/>
          <w:highlight w:val="none"/>
        </w:rPr>
        <w:t>1.本合同总价为人民币：xx万元。(大写：XX元整)。合同总价为固定包干价，包括但不限于人工、提供服务需要的设备费、利润、保险、税费等与完成本项目有关的所有费用。本项目合同执行期间合同总价不变，甲方无须另向乙方支付本合同规定之外的其他任何费用。</w:t>
      </w:r>
    </w:p>
    <w:p>
      <w:pPr>
        <w:snapToGrid/>
        <w:ind w:firstLine="480" w:firstLineChars="200"/>
        <w:jc w:val="both"/>
        <w:rPr>
          <w:rFonts w:cs="宋体"/>
          <w:color w:val="auto"/>
          <w:highlight w:val="none"/>
        </w:rPr>
      </w:pPr>
      <w:r>
        <w:rPr>
          <w:rFonts w:hint="eastAsia" w:cs="宋体"/>
          <w:color w:val="auto"/>
          <w:highlight w:val="none"/>
        </w:rPr>
        <w:t>2.付款进度安排：</w:t>
      </w:r>
    </w:p>
    <w:p>
      <w:pPr>
        <w:snapToGrid/>
        <w:ind w:firstLine="480" w:firstLineChars="200"/>
        <w:jc w:val="both"/>
        <w:rPr>
          <w:rFonts w:cs="宋体"/>
          <w:color w:val="auto"/>
          <w:highlight w:val="none"/>
        </w:rPr>
      </w:pPr>
      <w:r>
        <w:rPr>
          <w:rFonts w:hint="eastAsia" w:cs="宋体"/>
          <w:color w:val="auto"/>
          <w:highlight w:val="none"/>
        </w:rPr>
        <w:t>2.1.每月对公转账，即XX万元/月。</w:t>
      </w:r>
    </w:p>
    <w:p>
      <w:pPr>
        <w:snapToGrid/>
        <w:ind w:firstLine="480" w:firstLineChars="200"/>
        <w:jc w:val="both"/>
        <w:rPr>
          <w:rFonts w:cs="宋体"/>
          <w:color w:val="auto"/>
          <w:highlight w:val="none"/>
        </w:rPr>
      </w:pPr>
      <w:r>
        <w:rPr>
          <w:rFonts w:hint="eastAsia" w:cs="宋体"/>
          <w:color w:val="auto"/>
          <w:highlight w:val="none"/>
        </w:rPr>
        <w:t>2.2.每月医疗卫生服务结束后，甲方根据该月考核结果,在次月支付当月服务费，甲方在收到乙方提交付款申请资料以及乙方开具的符合甲方财务要求的等额合法有效增值税发票后15个日历天内向乙方支付当月服务费用。若收到乙方发票之日早于当月考核结束之日，则自当月考核结束之日起15个日历天内支付。</w:t>
      </w:r>
    </w:p>
    <w:p>
      <w:pPr>
        <w:snapToGrid/>
        <w:ind w:firstLine="480" w:firstLineChars="200"/>
        <w:jc w:val="both"/>
        <w:rPr>
          <w:rFonts w:cs="宋体"/>
          <w:color w:val="auto"/>
          <w:highlight w:val="none"/>
        </w:rPr>
      </w:pPr>
      <w:r>
        <w:rPr>
          <w:rFonts w:hint="eastAsia" w:cs="宋体"/>
          <w:color w:val="auto"/>
          <w:highlight w:val="none"/>
        </w:rPr>
        <w:t>2.3.乙方未提供增值税发票(专票或普票)，或发票经国税网验审不合格的，或者乙方提供的发票不满足甲方财务要求的，甲方有权拒付且不承担任何逾期付款的责任。</w:t>
      </w:r>
    </w:p>
    <w:p>
      <w:pPr>
        <w:snapToGrid/>
        <w:ind w:firstLine="480" w:firstLineChars="200"/>
        <w:jc w:val="both"/>
        <w:rPr>
          <w:rFonts w:cs="宋体"/>
          <w:color w:val="auto"/>
          <w:highlight w:val="none"/>
        </w:rPr>
      </w:pPr>
      <w:r>
        <w:rPr>
          <w:rFonts w:hint="eastAsia" w:cs="宋体"/>
          <w:color w:val="auto"/>
          <w:highlight w:val="none"/>
        </w:rPr>
        <w:t>2.4.乙方指定收款账户：</w:t>
      </w:r>
    </w:p>
    <w:p>
      <w:pPr>
        <w:pStyle w:val="37"/>
        <w:spacing w:line="440" w:lineRule="exact"/>
        <w:ind w:firstLine="480" w:firstLineChars="200"/>
        <w:rPr>
          <w:color w:val="auto"/>
          <w:kern w:val="2"/>
          <w:highlight w:val="none"/>
        </w:rPr>
      </w:pPr>
      <w:r>
        <w:rPr>
          <w:rFonts w:hint="eastAsia"/>
          <w:color w:val="auto"/>
          <w:kern w:val="2"/>
          <w:highlight w:val="none"/>
        </w:rPr>
        <w:t>账户名称：</w:t>
      </w:r>
    </w:p>
    <w:p>
      <w:pPr>
        <w:adjustRightInd/>
        <w:snapToGrid/>
        <w:ind w:firstLine="480" w:firstLineChars="200"/>
        <w:jc w:val="both"/>
        <w:rPr>
          <w:rFonts w:cs="宋体"/>
          <w:color w:val="auto"/>
          <w:highlight w:val="none"/>
        </w:rPr>
      </w:pPr>
      <w:r>
        <w:rPr>
          <w:rFonts w:hint="eastAsia" w:cs="宋体"/>
          <w:color w:val="auto"/>
          <w:highlight w:val="none"/>
        </w:rPr>
        <w:t>开户行：</w:t>
      </w:r>
    </w:p>
    <w:p>
      <w:pPr>
        <w:pStyle w:val="37"/>
        <w:spacing w:line="440" w:lineRule="exact"/>
        <w:ind w:firstLine="480" w:firstLineChars="200"/>
        <w:rPr>
          <w:color w:val="auto"/>
          <w:kern w:val="2"/>
          <w:highlight w:val="none"/>
        </w:rPr>
      </w:pPr>
      <w:r>
        <w:rPr>
          <w:rFonts w:hint="eastAsia"/>
          <w:color w:val="auto"/>
          <w:kern w:val="2"/>
          <w:highlight w:val="none"/>
        </w:rPr>
        <w:t>账号：</w:t>
      </w:r>
    </w:p>
    <w:p>
      <w:pPr>
        <w:snapToGrid/>
        <w:ind w:firstLine="480" w:firstLineChars="200"/>
        <w:jc w:val="both"/>
        <w:rPr>
          <w:rFonts w:cs="宋体"/>
          <w:color w:val="auto"/>
          <w:highlight w:val="none"/>
        </w:rPr>
      </w:pPr>
      <w:r>
        <w:rPr>
          <w:rFonts w:hint="eastAsia" w:cs="宋体"/>
          <w:color w:val="auto"/>
          <w:highlight w:val="none"/>
        </w:rPr>
        <w:t>注：乙方保证提供的银行账户信息真实有效，如果乙方账户信息更改，需要在甲方付款前10个日历天内告知甲方，若因乙方原因导致甲方无法付款或错误付款，后果由乙方自行承担。</w:t>
      </w:r>
    </w:p>
    <w:p>
      <w:pPr>
        <w:pStyle w:val="37"/>
        <w:spacing w:line="440" w:lineRule="exact"/>
        <w:ind w:firstLine="480" w:firstLineChars="200"/>
        <w:jc w:val="both"/>
        <w:rPr>
          <w:color w:val="auto"/>
          <w:kern w:val="2"/>
          <w:highlight w:val="none"/>
        </w:rPr>
      </w:pPr>
      <w:r>
        <w:rPr>
          <w:rFonts w:hint="eastAsia"/>
          <w:color w:val="auto"/>
          <w:kern w:val="2"/>
          <w:highlight w:val="none"/>
        </w:rPr>
        <w:t>2.5月考核表</w:t>
      </w:r>
    </w:p>
    <w:tbl>
      <w:tblPr>
        <w:tblStyle w:val="24"/>
        <w:tblW w:w="4906" w:type="pct"/>
        <w:jc w:val="center"/>
        <w:tblLayout w:type="autofit"/>
        <w:tblCellMar>
          <w:top w:w="0" w:type="dxa"/>
          <w:left w:w="0" w:type="dxa"/>
          <w:bottom w:w="0" w:type="dxa"/>
          <w:right w:w="0" w:type="dxa"/>
        </w:tblCellMar>
      </w:tblPr>
      <w:tblGrid>
        <w:gridCol w:w="1383"/>
        <w:gridCol w:w="4650"/>
        <w:gridCol w:w="1193"/>
        <w:gridCol w:w="1143"/>
        <w:gridCol w:w="1223"/>
      </w:tblGrid>
      <w:tr>
        <w:tblPrEx>
          <w:tblCellMar>
            <w:top w:w="0" w:type="dxa"/>
            <w:left w:w="0" w:type="dxa"/>
            <w:bottom w:w="0" w:type="dxa"/>
            <w:right w:w="0" w:type="dxa"/>
          </w:tblCellMar>
        </w:tblPrEx>
        <w:trPr>
          <w:trHeight w:val="267" w:hRule="atLeast"/>
          <w:tblHeader/>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b/>
                <w:bCs/>
                <w:color w:val="auto"/>
                <w:sz w:val="21"/>
                <w:szCs w:val="21"/>
                <w:highlight w:val="none"/>
              </w:rPr>
            </w:pPr>
            <w:r>
              <w:rPr>
                <w:rFonts w:hint="eastAsia" w:cs="宋体"/>
                <w:b/>
                <w:bCs/>
                <w:color w:val="auto"/>
                <w:sz w:val="21"/>
                <w:szCs w:val="21"/>
                <w:highlight w:val="none"/>
              </w:rPr>
              <w:t>考核项目</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b/>
                <w:bCs/>
                <w:color w:val="auto"/>
                <w:sz w:val="21"/>
                <w:szCs w:val="21"/>
                <w:highlight w:val="none"/>
              </w:rPr>
            </w:pPr>
            <w:r>
              <w:rPr>
                <w:rFonts w:hint="eastAsia" w:cs="宋体"/>
                <w:b/>
                <w:bCs/>
                <w:color w:val="auto"/>
                <w:sz w:val="21"/>
                <w:szCs w:val="21"/>
                <w:highlight w:val="none"/>
              </w:rPr>
              <w:t>考核标准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b/>
                <w:bCs/>
                <w:color w:val="auto"/>
                <w:sz w:val="21"/>
                <w:szCs w:val="21"/>
                <w:highlight w:val="none"/>
              </w:rPr>
            </w:pPr>
            <w:r>
              <w:rPr>
                <w:rFonts w:hint="eastAsia" w:cs="宋体"/>
                <w:b/>
                <w:bCs/>
                <w:color w:val="auto"/>
                <w:sz w:val="21"/>
                <w:szCs w:val="21"/>
                <w:highlight w:val="none"/>
              </w:rPr>
              <w:t>本项总分</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b/>
                <w:bCs/>
                <w:color w:val="auto"/>
                <w:sz w:val="21"/>
                <w:szCs w:val="21"/>
                <w:highlight w:val="none"/>
              </w:rPr>
            </w:pPr>
            <w:r>
              <w:rPr>
                <w:rFonts w:hint="eastAsia" w:cs="宋体"/>
                <w:b/>
                <w:bCs/>
                <w:color w:val="auto"/>
                <w:sz w:val="21"/>
                <w:szCs w:val="21"/>
                <w:highlight w:val="none"/>
              </w:rPr>
              <w:t>扣分情况</w:t>
            </w: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b/>
                <w:bCs/>
                <w:color w:val="auto"/>
                <w:sz w:val="21"/>
                <w:szCs w:val="21"/>
                <w:highlight w:val="none"/>
              </w:rPr>
            </w:pPr>
            <w:r>
              <w:rPr>
                <w:rFonts w:hint="eastAsia" w:cs="宋体"/>
                <w:b/>
                <w:bCs/>
                <w:color w:val="auto"/>
                <w:sz w:val="21"/>
                <w:szCs w:val="21"/>
                <w:highlight w:val="none"/>
              </w:rPr>
              <w:t>最终得分</w:t>
            </w:r>
          </w:p>
        </w:tc>
      </w:tr>
      <w:tr>
        <w:tblPrEx>
          <w:tblCellMar>
            <w:top w:w="0" w:type="dxa"/>
            <w:left w:w="0" w:type="dxa"/>
            <w:bottom w:w="0" w:type="dxa"/>
            <w:right w:w="0" w:type="dxa"/>
          </w:tblCellMar>
        </w:tblPrEx>
        <w:trPr>
          <w:trHeight w:val="162"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医务室环境</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整洁、干净、定时消毒得10分。发现1次未落实到位，扣1分。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10</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344"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工作人员着装</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医务人员着工作服和佩戴工作证，且服装穿戴整齐得5分。未按要求着装，发现1次，扣1分。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5</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90"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各项登记记录</w:t>
            </w:r>
          </w:p>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(传染病登记记录不在此项扣分)</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按照属地化管理机构的要求登记得15分。每漏登一种记录，扣1分。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15</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974"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隔离室管理</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1.隔离人员入住记录齐全得4分。不齐全的每次扣1分。</w:t>
            </w:r>
          </w:p>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2.体温等体征监测齐全得3分。不齐全的每次扣1分。</w:t>
            </w:r>
          </w:p>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3.隔离室消杀时间及记录齐全得3分。不齐全的每次扣1分。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10</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656"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就诊汇总及时，能为学校提供有效信息</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按照甲方要求及时提供信息，无错误信息得10分。出现拖延时间、错、漏信息，每次扣1分。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10</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656"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传染病登记记录</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按照属地化管理机构提供的记录本登记齐全得15分。检查时，发现有虚假信息、漏报、瞒报等任意一项，每次扣3分。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15</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624"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每月就诊疾病趋势统计情况</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按照就诊情况，每月按时提供就诊疾病趋势分析统计得10分。如每月不能提供分析的(学生离校放寒暑假除外)，每次扣10分。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10</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390"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医生就诊时态度</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无投诉得15分。每投诉1次且经甲方核实属实的，扣3分。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15</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477" w:hRule="atLeast"/>
          <w:jc w:val="center"/>
        </w:trPr>
        <w:tc>
          <w:tcPr>
            <w:tcW w:w="72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r>
              <w:rPr>
                <w:rFonts w:hint="eastAsia" w:cs="宋体"/>
                <w:color w:val="auto"/>
                <w:sz w:val="21"/>
                <w:szCs w:val="21"/>
                <w:highlight w:val="none"/>
              </w:rPr>
              <w:t>按照上级机构</w:t>
            </w:r>
          </w:p>
          <w:p>
            <w:pPr>
              <w:numPr>
                <w:ilvl w:val="1"/>
                <w:numId w:val="0"/>
              </w:numPr>
              <w:adjustRightInd/>
              <w:snapToGrid/>
              <w:spacing w:line="360" w:lineRule="exact"/>
              <w:ind w:left="28" w:right="28"/>
              <w:jc w:val="center"/>
              <w:rPr>
                <w:rFonts w:hint="eastAsia" w:cs="宋体"/>
                <w:color w:val="auto"/>
                <w:sz w:val="21"/>
                <w:szCs w:val="21"/>
                <w:highlight w:val="none"/>
              </w:rPr>
            </w:pPr>
            <w:r>
              <w:rPr>
                <w:rFonts w:hint="eastAsia" w:cs="宋体"/>
                <w:color w:val="auto"/>
                <w:sz w:val="21"/>
                <w:szCs w:val="21"/>
                <w:highlight w:val="none"/>
              </w:rPr>
              <w:t>要求完成工作</w:t>
            </w:r>
          </w:p>
        </w:tc>
        <w:tc>
          <w:tcPr>
            <w:tcW w:w="2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both"/>
              <w:rPr>
                <w:rFonts w:cs="宋体"/>
                <w:color w:val="auto"/>
                <w:sz w:val="21"/>
                <w:szCs w:val="21"/>
                <w:highlight w:val="none"/>
              </w:rPr>
            </w:pPr>
            <w:r>
              <w:rPr>
                <w:rFonts w:hint="eastAsia" w:cs="宋体"/>
                <w:color w:val="auto"/>
                <w:sz w:val="21"/>
                <w:szCs w:val="21"/>
                <w:highlight w:val="none"/>
              </w:rPr>
              <w:t>1.能够按照监督意见及时有效整改得5分，未完成或整改不到位扣5分；</w:t>
            </w:r>
          </w:p>
          <w:p>
            <w:pPr>
              <w:numPr>
                <w:ilvl w:val="1"/>
                <w:numId w:val="0"/>
              </w:numPr>
              <w:adjustRightInd/>
              <w:snapToGrid/>
              <w:spacing w:line="360" w:lineRule="exact"/>
              <w:ind w:left="28" w:right="28"/>
              <w:jc w:val="both"/>
              <w:rPr>
                <w:rFonts w:hint="eastAsia" w:cs="宋体"/>
                <w:color w:val="auto"/>
                <w:sz w:val="21"/>
                <w:szCs w:val="21"/>
                <w:highlight w:val="none"/>
              </w:rPr>
            </w:pPr>
            <w:r>
              <w:rPr>
                <w:rFonts w:hint="eastAsia" w:cs="宋体"/>
                <w:color w:val="auto"/>
                <w:sz w:val="21"/>
                <w:szCs w:val="21"/>
                <w:highlight w:val="none"/>
              </w:rPr>
              <w:t>2.完成甲方临时性要求，配合甲方医疗需求和相关事务得5分，不能配合甲方完成任务或出现差错，扣5分。</w:t>
            </w:r>
          </w:p>
        </w:tc>
        <w:tc>
          <w:tcPr>
            <w:tcW w:w="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hint="eastAsia" w:cs="宋体"/>
                <w:color w:val="auto"/>
                <w:sz w:val="21"/>
                <w:szCs w:val="21"/>
                <w:highlight w:val="none"/>
              </w:rPr>
            </w:pPr>
            <w:r>
              <w:rPr>
                <w:rFonts w:hint="eastAsia" w:cs="宋体"/>
                <w:color w:val="auto"/>
                <w:sz w:val="21"/>
                <w:szCs w:val="21"/>
                <w:highlight w:val="none"/>
              </w:rPr>
              <w:t>10</w:t>
            </w:r>
          </w:p>
        </w:tc>
        <w:tc>
          <w:tcPr>
            <w:tcW w:w="59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c>
          <w:tcPr>
            <w:tcW w:w="63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tc>
      </w:tr>
      <w:tr>
        <w:tblPrEx>
          <w:tblCellMar>
            <w:top w:w="0" w:type="dxa"/>
            <w:left w:w="0" w:type="dxa"/>
            <w:bottom w:w="0" w:type="dxa"/>
            <w:right w:w="0" w:type="dxa"/>
          </w:tblCellMar>
        </w:tblPrEx>
        <w:trPr>
          <w:trHeight w:val="891"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numPr>
                <w:ilvl w:val="1"/>
                <w:numId w:val="0"/>
              </w:numPr>
              <w:adjustRightInd/>
              <w:snapToGrid/>
              <w:spacing w:line="360" w:lineRule="exact"/>
              <w:ind w:left="28" w:right="28"/>
              <w:jc w:val="center"/>
              <w:rPr>
                <w:rFonts w:cs="宋体"/>
                <w:color w:val="auto"/>
                <w:sz w:val="21"/>
                <w:szCs w:val="21"/>
                <w:highlight w:val="none"/>
              </w:rPr>
            </w:pPr>
          </w:p>
          <w:p>
            <w:pPr>
              <w:numPr>
                <w:ilvl w:val="1"/>
                <w:numId w:val="0"/>
              </w:numPr>
              <w:adjustRightInd/>
              <w:snapToGrid/>
              <w:spacing w:line="360" w:lineRule="exact"/>
              <w:ind w:left="28" w:right="28"/>
              <w:jc w:val="both"/>
              <w:rPr>
                <w:rFonts w:cs="宋体"/>
                <w:color w:val="auto"/>
                <w:sz w:val="21"/>
                <w:szCs w:val="21"/>
                <w:highlight w:val="none"/>
              </w:rPr>
            </w:pPr>
            <w:r>
              <w:rPr>
                <w:color w:val="auto"/>
                <w:highlight w:val="none"/>
              </w:rPr>
              <w:t>备注：本项目服务内容及要求未进入月考核表进行考核的，若</w:t>
            </w:r>
            <w:r>
              <w:rPr>
                <w:rFonts w:hint="eastAsia"/>
                <w:color w:val="auto"/>
                <w:highlight w:val="none"/>
                <w:lang w:val="en-US" w:eastAsia="zh-CN"/>
              </w:rPr>
              <w:t>乙方</w:t>
            </w:r>
            <w:r>
              <w:rPr>
                <w:color w:val="auto"/>
                <w:highlight w:val="none"/>
              </w:rPr>
              <w:t xml:space="preserve">未按照约定履约的，当月直接视为不合格。 </w:t>
            </w:r>
          </w:p>
          <w:p>
            <w:pPr>
              <w:numPr>
                <w:ilvl w:val="1"/>
                <w:numId w:val="0"/>
              </w:numPr>
              <w:adjustRightInd/>
              <w:snapToGrid/>
              <w:spacing w:line="360" w:lineRule="exact"/>
              <w:ind w:left="28" w:right="28"/>
              <w:jc w:val="center"/>
              <w:rPr>
                <w:rFonts w:cs="宋体"/>
                <w:color w:val="auto"/>
                <w:sz w:val="21"/>
                <w:szCs w:val="21"/>
                <w:highlight w:val="none"/>
              </w:rPr>
            </w:pPr>
          </w:p>
        </w:tc>
      </w:tr>
    </w:tbl>
    <w:p>
      <w:pPr>
        <w:snapToGrid/>
        <w:ind w:firstLine="480" w:firstLineChars="200"/>
        <w:contextualSpacing/>
        <w:jc w:val="both"/>
        <w:rPr>
          <w:rFonts w:cs="宋体"/>
          <w:color w:val="auto"/>
          <w:highlight w:val="none"/>
        </w:rPr>
      </w:pPr>
      <w:r>
        <w:rPr>
          <w:rFonts w:hint="eastAsia" w:cs="宋体"/>
          <w:color w:val="auto"/>
          <w:highlight w:val="none"/>
        </w:rPr>
        <w:t>2.6.扣费标准：</w:t>
      </w:r>
    </w:p>
    <w:p>
      <w:pPr>
        <w:adjustRightInd/>
        <w:snapToGrid/>
        <w:ind w:firstLine="480" w:firstLineChars="200"/>
        <w:contextualSpacing/>
        <w:jc w:val="both"/>
        <w:rPr>
          <w:rFonts w:cs="宋体"/>
          <w:color w:val="auto"/>
          <w:highlight w:val="none"/>
        </w:rPr>
      </w:pPr>
      <w:r>
        <w:rPr>
          <w:rFonts w:hint="eastAsia" w:cs="宋体"/>
          <w:color w:val="auto"/>
          <w:highlight w:val="none"/>
        </w:rPr>
        <w:t>(1)月考核得分在85分(含)以上，不扣除服务费；</w:t>
      </w:r>
    </w:p>
    <w:p>
      <w:pPr>
        <w:adjustRightInd/>
        <w:snapToGrid/>
        <w:ind w:firstLine="480" w:firstLineChars="200"/>
        <w:contextualSpacing/>
        <w:jc w:val="both"/>
        <w:rPr>
          <w:rFonts w:cs="宋体"/>
          <w:color w:val="auto"/>
          <w:highlight w:val="none"/>
        </w:rPr>
      </w:pPr>
      <w:r>
        <w:rPr>
          <w:rFonts w:hint="eastAsia" w:cs="宋体"/>
          <w:color w:val="auto"/>
          <w:highlight w:val="none"/>
        </w:rPr>
        <w:t>(2)月考核得分低于85分，每低于5分(不足5分按5分计算)扣除服务费2000元。</w:t>
      </w:r>
    </w:p>
    <w:p>
      <w:pPr>
        <w:pStyle w:val="37"/>
        <w:spacing w:line="440" w:lineRule="exact"/>
        <w:ind w:firstLine="480" w:firstLineChars="200"/>
        <w:contextualSpacing/>
        <w:rPr>
          <w:color w:val="auto"/>
          <w:kern w:val="2"/>
          <w:highlight w:val="none"/>
        </w:rPr>
      </w:pPr>
      <w:r>
        <w:rPr>
          <w:rFonts w:hint="eastAsia"/>
          <w:color w:val="auto"/>
          <w:kern w:val="2"/>
          <w:highlight w:val="none"/>
        </w:rPr>
        <w:t>(3)月考核得分在70分(不含)以下的，视为考核不合格，甲方有权终止合同，并且不支付当月的任何费用。</w:t>
      </w:r>
    </w:p>
    <w:p>
      <w:pPr>
        <w:snapToGrid/>
        <w:ind w:firstLine="482" w:firstLineChars="200"/>
        <w:contextualSpacing/>
        <w:jc w:val="both"/>
        <w:rPr>
          <w:rFonts w:cs="宋体"/>
          <w:b/>
          <w:bCs/>
          <w:color w:val="auto"/>
          <w:highlight w:val="none"/>
        </w:rPr>
      </w:pPr>
      <w:r>
        <w:rPr>
          <w:rFonts w:hint="eastAsia" w:cs="宋体"/>
          <w:b/>
          <w:bCs/>
          <w:color w:val="auto"/>
          <w:highlight w:val="none"/>
        </w:rPr>
        <w:t>六、双方的权利和义务</w:t>
      </w:r>
    </w:p>
    <w:p>
      <w:pPr>
        <w:adjustRightInd/>
        <w:snapToGrid/>
        <w:ind w:firstLine="480" w:firstLineChars="200"/>
        <w:contextualSpacing/>
        <w:jc w:val="both"/>
        <w:rPr>
          <w:rFonts w:cs="宋体"/>
          <w:color w:val="auto"/>
          <w:highlight w:val="none"/>
        </w:rPr>
      </w:pPr>
      <w:r>
        <w:rPr>
          <w:rFonts w:hint="eastAsia" w:cs="宋体"/>
          <w:color w:val="auto"/>
          <w:highlight w:val="none"/>
        </w:rPr>
        <w:t>(一)甲方的权利和义务：</w:t>
      </w:r>
    </w:p>
    <w:p>
      <w:pPr>
        <w:adjustRightInd/>
        <w:snapToGrid/>
        <w:ind w:firstLine="480" w:firstLineChars="200"/>
        <w:contextualSpacing/>
        <w:jc w:val="both"/>
        <w:rPr>
          <w:rFonts w:cs="宋体"/>
          <w:color w:val="auto"/>
          <w:highlight w:val="none"/>
        </w:rPr>
      </w:pPr>
      <w:r>
        <w:rPr>
          <w:rFonts w:hint="eastAsia" w:cs="宋体"/>
          <w:color w:val="auto"/>
          <w:highlight w:val="none"/>
        </w:rPr>
        <w:t>1.甲方有权对合同规定范围内乙方提供的服务行为进行监督和检查，拥有监管权。有权核对乙方提供的服务质量。对甲方认为不合格的服务有权下达整改通知书，并要求乙方限期完成整改。</w:t>
      </w:r>
    </w:p>
    <w:p>
      <w:pPr>
        <w:adjustRightInd/>
        <w:snapToGrid/>
        <w:ind w:firstLine="480" w:firstLineChars="200"/>
        <w:contextualSpacing/>
        <w:jc w:val="both"/>
        <w:rPr>
          <w:rFonts w:cs="宋体"/>
          <w:color w:val="auto"/>
          <w:highlight w:val="none"/>
        </w:rPr>
      </w:pPr>
      <w:r>
        <w:rPr>
          <w:rFonts w:hint="eastAsia" w:cs="宋体"/>
          <w:color w:val="auto"/>
          <w:highlight w:val="none"/>
        </w:rPr>
        <w:t>2.负责检查监督乙方提供服务的实施的执行情况。</w:t>
      </w:r>
    </w:p>
    <w:p>
      <w:pPr>
        <w:adjustRightInd/>
        <w:snapToGrid/>
        <w:ind w:firstLine="480" w:firstLineChars="200"/>
        <w:contextualSpacing/>
        <w:jc w:val="both"/>
        <w:rPr>
          <w:rFonts w:cs="宋体"/>
          <w:color w:val="auto"/>
          <w:highlight w:val="none"/>
        </w:rPr>
      </w:pPr>
      <w:r>
        <w:rPr>
          <w:rFonts w:hint="eastAsia" w:cs="宋体"/>
          <w:color w:val="auto"/>
          <w:highlight w:val="none"/>
        </w:rPr>
        <w:t>3.根据本合同规定，按时向乙方支付应付服务费用。</w:t>
      </w:r>
    </w:p>
    <w:p>
      <w:pPr>
        <w:adjustRightInd/>
        <w:snapToGrid/>
        <w:ind w:firstLine="480" w:firstLineChars="200"/>
        <w:contextualSpacing/>
        <w:jc w:val="both"/>
        <w:rPr>
          <w:rFonts w:cs="宋体"/>
          <w:color w:val="auto"/>
          <w:highlight w:val="none"/>
        </w:rPr>
      </w:pPr>
      <w:r>
        <w:rPr>
          <w:rFonts w:hint="eastAsia" w:cs="宋体"/>
          <w:color w:val="auto"/>
          <w:highlight w:val="none"/>
        </w:rPr>
        <w:t>4.国家法律、法规所规定由甲方承担的其它责任。</w:t>
      </w:r>
    </w:p>
    <w:p>
      <w:pPr>
        <w:adjustRightInd/>
        <w:snapToGrid/>
        <w:ind w:firstLine="480" w:firstLineChars="200"/>
        <w:contextualSpacing/>
        <w:jc w:val="both"/>
        <w:rPr>
          <w:rFonts w:cs="宋体"/>
          <w:color w:val="auto"/>
          <w:highlight w:val="none"/>
        </w:rPr>
      </w:pPr>
      <w:r>
        <w:rPr>
          <w:rFonts w:hint="eastAsia" w:cs="宋体"/>
          <w:color w:val="auto"/>
          <w:highlight w:val="none"/>
        </w:rPr>
        <w:t>(二)乙方的权利和义务：</w:t>
      </w:r>
    </w:p>
    <w:p>
      <w:pPr>
        <w:adjustRightInd/>
        <w:snapToGrid/>
        <w:ind w:firstLine="480" w:firstLineChars="200"/>
        <w:contextualSpacing/>
        <w:jc w:val="both"/>
        <w:rPr>
          <w:rFonts w:cs="宋体"/>
          <w:color w:val="auto"/>
          <w:highlight w:val="none"/>
        </w:rPr>
      </w:pPr>
      <w:r>
        <w:rPr>
          <w:rFonts w:hint="eastAsia" w:cs="宋体"/>
          <w:color w:val="auto"/>
          <w:highlight w:val="none"/>
        </w:rPr>
        <w:t>1.根据本合同的规定向甲方收取相关费用。</w:t>
      </w:r>
    </w:p>
    <w:p>
      <w:pPr>
        <w:adjustRightInd/>
        <w:snapToGrid/>
        <w:ind w:firstLine="480" w:firstLineChars="200"/>
        <w:contextualSpacing/>
        <w:jc w:val="both"/>
        <w:rPr>
          <w:rFonts w:cs="宋体"/>
          <w:color w:val="auto"/>
          <w:highlight w:val="none"/>
        </w:rPr>
      </w:pPr>
      <w:r>
        <w:rPr>
          <w:rFonts w:hint="eastAsia" w:cs="宋体"/>
          <w:color w:val="auto"/>
          <w:highlight w:val="none"/>
        </w:rPr>
        <w:t>2.接受项目行业管理部门及政府有关部门的指导，接受甲方的监督。</w:t>
      </w:r>
    </w:p>
    <w:p>
      <w:pPr>
        <w:adjustRightInd/>
        <w:snapToGrid/>
        <w:ind w:firstLine="480" w:firstLineChars="200"/>
        <w:contextualSpacing/>
        <w:jc w:val="both"/>
        <w:rPr>
          <w:rFonts w:cs="宋体"/>
          <w:color w:val="auto"/>
          <w:highlight w:val="none"/>
        </w:rPr>
      </w:pPr>
      <w:r>
        <w:rPr>
          <w:rFonts w:hint="eastAsia" w:cs="宋体"/>
          <w:color w:val="auto"/>
          <w:highlight w:val="none"/>
        </w:rPr>
        <w:t>3.履行本合同的全部安全责任均由乙方承担，甲方对此不承担任何责任。</w:t>
      </w:r>
    </w:p>
    <w:p>
      <w:pPr>
        <w:adjustRightInd/>
        <w:snapToGrid/>
        <w:ind w:firstLine="480" w:firstLineChars="200"/>
        <w:contextualSpacing/>
        <w:jc w:val="both"/>
        <w:rPr>
          <w:rFonts w:cs="宋体"/>
          <w:color w:val="auto"/>
          <w:highlight w:val="none"/>
        </w:rPr>
      </w:pPr>
      <w:r>
        <w:rPr>
          <w:rFonts w:hint="eastAsia" w:cs="宋体"/>
          <w:color w:val="auto"/>
          <w:highlight w:val="none"/>
        </w:rPr>
        <w:t>4.乙方应自行垫资优先支付工作人员工资，甲方不承担由于乙方未付工作人员工资引起的一切法律责任和纠纷。</w:t>
      </w:r>
    </w:p>
    <w:p>
      <w:pPr>
        <w:adjustRightInd/>
        <w:snapToGrid/>
        <w:ind w:firstLine="480" w:firstLineChars="200"/>
        <w:contextualSpacing/>
        <w:jc w:val="both"/>
        <w:rPr>
          <w:rFonts w:cs="宋体"/>
          <w:color w:val="auto"/>
          <w:highlight w:val="none"/>
        </w:rPr>
      </w:pPr>
      <w:r>
        <w:rPr>
          <w:rFonts w:hint="eastAsia" w:cs="宋体"/>
          <w:color w:val="auto"/>
          <w:highlight w:val="none"/>
        </w:rPr>
        <w:t>5.合同期间内,针对本项目乙方工作人员的疾病和人身安全、安全责任事故、劳务纠纷等均由乙方自行负责,甲方对此不承担任何的责任和义务。</w:t>
      </w:r>
    </w:p>
    <w:p>
      <w:pPr>
        <w:adjustRightInd/>
        <w:snapToGrid/>
        <w:ind w:firstLine="480" w:firstLineChars="200"/>
        <w:contextualSpacing/>
        <w:jc w:val="both"/>
        <w:rPr>
          <w:rFonts w:cs="宋体"/>
          <w:color w:val="auto"/>
          <w:highlight w:val="none"/>
        </w:rPr>
      </w:pPr>
      <w:r>
        <w:rPr>
          <w:rFonts w:hint="eastAsia" w:cs="宋体"/>
          <w:color w:val="auto"/>
          <w:highlight w:val="none"/>
        </w:rPr>
        <w:t>6.合同期间内,针对本项目工作人员薪资不得低于成都市最低薪酬标准,在职期间为其购买劳动法规定的各项保险,其人员工资标准、劳保、福利等应执行国家和地方政府的相关法律、法规和部门规章。</w:t>
      </w:r>
    </w:p>
    <w:p>
      <w:pPr>
        <w:adjustRightInd/>
        <w:snapToGrid/>
        <w:ind w:firstLine="480" w:firstLineChars="200"/>
        <w:jc w:val="both"/>
        <w:rPr>
          <w:rFonts w:cs="宋体"/>
          <w:color w:val="auto"/>
          <w:highlight w:val="none"/>
        </w:rPr>
      </w:pPr>
      <w:r>
        <w:rPr>
          <w:rFonts w:hint="eastAsia" w:cs="宋体"/>
          <w:color w:val="auto"/>
          <w:highlight w:val="none"/>
        </w:rPr>
        <w:t>7.乙方在校服务期间，遇到紧急救护情况，需要外出送医的情况，可在第一时间拨打120，然后报告甲方知晓。</w:t>
      </w:r>
    </w:p>
    <w:p>
      <w:pPr>
        <w:adjustRightInd/>
        <w:snapToGrid/>
        <w:ind w:firstLine="480" w:firstLineChars="200"/>
        <w:jc w:val="both"/>
        <w:rPr>
          <w:rFonts w:cs="宋体"/>
          <w:color w:val="auto"/>
          <w:highlight w:val="none"/>
        </w:rPr>
      </w:pPr>
      <w:r>
        <w:rPr>
          <w:rFonts w:hint="eastAsia" w:cs="宋体"/>
          <w:color w:val="auto"/>
          <w:highlight w:val="none"/>
        </w:rPr>
        <w:t>8.乙方在接诊时间，不得以任何理由拒绝为师生就诊，遇传染病或疑似传染病，需第一时间报告甲方，并做好相关隔离防护工作。</w:t>
      </w:r>
    </w:p>
    <w:p>
      <w:pPr>
        <w:adjustRightInd/>
        <w:snapToGrid/>
        <w:ind w:firstLine="480" w:firstLineChars="200"/>
        <w:jc w:val="both"/>
        <w:rPr>
          <w:rFonts w:cs="宋体"/>
          <w:color w:val="auto"/>
          <w:highlight w:val="none"/>
        </w:rPr>
      </w:pPr>
      <w:r>
        <w:rPr>
          <w:rFonts w:hint="eastAsia" w:cs="宋体"/>
          <w:color w:val="auto"/>
          <w:highlight w:val="none"/>
        </w:rPr>
        <w:t>9.乙方不得私自泄露本校师生个人信息，需征得甲方同意后再做处置。</w:t>
      </w:r>
    </w:p>
    <w:p>
      <w:pPr>
        <w:adjustRightInd/>
        <w:snapToGrid/>
        <w:ind w:firstLine="480" w:firstLineChars="200"/>
        <w:jc w:val="both"/>
        <w:rPr>
          <w:rFonts w:cs="宋体"/>
          <w:color w:val="auto"/>
          <w:highlight w:val="none"/>
        </w:rPr>
      </w:pPr>
      <w:r>
        <w:rPr>
          <w:rFonts w:hint="eastAsia" w:cs="宋体"/>
          <w:color w:val="auto"/>
          <w:highlight w:val="none"/>
        </w:rPr>
        <w:t>10.甲方放假期间，如需合同内的医疗保障，乙方则应按照甲方要求到校或到指定的地方进行医疗保障服务，不得以任何理由拒绝为甲方提供医疗服务。(说明：放假期间是指甲方所有假期或临时放假时间)。</w:t>
      </w:r>
    </w:p>
    <w:p>
      <w:pPr>
        <w:adjustRightInd/>
        <w:snapToGrid/>
        <w:ind w:firstLine="480" w:firstLineChars="200"/>
        <w:jc w:val="both"/>
        <w:rPr>
          <w:rFonts w:cs="宋体"/>
          <w:color w:val="auto"/>
          <w:highlight w:val="none"/>
        </w:rPr>
      </w:pPr>
      <w:r>
        <w:rPr>
          <w:rFonts w:hint="eastAsia" w:cs="宋体"/>
          <w:color w:val="auto"/>
          <w:highlight w:val="none"/>
        </w:rPr>
        <w:t>11.按照甲方或其他上级机构开展工作，如疫情防控期间，需要增派医护人员等，乙方不得以任何理由拒绝。</w:t>
      </w:r>
    </w:p>
    <w:p>
      <w:pPr>
        <w:adjustRightInd/>
        <w:snapToGrid/>
        <w:ind w:firstLine="480" w:firstLineChars="200"/>
        <w:jc w:val="both"/>
        <w:rPr>
          <w:rFonts w:cs="宋体"/>
          <w:color w:val="auto"/>
          <w:highlight w:val="none"/>
        </w:rPr>
      </w:pPr>
      <w:r>
        <w:rPr>
          <w:rFonts w:hint="eastAsia" w:cs="宋体"/>
          <w:color w:val="auto"/>
          <w:highlight w:val="none"/>
        </w:rPr>
        <w:t>12.甲方学生返校预检分诊时，按照疫情防控要求布置工作，必须保证预检分诊正常进行。</w:t>
      </w:r>
    </w:p>
    <w:p>
      <w:pPr>
        <w:adjustRightInd/>
        <w:snapToGrid/>
        <w:ind w:firstLine="480" w:firstLineChars="200"/>
        <w:jc w:val="both"/>
        <w:rPr>
          <w:rFonts w:cs="宋体"/>
          <w:color w:val="auto"/>
          <w:highlight w:val="none"/>
        </w:rPr>
      </w:pPr>
      <w:r>
        <w:rPr>
          <w:rFonts w:hint="eastAsia" w:cs="宋体"/>
          <w:color w:val="auto"/>
          <w:highlight w:val="none"/>
        </w:rPr>
        <w:t>13.国家法律、法规所规定由乙方承担的其它责任。</w:t>
      </w:r>
    </w:p>
    <w:p>
      <w:pPr>
        <w:ind w:firstLine="482" w:firstLineChars="200"/>
        <w:jc w:val="both"/>
        <w:rPr>
          <w:rFonts w:cs="宋体"/>
          <w:b/>
          <w:bCs/>
          <w:color w:val="auto"/>
          <w:highlight w:val="none"/>
        </w:rPr>
      </w:pPr>
      <w:r>
        <w:rPr>
          <w:rFonts w:hint="eastAsia" w:cs="宋体"/>
          <w:b/>
          <w:bCs/>
          <w:color w:val="auto"/>
          <w:highlight w:val="none"/>
        </w:rPr>
        <w:t>七、履约保证金</w:t>
      </w:r>
    </w:p>
    <w:p>
      <w:pPr>
        <w:ind w:firstLine="480" w:firstLineChars="200"/>
        <w:jc w:val="both"/>
        <w:rPr>
          <w:rFonts w:cs="宋体"/>
          <w:color w:val="auto"/>
          <w:highlight w:val="none"/>
        </w:rPr>
      </w:pPr>
      <w:r>
        <w:rPr>
          <w:rFonts w:hint="eastAsia" w:cs="宋体"/>
          <w:color w:val="auto"/>
          <w:highlight w:val="none"/>
        </w:rPr>
        <w:t>1.履约保证金为成交金额的百分之五(人民币      )，乙方应在中标通知书发出之日起至合同签订前以银行转账、支票、汇票、本票或者金融机构、担保机构出具的保函等非现金形式向甲方提交履约保证金。</w:t>
      </w:r>
    </w:p>
    <w:p>
      <w:pPr>
        <w:widowControl/>
        <w:adjustRightInd/>
        <w:snapToGrid/>
        <w:ind w:firstLine="480" w:firstLineChars="200"/>
        <w:rPr>
          <w:rFonts w:cs="宋体"/>
          <w:color w:val="auto"/>
          <w:highlight w:val="none"/>
        </w:rPr>
      </w:pPr>
      <w:r>
        <w:rPr>
          <w:rFonts w:hint="eastAsia" w:cs="宋体"/>
          <w:color w:val="auto"/>
          <w:highlight w:val="none"/>
        </w:rPr>
        <w:t>2.履行合同约定完毕且每月的月考核得分在70分(含)以上，10个日历天内无息退还投标人应退部分履约保证金。因甲方原因逾期退还的，应当以未退还金额为基数，按合同订立时1年期贷款市场报价利率标准向投标人支付相应违约金，但违约金最高不得超过未退还金额的百分之十。若因投标人不及时或未提供“收到退还履约保证金的收据”、“履约保证金退还申请”的，则甲方不承担逾期退还违约责任 。</w:t>
      </w:r>
    </w:p>
    <w:p>
      <w:pPr>
        <w:ind w:firstLine="480" w:firstLineChars="200"/>
        <w:jc w:val="both"/>
        <w:rPr>
          <w:rFonts w:cs="宋体"/>
          <w:color w:val="auto"/>
          <w:highlight w:val="none"/>
        </w:rPr>
      </w:pPr>
      <w:r>
        <w:rPr>
          <w:rFonts w:hint="eastAsia" w:cs="宋体"/>
          <w:color w:val="auto"/>
          <w:highlight w:val="none"/>
        </w:rPr>
        <w:t>3.履约保证金汇入的银行及账号：</w:t>
      </w:r>
    </w:p>
    <w:p>
      <w:pPr>
        <w:adjustRightInd/>
        <w:snapToGrid/>
        <w:ind w:firstLine="960" w:firstLineChars="400"/>
        <w:jc w:val="both"/>
        <w:rPr>
          <w:rFonts w:cs="宋体"/>
          <w:color w:val="auto"/>
          <w:highlight w:val="none"/>
        </w:rPr>
      </w:pPr>
      <w:r>
        <w:rPr>
          <w:rFonts w:hint="eastAsia" w:cs="宋体"/>
          <w:color w:val="auto"/>
          <w:highlight w:val="none"/>
        </w:rPr>
        <w:t>收款账号：成都市技师学院</w:t>
      </w:r>
    </w:p>
    <w:p>
      <w:pPr>
        <w:adjustRightInd/>
        <w:snapToGrid/>
        <w:ind w:firstLine="960" w:firstLineChars="400"/>
        <w:jc w:val="both"/>
        <w:rPr>
          <w:rFonts w:cs="宋体"/>
          <w:color w:val="auto"/>
          <w:highlight w:val="none"/>
        </w:rPr>
      </w:pPr>
      <w:r>
        <w:rPr>
          <w:rFonts w:hint="eastAsia" w:cs="宋体"/>
          <w:color w:val="auto"/>
          <w:highlight w:val="none"/>
        </w:rPr>
        <w:t>开户行：工行成都红光支行</w:t>
      </w:r>
    </w:p>
    <w:p>
      <w:pPr>
        <w:adjustRightInd/>
        <w:snapToGrid/>
        <w:ind w:firstLine="960" w:firstLineChars="400"/>
        <w:jc w:val="both"/>
        <w:rPr>
          <w:rFonts w:cs="宋体"/>
          <w:color w:val="auto"/>
          <w:highlight w:val="none"/>
        </w:rPr>
      </w:pPr>
      <w:r>
        <w:rPr>
          <w:rFonts w:hint="eastAsia" w:cs="宋体"/>
          <w:color w:val="auto"/>
          <w:highlight w:val="none"/>
        </w:rPr>
        <w:t>银行账号：4402054609100031151</w:t>
      </w:r>
    </w:p>
    <w:p>
      <w:pPr>
        <w:ind w:firstLine="480" w:firstLineChars="200"/>
        <w:jc w:val="both"/>
        <w:rPr>
          <w:rFonts w:cs="宋体"/>
          <w:color w:val="auto"/>
          <w:highlight w:val="none"/>
        </w:rPr>
      </w:pPr>
      <w:r>
        <w:rPr>
          <w:rFonts w:hint="eastAsia" w:cs="宋体"/>
          <w:color w:val="auto"/>
          <w:highlight w:val="none"/>
        </w:rPr>
        <w:t>4.履约保证金不予退还情形：一是乙方未按合同要求履行的，其履约保证金全部扣除。二是乙方缴纳了履约保证金，但因自身原因被取消成交资格或在成交公示期满之日起30个日历天(含法定节假日)内乙方不按采购文件确定的事项与甲方签订合同的，其履约保证金不予退还。三是法律法规或合同约定的其他情形。</w:t>
      </w:r>
    </w:p>
    <w:p>
      <w:pPr>
        <w:widowControl/>
        <w:adjustRightInd/>
        <w:snapToGrid/>
        <w:ind w:firstLine="482" w:firstLineChars="200"/>
        <w:rPr>
          <w:rFonts w:cs="宋体"/>
          <w:b/>
          <w:bCs/>
          <w:color w:val="auto"/>
          <w:highlight w:val="none"/>
        </w:rPr>
      </w:pPr>
      <w:r>
        <w:rPr>
          <w:rFonts w:hint="eastAsia" w:cs="宋体"/>
          <w:b/>
          <w:bCs/>
          <w:color w:val="auto"/>
          <w:highlight w:val="none"/>
        </w:rPr>
        <w:t>八、验收、交付标准和方法</w:t>
      </w:r>
    </w:p>
    <w:p>
      <w:pPr>
        <w:widowControl/>
        <w:adjustRightInd/>
        <w:snapToGrid/>
        <w:ind w:firstLine="480" w:firstLineChars="200"/>
        <w:rPr>
          <w:rFonts w:cs="宋体"/>
          <w:color w:val="auto"/>
          <w:highlight w:val="none"/>
        </w:rPr>
      </w:pPr>
      <w:r>
        <w:rPr>
          <w:rFonts w:hint="eastAsia" w:cs="宋体"/>
          <w:color w:val="auto"/>
          <w:highlight w:val="none"/>
        </w:rPr>
        <w:t>1.验收主体：甲方</w:t>
      </w:r>
    </w:p>
    <w:p>
      <w:pPr>
        <w:widowControl/>
        <w:adjustRightInd/>
        <w:snapToGrid/>
        <w:ind w:firstLine="480" w:firstLineChars="200"/>
        <w:rPr>
          <w:rFonts w:cs="宋体"/>
          <w:color w:val="auto"/>
          <w:highlight w:val="none"/>
        </w:rPr>
      </w:pPr>
      <w:r>
        <w:rPr>
          <w:rFonts w:hint="eastAsia" w:cs="宋体"/>
          <w:color w:val="auto"/>
          <w:highlight w:val="none"/>
        </w:rPr>
        <w:t>2.验收时间：每月1次。</w:t>
      </w:r>
    </w:p>
    <w:p>
      <w:pPr>
        <w:widowControl/>
        <w:adjustRightInd/>
        <w:snapToGrid/>
        <w:ind w:firstLine="480" w:firstLineChars="200"/>
        <w:rPr>
          <w:rFonts w:cs="宋体"/>
          <w:color w:val="auto"/>
          <w:highlight w:val="none"/>
        </w:rPr>
      </w:pPr>
      <w:r>
        <w:rPr>
          <w:rFonts w:hint="eastAsia" w:cs="宋体"/>
          <w:color w:val="auto"/>
          <w:highlight w:val="none"/>
        </w:rPr>
        <w:t>3.验收程序：甲方对乙方进行考核验收时，依据月考核表组织三人及以上的验收小组核对考核情况进行核查，考核分高于70分(含)视为验收合格，则签署《月验收报告单》；若考核分低于70分视为验收不合格，甲方有权终止合同，并按合同约定追究乙方的违约责任。</w:t>
      </w:r>
    </w:p>
    <w:p>
      <w:pPr>
        <w:ind w:firstLine="480" w:firstLineChars="200"/>
        <w:jc w:val="both"/>
        <w:rPr>
          <w:rFonts w:cs="宋体"/>
          <w:color w:val="auto"/>
          <w:highlight w:val="none"/>
        </w:rPr>
      </w:pPr>
      <w:r>
        <w:rPr>
          <w:rFonts w:hint="eastAsia" w:cs="宋体"/>
          <w:color w:val="auto"/>
          <w:highlight w:val="none"/>
        </w:rPr>
        <w:t>4.验收内容：每一项技术和商务要求的履约情况</w:t>
      </w:r>
    </w:p>
    <w:p>
      <w:pPr>
        <w:widowControl/>
        <w:adjustRightInd/>
        <w:snapToGrid/>
        <w:ind w:firstLine="480" w:firstLineChars="200"/>
        <w:jc w:val="both"/>
        <w:rPr>
          <w:rFonts w:cs="宋体"/>
          <w:color w:val="auto"/>
          <w:highlight w:val="none"/>
        </w:rPr>
      </w:pPr>
      <w:r>
        <w:rPr>
          <w:rFonts w:hint="eastAsia" w:cs="宋体"/>
          <w:color w:val="auto"/>
          <w:highlight w:val="none"/>
        </w:rPr>
        <w:t>5.验收标准：按磋商文件的质量要求和技术指标、投标人的响应文件及承诺、合同约定进行验收。其他未尽事宜应按照《财政部关于进一步加强政府采购需求和履约验收管理的指导意见》(财库〔2016〕205 号)的要求进行验收。</w:t>
      </w:r>
    </w:p>
    <w:p>
      <w:pPr>
        <w:widowControl/>
        <w:adjustRightInd/>
        <w:snapToGrid/>
        <w:ind w:firstLine="480" w:firstLineChars="200"/>
        <w:jc w:val="both"/>
        <w:rPr>
          <w:rFonts w:cs="宋体"/>
          <w:color w:val="auto"/>
          <w:highlight w:val="none"/>
        </w:rPr>
      </w:pPr>
      <w:r>
        <w:rPr>
          <w:rFonts w:hint="eastAsia" w:cs="宋体"/>
          <w:color w:val="auto"/>
          <w:highlight w:val="none"/>
        </w:rPr>
        <w:t>6.交付标准和方法：每月考核分高于70分(含)视为乙方完成合同履约。</w:t>
      </w:r>
    </w:p>
    <w:p>
      <w:pPr>
        <w:ind w:firstLine="482" w:firstLineChars="200"/>
        <w:jc w:val="both"/>
        <w:rPr>
          <w:rFonts w:cs="宋体"/>
          <w:b/>
          <w:bCs/>
          <w:color w:val="auto"/>
          <w:highlight w:val="none"/>
        </w:rPr>
      </w:pPr>
      <w:r>
        <w:rPr>
          <w:rFonts w:hint="eastAsia" w:cs="宋体"/>
          <w:b/>
          <w:bCs/>
          <w:color w:val="auto"/>
          <w:highlight w:val="none"/>
        </w:rPr>
        <w:t>九、合同的变更和终止</w:t>
      </w:r>
    </w:p>
    <w:p>
      <w:pPr>
        <w:adjustRightInd/>
        <w:snapToGrid/>
        <w:ind w:firstLine="480" w:firstLineChars="200"/>
        <w:jc w:val="both"/>
        <w:rPr>
          <w:rFonts w:cs="宋体"/>
          <w:color w:val="auto"/>
          <w:highlight w:val="none"/>
        </w:rPr>
      </w:pPr>
      <w:r>
        <w:rPr>
          <w:rFonts w:hint="eastAsia" w:cs="宋体"/>
          <w:color w:val="auto"/>
          <w:highlight w:val="none"/>
        </w:rPr>
        <w:t>除《政府采购法》第49条、第50条规定的情形外，本合同一经签订，甲乙双方不得擅自变更、中止或终止合同。 以下情形除外：</w:t>
      </w:r>
    </w:p>
    <w:p>
      <w:pPr>
        <w:ind w:firstLine="480" w:firstLineChars="200"/>
        <w:jc w:val="both"/>
        <w:rPr>
          <w:rFonts w:cs="宋体"/>
          <w:color w:val="auto"/>
          <w:highlight w:val="none"/>
        </w:rPr>
      </w:pPr>
      <w:r>
        <w:rPr>
          <w:rFonts w:hint="eastAsia" w:cs="宋体"/>
          <w:color w:val="auto"/>
          <w:highlight w:val="none"/>
        </w:rPr>
        <w:t>乙方存在下列情形之一的，甲方有权单方解除本合同，明示要求乙方停业：</w:t>
      </w:r>
    </w:p>
    <w:p>
      <w:pPr>
        <w:ind w:firstLine="480" w:firstLineChars="200"/>
        <w:jc w:val="both"/>
        <w:rPr>
          <w:rFonts w:cs="宋体"/>
          <w:color w:val="auto"/>
          <w:highlight w:val="none"/>
        </w:rPr>
      </w:pPr>
      <w:r>
        <w:rPr>
          <w:rFonts w:hint="eastAsia" w:cs="宋体"/>
          <w:color w:val="auto"/>
          <w:highlight w:val="none"/>
        </w:rPr>
        <w:t>1.乙方提供虚假资质材料；</w:t>
      </w:r>
    </w:p>
    <w:p>
      <w:pPr>
        <w:ind w:firstLine="480" w:firstLineChars="200"/>
        <w:jc w:val="both"/>
        <w:rPr>
          <w:rFonts w:cs="宋体"/>
          <w:color w:val="auto"/>
          <w:highlight w:val="none"/>
        </w:rPr>
      </w:pPr>
      <w:r>
        <w:rPr>
          <w:rFonts w:hint="eastAsia" w:cs="宋体"/>
          <w:color w:val="auto"/>
          <w:highlight w:val="none"/>
        </w:rPr>
        <w:t>2.乙方受到相关行政部门的查处；</w:t>
      </w:r>
    </w:p>
    <w:p>
      <w:pPr>
        <w:ind w:firstLine="480" w:firstLineChars="200"/>
        <w:jc w:val="both"/>
        <w:rPr>
          <w:rFonts w:cs="宋体"/>
          <w:color w:val="auto"/>
          <w:highlight w:val="none"/>
        </w:rPr>
      </w:pPr>
      <w:r>
        <w:rPr>
          <w:rFonts w:hint="eastAsia" w:cs="宋体"/>
          <w:color w:val="auto"/>
          <w:highlight w:val="none"/>
        </w:rPr>
        <w:t>3.经营期间发生医疗事故的；</w:t>
      </w:r>
    </w:p>
    <w:p>
      <w:pPr>
        <w:ind w:firstLine="480" w:firstLineChars="200"/>
        <w:jc w:val="both"/>
        <w:rPr>
          <w:rFonts w:cs="宋体"/>
          <w:color w:val="auto"/>
          <w:highlight w:val="none"/>
        </w:rPr>
      </w:pPr>
      <w:r>
        <w:rPr>
          <w:rFonts w:hint="eastAsia" w:cs="宋体"/>
          <w:color w:val="auto"/>
          <w:highlight w:val="none"/>
        </w:rPr>
        <w:t>4.乙方将服务事项擅自进行转让；</w:t>
      </w:r>
    </w:p>
    <w:p>
      <w:pPr>
        <w:ind w:firstLine="480" w:firstLineChars="200"/>
        <w:jc w:val="both"/>
        <w:rPr>
          <w:rFonts w:cs="宋体"/>
          <w:color w:val="auto"/>
          <w:highlight w:val="none"/>
        </w:rPr>
      </w:pPr>
      <w:r>
        <w:rPr>
          <w:rFonts w:hint="eastAsia" w:cs="宋体"/>
          <w:color w:val="auto"/>
          <w:highlight w:val="none"/>
        </w:rPr>
        <w:t>5.因甲方或学校的政策原因导致本合同无法继续履行的；</w:t>
      </w:r>
    </w:p>
    <w:p>
      <w:pPr>
        <w:ind w:firstLine="480" w:firstLineChars="200"/>
        <w:jc w:val="both"/>
        <w:rPr>
          <w:rFonts w:cs="宋体"/>
          <w:color w:val="auto"/>
          <w:highlight w:val="none"/>
        </w:rPr>
      </w:pPr>
      <w:r>
        <w:rPr>
          <w:rFonts w:hint="eastAsia" w:cs="宋体"/>
          <w:color w:val="auto"/>
          <w:highlight w:val="none"/>
        </w:rPr>
        <w:t>6.乙方提供的服务经甲方考核不合格的；</w:t>
      </w:r>
    </w:p>
    <w:p>
      <w:pPr>
        <w:ind w:firstLine="480" w:firstLineChars="200"/>
        <w:jc w:val="both"/>
        <w:rPr>
          <w:rFonts w:cs="宋体"/>
          <w:color w:val="auto"/>
          <w:highlight w:val="none"/>
        </w:rPr>
      </w:pPr>
      <w:r>
        <w:rPr>
          <w:rFonts w:hint="eastAsia" w:cs="宋体"/>
          <w:color w:val="auto"/>
          <w:highlight w:val="none"/>
        </w:rPr>
        <w:t>7.乙方被列入失信人名单、被吊销或注销营业执照以及因经营不善而破产的；</w:t>
      </w:r>
    </w:p>
    <w:p>
      <w:pPr>
        <w:pStyle w:val="37"/>
        <w:spacing w:line="440" w:lineRule="exact"/>
        <w:ind w:firstLine="480" w:firstLineChars="200"/>
        <w:rPr>
          <w:color w:val="auto"/>
          <w:kern w:val="2"/>
          <w:highlight w:val="none"/>
        </w:rPr>
      </w:pPr>
      <w:r>
        <w:rPr>
          <w:rFonts w:hint="eastAsia"/>
          <w:color w:val="auto"/>
          <w:kern w:val="2"/>
          <w:highlight w:val="none"/>
        </w:rPr>
        <w:t>8.法律法规和本合同约定的可以解除合同的其他情形。</w:t>
      </w:r>
    </w:p>
    <w:p>
      <w:pPr>
        <w:adjustRightInd/>
        <w:snapToGrid/>
        <w:ind w:firstLine="482" w:firstLineChars="200"/>
        <w:jc w:val="both"/>
        <w:rPr>
          <w:rFonts w:cs="宋体"/>
          <w:b/>
          <w:bCs/>
          <w:color w:val="auto"/>
          <w:highlight w:val="none"/>
        </w:rPr>
      </w:pPr>
      <w:r>
        <w:rPr>
          <w:rFonts w:hint="eastAsia" w:cs="宋体"/>
          <w:b/>
          <w:bCs/>
          <w:color w:val="auto"/>
          <w:highlight w:val="none"/>
        </w:rPr>
        <w:t>十、合同的分包和转让</w:t>
      </w:r>
    </w:p>
    <w:p>
      <w:pPr>
        <w:pStyle w:val="37"/>
        <w:adjustRightInd/>
        <w:spacing w:line="440" w:lineRule="exact"/>
        <w:ind w:firstLine="480" w:firstLineChars="200"/>
        <w:jc w:val="both"/>
        <w:rPr>
          <w:color w:val="auto"/>
          <w:kern w:val="2"/>
          <w:highlight w:val="none"/>
        </w:rPr>
      </w:pPr>
      <w:r>
        <w:rPr>
          <w:rFonts w:hint="eastAsia"/>
          <w:color w:val="auto"/>
          <w:kern w:val="2"/>
          <w:highlight w:val="none"/>
        </w:rPr>
        <w:t>1.乙方不得擅自部分或全部转让其应履行的合同义务。</w:t>
      </w:r>
    </w:p>
    <w:p>
      <w:pPr>
        <w:adjustRightInd/>
        <w:snapToGrid/>
        <w:ind w:firstLine="480" w:firstLineChars="200"/>
        <w:jc w:val="both"/>
        <w:rPr>
          <w:rFonts w:cs="宋体"/>
          <w:color w:val="auto"/>
          <w:highlight w:val="none"/>
        </w:rPr>
      </w:pPr>
      <w:r>
        <w:rPr>
          <w:rFonts w:hint="eastAsia" w:cs="宋体"/>
          <w:color w:val="auto"/>
          <w:highlight w:val="none"/>
        </w:rPr>
        <w:t>2.乙方不得分包。</w:t>
      </w:r>
    </w:p>
    <w:p>
      <w:pPr>
        <w:adjustRightInd/>
        <w:snapToGrid/>
        <w:ind w:firstLine="482" w:firstLineChars="200"/>
        <w:jc w:val="both"/>
        <w:rPr>
          <w:rFonts w:cs="宋体"/>
          <w:b/>
          <w:bCs/>
          <w:color w:val="auto"/>
          <w:highlight w:val="none"/>
        </w:rPr>
      </w:pPr>
      <w:r>
        <w:rPr>
          <w:rFonts w:hint="eastAsia" w:cs="宋体"/>
          <w:b/>
          <w:bCs/>
          <w:color w:val="auto"/>
          <w:highlight w:val="none"/>
        </w:rPr>
        <w:t>十一、解决争议的方法</w:t>
      </w:r>
    </w:p>
    <w:p>
      <w:pPr>
        <w:adjustRightInd/>
        <w:snapToGrid/>
        <w:ind w:firstLine="480" w:firstLineChars="200"/>
        <w:jc w:val="both"/>
        <w:rPr>
          <w:rFonts w:cs="宋体"/>
          <w:color w:val="auto"/>
          <w:highlight w:val="none"/>
        </w:rPr>
      </w:pPr>
      <w:r>
        <w:rPr>
          <w:rFonts w:hint="eastAsia" w:cs="宋体"/>
          <w:color w:val="auto"/>
          <w:highlight w:val="none"/>
        </w:rPr>
        <w:t>1.履约期间,若双方发生争议，双方应通过友好协商解决，经协商不能达成协议时，应向甲方所在地人民法院提起诉讼。在诉讼期间，除正在进行诉讼的部分外，合同其他部分继续执行。</w:t>
      </w:r>
    </w:p>
    <w:p>
      <w:pPr>
        <w:adjustRightInd/>
        <w:snapToGrid/>
        <w:ind w:firstLine="480" w:firstLineChars="200"/>
        <w:jc w:val="both"/>
        <w:rPr>
          <w:rFonts w:cs="宋体"/>
          <w:color w:val="auto"/>
          <w:highlight w:val="none"/>
        </w:rPr>
      </w:pPr>
      <w:r>
        <w:rPr>
          <w:rFonts w:hint="eastAsia" w:cs="宋体"/>
          <w:color w:val="auto"/>
          <w:highlight w:val="none"/>
        </w:rPr>
        <w:t>2.除判决另有规定外，一切涉诉合理费用均由违约方承担。</w:t>
      </w:r>
    </w:p>
    <w:p>
      <w:pPr>
        <w:adjustRightInd/>
        <w:snapToGrid/>
        <w:ind w:firstLine="482" w:firstLineChars="200"/>
        <w:jc w:val="both"/>
        <w:rPr>
          <w:rFonts w:cs="宋体"/>
          <w:b/>
          <w:bCs/>
          <w:color w:val="auto"/>
          <w:highlight w:val="none"/>
        </w:rPr>
      </w:pPr>
      <w:r>
        <w:rPr>
          <w:rFonts w:hint="eastAsia" w:cs="宋体"/>
          <w:b/>
          <w:bCs/>
          <w:color w:val="auto"/>
          <w:highlight w:val="none"/>
        </w:rPr>
        <w:t>十二、违约责任</w:t>
      </w:r>
    </w:p>
    <w:p>
      <w:pPr>
        <w:tabs>
          <w:tab w:val="left" w:pos="1890"/>
          <w:tab w:val="clear" w:pos="0"/>
        </w:tabs>
        <w:adjustRightInd/>
        <w:snapToGrid/>
        <w:ind w:firstLine="480" w:firstLineChars="200"/>
        <w:jc w:val="both"/>
        <w:rPr>
          <w:rFonts w:cs="宋体"/>
          <w:color w:val="auto"/>
          <w:highlight w:val="none"/>
        </w:rPr>
      </w:pPr>
      <w:r>
        <w:rPr>
          <w:rFonts w:hint="eastAsia" w:cs="宋体"/>
          <w:color w:val="auto"/>
          <w:highlight w:val="none"/>
        </w:rPr>
        <w:t>1.甲方违约责任</w:t>
      </w:r>
    </w:p>
    <w:p>
      <w:pPr>
        <w:adjustRightInd/>
        <w:snapToGrid/>
        <w:ind w:firstLine="480" w:firstLineChars="200"/>
        <w:jc w:val="both"/>
        <w:rPr>
          <w:rFonts w:cs="宋体"/>
          <w:color w:val="auto"/>
          <w:highlight w:val="none"/>
        </w:rPr>
      </w:pPr>
      <w:r>
        <w:rPr>
          <w:rFonts w:hint="eastAsia" w:cs="宋体"/>
          <w:color w:val="auto"/>
          <w:highlight w:val="none"/>
        </w:rPr>
        <w:t>甲方故意逾期支付服务费的，除应及时付足服务费外，应按欠款总额万分之五/天的标准向乙方支付违约金。逾期付款超过30日历天的，乙方有权终止合同，但非甲方原因导致付款超过30日历天的，乙方不得终止合同(说明：如因当年年终财政关闭支付系统导致甲方在合同履行期间无法支付，则甲方不承担逾期支付责任，待来年财政支付系统开通后立即支付)。</w:t>
      </w:r>
    </w:p>
    <w:p>
      <w:pPr>
        <w:adjustRightInd/>
        <w:snapToGrid/>
        <w:ind w:firstLine="480" w:firstLineChars="200"/>
        <w:jc w:val="both"/>
        <w:rPr>
          <w:rFonts w:cs="宋体"/>
          <w:color w:val="auto"/>
          <w:highlight w:val="none"/>
        </w:rPr>
      </w:pPr>
      <w:r>
        <w:rPr>
          <w:rFonts w:hint="eastAsia" w:cs="宋体"/>
          <w:color w:val="auto"/>
          <w:highlight w:val="none"/>
        </w:rPr>
        <w:t>2.乙方违约责任</w:t>
      </w:r>
    </w:p>
    <w:p>
      <w:pPr>
        <w:adjustRightInd/>
        <w:snapToGrid/>
        <w:ind w:firstLine="480" w:firstLineChars="200"/>
        <w:jc w:val="both"/>
        <w:rPr>
          <w:rFonts w:cs="宋体"/>
          <w:color w:val="auto"/>
          <w:highlight w:val="none"/>
        </w:rPr>
      </w:pPr>
      <w:r>
        <w:rPr>
          <w:rFonts w:hint="eastAsia" w:cs="宋体"/>
          <w:color w:val="auto"/>
          <w:highlight w:val="none"/>
        </w:rPr>
        <w:t>2.1乙方提供的服务不符合磋商文件和响应文件规定的，乙方应在磋商文件规定的时间(涉及到就诊和人员问题的在1日内整改，涉及到医疗或其他物资方面的在3日内整改)内完成整改，整改不到位，甲方有权终止合同并要求乙方按合同总金额的百分之二十支付违约金和赔偿因此给甲方造成的全部损失，并且甲方不予退还乙方履约保证金。</w:t>
      </w:r>
    </w:p>
    <w:p>
      <w:pPr>
        <w:adjustRightInd/>
        <w:snapToGrid/>
        <w:ind w:firstLine="480" w:firstLineChars="200"/>
        <w:jc w:val="both"/>
        <w:rPr>
          <w:rFonts w:cs="宋体"/>
          <w:color w:val="auto"/>
          <w:highlight w:val="none"/>
        </w:rPr>
      </w:pPr>
      <w:r>
        <w:rPr>
          <w:rFonts w:hint="eastAsia" w:cs="宋体"/>
          <w:color w:val="auto"/>
          <w:highlight w:val="none"/>
        </w:rPr>
        <w:t>2.2单次考核得分低于70分(不含)或出现医疗事故(有医疗事故管理部门认定书)的，甲方有权终止合同并要求乙方按合同总金额的百分之二十支付违约金和赔偿因此给甲方造成的全部损失，并且甲方不予退还乙方履约保证金，同时医疗事故责任由乙方承担。</w:t>
      </w:r>
    </w:p>
    <w:p>
      <w:pPr>
        <w:adjustRightInd/>
        <w:snapToGrid/>
        <w:ind w:firstLine="480" w:firstLineChars="200"/>
        <w:jc w:val="both"/>
        <w:rPr>
          <w:rFonts w:cs="宋体"/>
          <w:color w:val="auto"/>
          <w:highlight w:val="none"/>
        </w:rPr>
      </w:pPr>
      <w:r>
        <w:rPr>
          <w:rFonts w:hint="eastAsia" w:cs="宋体"/>
          <w:color w:val="auto"/>
          <w:highlight w:val="none"/>
        </w:rPr>
        <w:t>2.3若乙方提供虚假、作废发票或违反国家法律、法规开具或提供发票的，乙方自行承担全部法律责任，同时乙方还应按成交金额的百分之二十向甲方支付违约金。</w:t>
      </w:r>
    </w:p>
    <w:p>
      <w:pPr>
        <w:ind w:firstLine="480" w:firstLineChars="200"/>
        <w:jc w:val="both"/>
        <w:rPr>
          <w:rFonts w:cs="宋体"/>
          <w:color w:val="auto"/>
          <w:highlight w:val="none"/>
        </w:rPr>
      </w:pPr>
      <w:r>
        <w:rPr>
          <w:rFonts w:hint="eastAsia" w:cs="宋体"/>
          <w:color w:val="auto"/>
          <w:highlight w:val="none"/>
        </w:rPr>
        <w:t>2.4若乙方需要支付违约金，甲方有权从未付的服务费中进行扣除；如果乙方偿付的违约金不足以弥补甲方损失的，还应按甲方损失尚未弥补的部分，支付赔偿金给甲方。</w:t>
      </w:r>
    </w:p>
    <w:p>
      <w:pPr>
        <w:adjustRightInd/>
        <w:snapToGrid/>
        <w:ind w:firstLine="482" w:firstLineChars="200"/>
        <w:jc w:val="both"/>
        <w:rPr>
          <w:rFonts w:cs="宋体"/>
          <w:color w:val="auto"/>
          <w:highlight w:val="none"/>
        </w:rPr>
      </w:pPr>
      <w:r>
        <w:rPr>
          <w:rFonts w:hint="eastAsia" w:cs="宋体"/>
          <w:b/>
          <w:bCs/>
          <w:color w:val="auto"/>
          <w:highlight w:val="none"/>
        </w:rPr>
        <w:t>十三、组成本合同的有关文件</w:t>
      </w:r>
      <w:r>
        <w:rPr>
          <w:rFonts w:hint="eastAsia" w:cs="宋体"/>
          <w:color w:val="auto"/>
          <w:highlight w:val="none"/>
        </w:rPr>
        <w:t xml:space="preserve"> </w:t>
      </w:r>
    </w:p>
    <w:p>
      <w:pPr>
        <w:adjustRightInd/>
        <w:snapToGrid/>
        <w:ind w:firstLine="480" w:firstLineChars="200"/>
        <w:jc w:val="both"/>
        <w:rPr>
          <w:rFonts w:cs="宋体"/>
          <w:color w:val="auto"/>
          <w:highlight w:val="none"/>
        </w:rPr>
      </w:pPr>
      <w:r>
        <w:rPr>
          <w:rFonts w:hint="eastAsia" w:cs="宋体"/>
          <w:color w:val="auto"/>
          <w:highlight w:val="none"/>
        </w:rPr>
        <w:t>下列关于</w:t>
      </w:r>
      <w:r>
        <w:rPr>
          <w:rFonts w:hint="eastAsia" w:cs="宋体"/>
          <w:color w:val="auto"/>
          <w:highlight w:val="none"/>
          <w:lang w:eastAsia="zh-CN"/>
        </w:rPr>
        <w:t>成都市技师学院(成都工贸职业技术学院)医疗卫生服务采购项目(第二次)</w:t>
      </w:r>
      <w:r>
        <w:rPr>
          <w:rFonts w:hint="eastAsia" w:cs="宋体"/>
          <w:color w:val="auto"/>
          <w:highlight w:val="none"/>
        </w:rPr>
        <w:t>(项目编号：XXXX)的磋商文件、乙方的响应文件或与本次采购活动方式相适应的文件及有关附件是本合同不可分割的组成部分，与本合同具有同等法律效力，这些文件包括但不限于：</w:t>
      </w:r>
    </w:p>
    <w:p>
      <w:pPr>
        <w:adjustRightInd/>
        <w:snapToGrid/>
        <w:ind w:firstLine="480" w:firstLineChars="200"/>
        <w:jc w:val="both"/>
        <w:rPr>
          <w:rFonts w:cs="宋体"/>
          <w:color w:val="auto"/>
          <w:highlight w:val="none"/>
        </w:rPr>
      </w:pPr>
      <w:r>
        <w:rPr>
          <w:rFonts w:hint="eastAsia" w:cs="宋体"/>
          <w:color w:val="auto"/>
          <w:highlight w:val="none"/>
        </w:rPr>
        <w:t>1.甲方的磋商文件；</w:t>
      </w:r>
    </w:p>
    <w:p>
      <w:pPr>
        <w:adjustRightInd/>
        <w:snapToGrid/>
        <w:ind w:firstLine="480" w:firstLineChars="200"/>
        <w:jc w:val="both"/>
        <w:rPr>
          <w:rFonts w:cs="宋体"/>
          <w:color w:val="auto"/>
          <w:highlight w:val="none"/>
        </w:rPr>
      </w:pPr>
      <w:r>
        <w:rPr>
          <w:rFonts w:hint="eastAsia" w:cs="宋体"/>
          <w:color w:val="auto"/>
          <w:highlight w:val="none"/>
        </w:rPr>
        <w:t>2.乙方的响应文件；</w:t>
      </w:r>
    </w:p>
    <w:p>
      <w:pPr>
        <w:adjustRightInd/>
        <w:snapToGrid/>
        <w:ind w:firstLine="480" w:firstLineChars="200"/>
        <w:jc w:val="both"/>
        <w:rPr>
          <w:rFonts w:cs="宋体"/>
          <w:color w:val="auto"/>
          <w:highlight w:val="none"/>
        </w:rPr>
      </w:pPr>
      <w:r>
        <w:rPr>
          <w:rFonts w:hint="eastAsia" w:cs="宋体"/>
          <w:color w:val="auto"/>
          <w:highlight w:val="none"/>
        </w:rPr>
        <w:t>3.成交通知书；</w:t>
      </w:r>
    </w:p>
    <w:p>
      <w:pPr>
        <w:adjustRightInd/>
        <w:snapToGrid/>
        <w:ind w:firstLine="480" w:firstLineChars="200"/>
        <w:jc w:val="both"/>
        <w:rPr>
          <w:rFonts w:cs="宋体"/>
          <w:color w:val="auto"/>
          <w:highlight w:val="none"/>
        </w:rPr>
      </w:pPr>
      <w:r>
        <w:rPr>
          <w:rFonts w:hint="eastAsia" w:cs="宋体"/>
          <w:color w:val="auto"/>
          <w:highlight w:val="none"/>
        </w:rPr>
        <w:t>4.本合同列出的附件。</w:t>
      </w:r>
    </w:p>
    <w:p>
      <w:pPr>
        <w:adjustRightInd/>
        <w:snapToGrid/>
        <w:ind w:firstLine="482" w:firstLineChars="200"/>
        <w:jc w:val="both"/>
        <w:rPr>
          <w:rFonts w:cs="宋体"/>
          <w:b/>
          <w:bCs/>
          <w:color w:val="auto"/>
          <w:highlight w:val="none"/>
        </w:rPr>
      </w:pPr>
      <w:r>
        <w:rPr>
          <w:rFonts w:hint="eastAsia" w:cs="宋体"/>
          <w:b/>
          <w:bCs/>
          <w:color w:val="auto"/>
          <w:highlight w:val="none"/>
        </w:rPr>
        <w:t>十四、其他</w:t>
      </w:r>
    </w:p>
    <w:p>
      <w:pPr>
        <w:adjustRightInd/>
        <w:snapToGrid/>
        <w:ind w:firstLine="480" w:firstLineChars="200"/>
        <w:jc w:val="both"/>
        <w:rPr>
          <w:rFonts w:cs="宋体"/>
          <w:color w:val="auto"/>
          <w:highlight w:val="none"/>
        </w:rPr>
      </w:pPr>
      <w:r>
        <w:rPr>
          <w:rFonts w:hint="eastAsia" w:cs="宋体"/>
          <w:color w:val="auto"/>
          <w:highlight w:val="none"/>
        </w:rPr>
        <w:t>1.乙方制定的医疗卫生服务方案详见乙方响应文件。</w:t>
      </w:r>
    </w:p>
    <w:p>
      <w:pPr>
        <w:adjustRightInd/>
        <w:snapToGrid/>
        <w:ind w:firstLine="480" w:firstLineChars="200"/>
        <w:jc w:val="both"/>
        <w:rPr>
          <w:rFonts w:cs="宋体"/>
          <w:color w:val="auto"/>
          <w:highlight w:val="none"/>
        </w:rPr>
      </w:pPr>
      <w:r>
        <w:rPr>
          <w:rFonts w:hint="eastAsia" w:cs="宋体"/>
          <w:color w:val="auto"/>
          <w:highlight w:val="none"/>
        </w:rPr>
        <w:t>2.本合同自乙方缴纳履约保证金且经双方法定代表人或授权委托代理人签字盖章后于  年  月  日起生效。</w:t>
      </w:r>
    </w:p>
    <w:p>
      <w:pPr>
        <w:adjustRightInd/>
        <w:snapToGrid/>
        <w:ind w:firstLine="480" w:firstLineChars="200"/>
        <w:jc w:val="both"/>
        <w:rPr>
          <w:rFonts w:cs="宋体"/>
          <w:color w:val="auto"/>
          <w:highlight w:val="none"/>
        </w:rPr>
      </w:pPr>
      <w:r>
        <w:rPr>
          <w:rFonts w:hint="eastAsia" w:cs="宋体"/>
          <w:color w:val="auto"/>
          <w:highlight w:val="none"/>
        </w:rPr>
        <w:t>3.如有未尽事宜，由双方依法订立补充合同。</w:t>
      </w:r>
    </w:p>
    <w:p>
      <w:pPr>
        <w:adjustRightInd/>
        <w:snapToGrid/>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4.本合同一式6份，自双方签章之日起生效。甲方4份，乙方2份，具有同等法律效力。</w:t>
      </w:r>
    </w:p>
    <w:p>
      <w:pPr>
        <w:adjustRightInd/>
        <w:snapToGrid/>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5.如本合同与甲方的磋商文件、乙方的响应文件不一致时，以甲方的磋商文件、乙方的响应文件为准。</w:t>
      </w:r>
    </w:p>
    <w:p>
      <w:pPr>
        <w:pStyle w:val="3"/>
        <w:numPr>
          <w:ilvl w:val="255"/>
          <w:numId w:val="0"/>
        </w:numPr>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乙方自成交通知书发出之日起30日内与采购人签订政府采购合同。乙方在签订采购合同时，应向甲方提供截止合同签订之日的行贿犯罪查询记录(包含乙方名称、法定代表人、主要负责人、签订合同的授权代表)，以及授权代表在职和社保证明，未提供的甲方有权拒绝签订采购合同。</w:t>
      </w:r>
    </w:p>
    <w:p>
      <w:pPr>
        <w:pStyle w:val="3"/>
        <w:numPr>
          <w:ilvl w:val="255"/>
          <w:numId w:val="0"/>
        </w:numPr>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7.乙方服务从业人员在服务期间发生伤亡事故，或在服务过程中造成第三人伤亡的，责任由供应商承担。</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8.乙方在项目执行过程中定期及时向甲方通告本项目重大事项及其进度。</w:t>
      </w:r>
    </w:p>
    <w:p>
      <w:pPr>
        <w:pStyle w:val="3"/>
        <w:spacing w:line="440" w:lineRule="exact"/>
        <w:ind w:firstLine="480" w:firstLineChars="200"/>
        <w:rPr>
          <w:rFonts w:ascii="宋体" w:hAnsi="宋体" w:cs="宋体"/>
          <w:b/>
          <w:bCs/>
          <w:color w:val="auto"/>
          <w:sz w:val="24"/>
          <w:szCs w:val="24"/>
          <w:highlight w:val="none"/>
        </w:rPr>
      </w:pPr>
      <w:r>
        <w:rPr>
          <w:rFonts w:hint="eastAsia" w:asciiTheme="minorEastAsia" w:hAnsiTheme="minorEastAsia" w:eastAsiaTheme="minorEastAsia" w:cstheme="minorEastAsia"/>
          <w:color w:val="auto"/>
          <w:sz w:val="24"/>
          <w:szCs w:val="24"/>
          <w:highlight w:val="none"/>
        </w:rPr>
        <w:t>9.接受项目行业管理部门及政府有关部门的指导，接受甲方的监督。</w:t>
      </w:r>
    </w:p>
    <w:p>
      <w:pPr>
        <w:pStyle w:val="3"/>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10.本项目采购过程和合同履行过程中的风险严格按照甲方的风险控制管理要求执行。</w:t>
      </w:r>
    </w:p>
    <w:p>
      <w:pPr>
        <w:adjustRightInd/>
        <w:snapToGrid/>
        <w:ind w:firstLine="480" w:firstLineChars="200"/>
        <w:jc w:val="both"/>
        <w:rPr>
          <w:rFonts w:cs="宋体"/>
          <w:color w:val="auto"/>
          <w:highlight w:val="none"/>
        </w:rPr>
      </w:pPr>
      <w:r>
        <w:rPr>
          <w:rFonts w:hint="eastAsia" w:cs="宋体"/>
          <w:color w:val="auto"/>
          <w:highlight w:val="none"/>
        </w:rPr>
        <w:t>11.本合同应按照中华人民共和国的现行法律进行解释。</w:t>
      </w:r>
    </w:p>
    <w:p>
      <w:pPr>
        <w:adjustRightInd/>
        <w:snapToGrid/>
        <w:ind w:firstLine="482" w:firstLineChars="200"/>
        <w:jc w:val="center"/>
        <w:rPr>
          <w:b/>
          <w:bCs/>
          <w:color w:val="auto"/>
          <w:highlight w:val="none"/>
        </w:rPr>
      </w:pPr>
    </w:p>
    <w:p>
      <w:pPr>
        <w:rPr>
          <w:rFonts w:hint="eastAsia"/>
          <w:b/>
          <w:bCs/>
          <w:color w:val="auto"/>
          <w:highlight w:val="none"/>
        </w:rPr>
      </w:pPr>
      <w:r>
        <w:rPr>
          <w:rFonts w:hint="eastAsia"/>
          <w:b/>
          <w:bCs/>
          <w:color w:val="auto"/>
          <w:highlight w:val="none"/>
        </w:rPr>
        <w:br w:type="page"/>
      </w:r>
    </w:p>
    <w:p>
      <w:pPr>
        <w:adjustRightInd/>
        <w:snapToGrid/>
        <w:jc w:val="center"/>
        <w:rPr>
          <w:rFonts w:hint="eastAsia"/>
          <w:b/>
          <w:bCs/>
          <w:color w:val="auto"/>
          <w:highlight w:val="none"/>
        </w:rPr>
      </w:pPr>
      <w:r>
        <w:rPr>
          <w:rFonts w:hint="eastAsia"/>
          <w:b/>
          <w:bCs/>
          <w:color w:val="auto"/>
          <w:highlight w:val="none"/>
        </w:rPr>
        <w:t>(本页无正文)</w:t>
      </w:r>
    </w:p>
    <w:p>
      <w:pPr>
        <w:bidi w:val="0"/>
        <w:rPr>
          <w:color w:val="auto"/>
          <w:highlight w:val="none"/>
        </w:rPr>
      </w:pPr>
    </w:p>
    <w:tbl>
      <w:tblPr>
        <w:tblStyle w:val="25"/>
        <w:tblW w:w="9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0"/>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9" w:hRule="atLeast"/>
          <w:jc w:val="center"/>
        </w:trPr>
        <w:tc>
          <w:tcPr>
            <w:tcW w:w="4820" w:type="dxa"/>
            <w:vAlign w:val="center"/>
          </w:tcPr>
          <w:p>
            <w:pPr>
              <w:pStyle w:val="30"/>
              <w:rPr>
                <w:color w:val="auto"/>
                <w:highlight w:val="none"/>
              </w:rPr>
            </w:pPr>
            <w:r>
              <w:rPr>
                <w:rFonts w:hint="eastAsia"/>
                <w:color w:val="auto"/>
                <w:highlight w:val="none"/>
              </w:rPr>
              <w:t>甲方：   (盖章)</w:t>
            </w:r>
          </w:p>
        </w:tc>
        <w:tc>
          <w:tcPr>
            <w:tcW w:w="4820" w:type="dxa"/>
            <w:vAlign w:val="center"/>
          </w:tcPr>
          <w:p>
            <w:pPr>
              <w:pStyle w:val="30"/>
              <w:rPr>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4820" w:type="dxa"/>
            <w:vAlign w:val="center"/>
          </w:tcPr>
          <w:p>
            <w:pPr>
              <w:pStyle w:val="30"/>
              <w:rPr>
                <w:color w:val="auto"/>
                <w:highlight w:val="none"/>
              </w:rPr>
            </w:pPr>
            <w:r>
              <w:rPr>
                <w:rFonts w:hint="eastAsia"/>
                <w:color w:val="auto"/>
                <w:highlight w:val="none"/>
              </w:rPr>
              <w:t>法定代表人(被授权人)：</w:t>
            </w:r>
          </w:p>
        </w:tc>
        <w:tc>
          <w:tcPr>
            <w:tcW w:w="4820" w:type="dxa"/>
            <w:vAlign w:val="center"/>
          </w:tcPr>
          <w:p>
            <w:pPr>
              <w:pStyle w:val="30"/>
              <w:rPr>
                <w:color w:val="auto"/>
                <w:highlight w:val="none"/>
              </w:rPr>
            </w:pPr>
            <w:r>
              <w:rPr>
                <w:rFonts w:hint="eastAsia"/>
                <w:color w:val="auto"/>
                <w:highlight w:val="none"/>
              </w:rPr>
              <w:t>法定代表人(被授权人)：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4820" w:type="dxa"/>
            <w:vAlign w:val="center"/>
          </w:tcPr>
          <w:p>
            <w:pPr>
              <w:pStyle w:val="30"/>
              <w:rPr>
                <w:color w:val="auto"/>
                <w:highlight w:val="none"/>
              </w:rPr>
            </w:pPr>
            <w:r>
              <w:rPr>
                <w:rFonts w:hint="eastAsia"/>
                <w:color w:val="auto"/>
                <w:highlight w:val="none"/>
              </w:rPr>
              <w:t>地址(住所)：</w:t>
            </w:r>
          </w:p>
        </w:tc>
        <w:tc>
          <w:tcPr>
            <w:tcW w:w="4820" w:type="dxa"/>
            <w:vAlign w:val="center"/>
          </w:tcPr>
          <w:p>
            <w:pPr>
              <w:pStyle w:val="30"/>
              <w:rPr>
                <w:color w:val="auto"/>
                <w:highlight w:val="none"/>
              </w:rPr>
            </w:pPr>
            <w:r>
              <w:rPr>
                <w:rFonts w:hint="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4820" w:type="dxa"/>
            <w:vAlign w:val="center"/>
          </w:tcPr>
          <w:p>
            <w:pPr>
              <w:pStyle w:val="30"/>
              <w:rPr>
                <w:color w:val="auto"/>
                <w:highlight w:val="none"/>
              </w:rPr>
            </w:pPr>
            <w:r>
              <w:rPr>
                <w:rFonts w:hint="eastAsia"/>
                <w:color w:val="auto"/>
                <w:highlight w:val="none"/>
              </w:rPr>
              <w:t>开户银行：</w:t>
            </w:r>
          </w:p>
        </w:tc>
        <w:tc>
          <w:tcPr>
            <w:tcW w:w="4820" w:type="dxa"/>
            <w:vAlign w:val="center"/>
          </w:tcPr>
          <w:p>
            <w:pPr>
              <w:pStyle w:val="30"/>
              <w:rPr>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4820" w:type="dxa"/>
            <w:vAlign w:val="center"/>
          </w:tcPr>
          <w:p>
            <w:pPr>
              <w:pStyle w:val="30"/>
              <w:rPr>
                <w:color w:val="auto"/>
                <w:highlight w:val="none"/>
              </w:rPr>
            </w:pPr>
            <w:r>
              <w:rPr>
                <w:rFonts w:hint="eastAsia"/>
                <w:color w:val="auto"/>
                <w:highlight w:val="none"/>
              </w:rPr>
              <w:t>账号：</w:t>
            </w:r>
          </w:p>
        </w:tc>
        <w:tc>
          <w:tcPr>
            <w:tcW w:w="4820" w:type="dxa"/>
            <w:vAlign w:val="center"/>
          </w:tcPr>
          <w:p>
            <w:pPr>
              <w:pStyle w:val="30"/>
              <w:rPr>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9" w:hRule="atLeast"/>
          <w:jc w:val="center"/>
        </w:trPr>
        <w:tc>
          <w:tcPr>
            <w:tcW w:w="4820" w:type="dxa"/>
            <w:vAlign w:val="center"/>
          </w:tcPr>
          <w:p>
            <w:pPr>
              <w:pStyle w:val="30"/>
              <w:rPr>
                <w:color w:val="auto"/>
                <w:highlight w:val="none"/>
              </w:rPr>
            </w:pPr>
            <w:r>
              <w:rPr>
                <w:rFonts w:hint="eastAsia"/>
                <w:color w:val="auto"/>
                <w:highlight w:val="none"/>
              </w:rPr>
              <w:t xml:space="preserve">电话： </w:t>
            </w:r>
          </w:p>
        </w:tc>
        <w:tc>
          <w:tcPr>
            <w:tcW w:w="4820" w:type="dxa"/>
            <w:vAlign w:val="center"/>
          </w:tcPr>
          <w:p>
            <w:pPr>
              <w:pStyle w:val="30"/>
              <w:rPr>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3" w:hRule="atLeast"/>
          <w:jc w:val="center"/>
        </w:trPr>
        <w:tc>
          <w:tcPr>
            <w:tcW w:w="4820" w:type="dxa"/>
            <w:vAlign w:val="center"/>
          </w:tcPr>
          <w:p>
            <w:pPr>
              <w:pStyle w:val="30"/>
              <w:rPr>
                <w:color w:val="auto"/>
                <w:highlight w:val="none"/>
              </w:rPr>
            </w:pPr>
            <w:r>
              <w:rPr>
                <w:rFonts w:hint="eastAsia"/>
                <w:color w:val="auto"/>
                <w:highlight w:val="none"/>
              </w:rPr>
              <w:t>传真：</w:t>
            </w:r>
          </w:p>
        </w:tc>
        <w:tc>
          <w:tcPr>
            <w:tcW w:w="4820" w:type="dxa"/>
            <w:vAlign w:val="center"/>
          </w:tcPr>
          <w:p>
            <w:pPr>
              <w:pStyle w:val="30"/>
              <w:rPr>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4820" w:type="dxa"/>
            <w:vAlign w:val="center"/>
          </w:tcPr>
          <w:p>
            <w:pPr>
              <w:pStyle w:val="30"/>
              <w:rPr>
                <w:color w:val="auto"/>
                <w:highlight w:val="none"/>
              </w:rPr>
            </w:pPr>
            <w:r>
              <w:rPr>
                <w:rFonts w:hint="eastAsia"/>
                <w:color w:val="auto"/>
                <w:highlight w:val="none"/>
              </w:rPr>
              <w:t>签约日期：XX年XX月XX日</w:t>
            </w:r>
          </w:p>
        </w:tc>
        <w:tc>
          <w:tcPr>
            <w:tcW w:w="4820" w:type="dxa"/>
            <w:vAlign w:val="center"/>
          </w:tcPr>
          <w:p>
            <w:pPr>
              <w:pStyle w:val="30"/>
              <w:rPr>
                <w:color w:val="auto"/>
                <w:highlight w:val="none"/>
              </w:rPr>
            </w:pPr>
            <w:r>
              <w:rPr>
                <w:rFonts w:hint="eastAsia"/>
                <w:color w:val="auto"/>
                <w:highlight w:val="none"/>
              </w:rPr>
              <w:t>签约日期：XX年XX月XX日</w:t>
            </w:r>
          </w:p>
        </w:tc>
      </w:tr>
    </w:tbl>
    <w:p>
      <w:pPr>
        <w:pStyle w:val="30"/>
        <w:rPr>
          <w:color w:val="auto"/>
          <w:highlight w:val="none"/>
        </w:rPr>
      </w:pPr>
      <w:r>
        <w:rPr>
          <w:rFonts w:hint="eastAsia"/>
          <w:color w:val="auto"/>
          <w:highlight w:val="none"/>
        </w:rPr>
        <w:br w:type="page"/>
      </w:r>
    </w:p>
    <w:p>
      <w:pPr>
        <w:pStyle w:val="29"/>
        <w:numPr>
          <w:ilvl w:val="0"/>
          <w:numId w:val="23"/>
        </w:numPr>
        <w:spacing w:before="120" w:after="120"/>
        <w:rPr>
          <w:color w:val="auto"/>
          <w:highlight w:val="none"/>
        </w:rPr>
      </w:pPr>
      <w:bookmarkStart w:id="516" w:name="_Toc3649"/>
      <w:bookmarkStart w:id="517" w:name="_Toc28848"/>
      <w:r>
        <w:rPr>
          <w:rFonts w:hint="eastAsia"/>
          <w:color w:val="auto"/>
          <w:highlight w:val="none"/>
        </w:rPr>
        <w:t>附件</w:t>
      </w:r>
      <w:bookmarkEnd w:id="516"/>
      <w:bookmarkEnd w:id="517"/>
    </w:p>
    <w:p>
      <w:pPr>
        <w:pStyle w:val="31"/>
        <w:numPr>
          <w:ilvl w:val="1"/>
          <w:numId w:val="0"/>
        </w:numPr>
        <w:ind w:left="480" w:leftChars="200"/>
        <w:rPr>
          <w:color w:val="auto"/>
          <w:highlight w:val="none"/>
        </w:rPr>
      </w:pPr>
      <w:bookmarkStart w:id="518" w:name="_Toc18539"/>
      <w:bookmarkStart w:id="519" w:name="_Toc23962"/>
      <w:r>
        <w:rPr>
          <w:rFonts w:hint="eastAsia"/>
          <w:color w:val="auto"/>
          <w:highlight w:val="none"/>
        </w:rPr>
        <w:t>附件一：问题的澄清、说明、更正通知</w:t>
      </w:r>
      <w:bookmarkEnd w:id="518"/>
      <w:bookmarkEnd w:id="519"/>
    </w:p>
    <w:p>
      <w:pPr>
        <w:spacing w:line="360" w:lineRule="auto"/>
        <w:ind w:firstLine="482" w:firstLineChars="200"/>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问题的澄清、说明、更正通知</w:t>
      </w:r>
    </w:p>
    <w:p>
      <w:pPr>
        <w:spacing w:line="360" w:lineRule="auto"/>
        <w:ind w:firstLine="482" w:firstLineChars="200"/>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(由磋商小组发出)</w:t>
      </w:r>
    </w:p>
    <w:p>
      <w:pPr>
        <w:spacing w:line="360" w:lineRule="auto"/>
        <w:ind w:firstLine="480" w:firstLineChars="200"/>
        <w:jc w:val="both"/>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highlight w:val="none"/>
        </w:rPr>
        <w:t>编号：</w:t>
      </w:r>
    </w:p>
    <w:p>
      <w:pPr>
        <w:spacing w:line="360" w:lineRule="auto"/>
        <w:ind w:firstLine="480" w:firstLineChars="200"/>
        <w:rPr>
          <w:rFonts w:asciiTheme="minorEastAsia" w:hAnsiTheme="minorEastAsia" w:eastAsiaTheme="minorEastAsia" w:cstheme="minorEastAsia"/>
          <w:color w:val="auto"/>
          <w:highlight w:val="none"/>
          <w:u w:val="single"/>
        </w:rPr>
      </w:pP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(供应商名称)：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(项目名称)竞争性磋商小组，对你方的响应文件进行了仔细的审查，现需你方对下列问题以书面形式予以</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pPr>
        <w:wordWrap w:val="0"/>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请将上述问题的</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时前递交至</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(详细地址)或传真至</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(传真号码)。采用传真方式的，应在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时前将原件递交至</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(详细地址)。</w:t>
      </w:r>
    </w:p>
    <w:p>
      <w:pPr>
        <w:ind w:firstLine="5880" w:firstLineChars="2450"/>
        <w:rPr>
          <w:rFonts w:asciiTheme="minorEastAsia" w:hAnsiTheme="minorEastAsia" w:eastAsiaTheme="minorEastAsia" w:cstheme="minorEastAsia"/>
          <w:color w:val="auto"/>
          <w:highlight w:val="none"/>
        </w:rPr>
      </w:pPr>
    </w:p>
    <w:p>
      <w:pPr>
        <w:ind w:firstLine="5880" w:firstLineChars="2450"/>
        <w:rPr>
          <w:rFonts w:asciiTheme="minorEastAsia" w:hAnsiTheme="minorEastAsia" w:eastAsiaTheme="minorEastAsia" w:cstheme="minorEastAsia"/>
          <w:color w:val="auto"/>
          <w:highlight w:val="none"/>
        </w:rPr>
      </w:pPr>
    </w:p>
    <w:p>
      <w:pPr>
        <w:ind w:firstLine="2160" w:firstLineChars="900"/>
        <w:jc w:val="righ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磋商小组：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(签字)</w:t>
      </w:r>
    </w:p>
    <w:p>
      <w:pPr>
        <w:jc w:val="righ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采购人或采购代理机构：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(盖单位章或负责人签字)</w:t>
      </w:r>
    </w:p>
    <w:p>
      <w:pPr>
        <w:jc w:val="righ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pPr>
        <w:ind w:firstLine="616" w:firstLineChars="257"/>
        <w:rPr>
          <w:rFonts w:asciiTheme="minorEastAsia" w:hAnsiTheme="minorEastAsia" w:eastAsiaTheme="minorEastAsia" w:cstheme="minorEastAsia"/>
          <w:color w:val="auto"/>
          <w:highlight w:val="none"/>
        </w:rPr>
      </w:pPr>
    </w:p>
    <w:p>
      <w:pPr>
        <w:ind w:firstLine="616" w:firstLineChars="257"/>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注：(1)“问题</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通知”由磋商小组拟定书面形式作出，由采购人或采购代理机构代为发出。</w:t>
      </w:r>
    </w:p>
    <w:p>
      <w:pPr>
        <w:ind w:firstLine="616" w:firstLineChars="257"/>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(2)发给供应商的“问题</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通知”，应删除“磋商小组：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(签字)”一栏，以“采购人或采购代理机构：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(盖单位章或负责人签字)”代替。磋商小组签字的“问题</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通知”，应编入评审报告并存档备查。</w:t>
      </w:r>
    </w:p>
    <w:p>
      <w:pPr>
        <w:pStyle w:val="31"/>
        <w:numPr>
          <w:ilvl w:val="1"/>
          <w:numId w:val="0"/>
        </w:numPr>
        <w:ind w:left="480" w:left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u w:val="single"/>
        </w:rPr>
        <w:br w:type="page"/>
      </w:r>
      <w:bookmarkStart w:id="520" w:name="_Toc31095"/>
      <w:bookmarkStart w:id="521" w:name="_Toc27121"/>
      <w:r>
        <w:rPr>
          <w:rFonts w:hint="eastAsia" w:asciiTheme="minorEastAsia" w:hAnsiTheme="minorEastAsia" w:eastAsiaTheme="minorEastAsia" w:cstheme="minorEastAsia"/>
          <w:color w:val="auto"/>
          <w:highlight w:val="none"/>
        </w:rPr>
        <w:t>附件二：问题的澄清、说明、更正</w:t>
      </w:r>
      <w:bookmarkEnd w:id="520"/>
      <w:bookmarkEnd w:id="521"/>
    </w:p>
    <w:p>
      <w:pPr>
        <w:ind w:firstLine="482" w:firstLineChars="200"/>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问题的澄清、说明、更正</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编号：</w:t>
      </w: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(项目名称)竞争性磋商小组：</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问题澄清</w:t>
      </w:r>
      <w:r>
        <w:rPr>
          <w:rFonts w:hint="eastAsia" w:asciiTheme="minorEastAsia" w:hAnsiTheme="minorEastAsia" w:eastAsiaTheme="minorEastAsia" w:cstheme="minorEastAsia"/>
          <w:b/>
          <w:color w:val="auto"/>
          <w:highlight w:val="none"/>
        </w:rPr>
        <w:t>、说明、更正</w:t>
      </w:r>
      <w:r>
        <w:rPr>
          <w:rFonts w:hint="eastAsia" w:asciiTheme="minorEastAsia" w:hAnsiTheme="minorEastAsia" w:eastAsiaTheme="minorEastAsia" w:cstheme="minorEastAsia"/>
          <w:color w:val="auto"/>
          <w:highlight w:val="none"/>
        </w:rPr>
        <w:t>通知(编号：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)已收悉，现</w:t>
      </w:r>
      <w:r>
        <w:rPr>
          <w:rFonts w:hint="eastAsia" w:asciiTheme="minorEastAsia" w:hAnsiTheme="minorEastAsia" w:eastAsiaTheme="minorEastAsia" w:cstheme="minorEastAsia"/>
          <w:b/>
          <w:color w:val="auto"/>
          <w:highlight w:val="none"/>
        </w:rPr>
        <w:t>澄清、说明、更正</w:t>
      </w:r>
      <w:r>
        <w:rPr>
          <w:rFonts w:hint="eastAsia" w:asciiTheme="minorEastAsia" w:hAnsiTheme="minorEastAsia" w:eastAsiaTheme="minorEastAsia" w:cstheme="minorEastAsia"/>
          <w:color w:val="auto"/>
          <w:highlight w:val="none"/>
        </w:rPr>
        <w:t>如下：</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pPr>
        <w:ind w:firstLine="480" w:firstLineChars="200"/>
        <w:rPr>
          <w:rFonts w:asciiTheme="minorEastAsia" w:hAnsiTheme="minorEastAsia" w:eastAsiaTheme="minorEastAsia" w:cstheme="minorEastAsia"/>
          <w:color w:val="auto"/>
          <w:highlight w:val="none"/>
        </w:rPr>
      </w:pPr>
    </w:p>
    <w:p>
      <w:pPr>
        <w:ind w:firstLine="480" w:firstLineChars="200"/>
        <w:rPr>
          <w:rFonts w:asciiTheme="minorEastAsia" w:hAnsiTheme="minorEastAsia" w:eastAsiaTheme="minorEastAsia" w:cstheme="minorEastAsia"/>
          <w:color w:val="auto"/>
          <w:highlight w:val="none"/>
        </w:rPr>
      </w:pPr>
    </w:p>
    <w:p>
      <w:pPr>
        <w:ind w:firstLine="480" w:firstLineChars="200"/>
        <w:rPr>
          <w:rFonts w:asciiTheme="minorEastAsia" w:hAnsiTheme="minorEastAsia" w:eastAsiaTheme="minorEastAsia" w:cstheme="minorEastAsia"/>
          <w:color w:val="auto"/>
          <w:highlight w:val="none"/>
        </w:rPr>
      </w:pPr>
    </w:p>
    <w:p>
      <w:pPr>
        <w:ind w:firstLine="480" w:firstLineChars="200"/>
        <w:rPr>
          <w:rFonts w:asciiTheme="minorEastAsia" w:hAnsiTheme="minorEastAsia" w:eastAsiaTheme="minorEastAsia" w:cstheme="minorEastAsia"/>
          <w:color w:val="auto"/>
          <w:highlight w:val="none"/>
        </w:rPr>
      </w:pPr>
    </w:p>
    <w:p>
      <w:pPr>
        <w:ind w:firstLine="480" w:firstLineChars="200"/>
        <w:rPr>
          <w:rFonts w:asciiTheme="minorEastAsia" w:hAnsiTheme="minorEastAsia" w:eastAsiaTheme="minorEastAsia" w:cstheme="minorEastAsia"/>
          <w:color w:val="auto"/>
          <w:highlight w:val="none"/>
        </w:rPr>
      </w:pPr>
    </w:p>
    <w:p>
      <w:pPr>
        <w:ind w:firstLine="4200" w:firstLineChars="17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法定代表人或其授权代表：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(签字)</w:t>
      </w:r>
    </w:p>
    <w:p>
      <w:pPr>
        <w:ind w:firstLine="5880" w:firstLineChars="2450"/>
        <w:rPr>
          <w:rFonts w:asciiTheme="minorEastAsia" w:hAnsiTheme="minorEastAsia" w:eastAsiaTheme="minorEastAsia" w:cstheme="minorEastAsia"/>
          <w:color w:val="auto"/>
          <w:highlight w:val="none"/>
          <w:u w:val="single"/>
        </w:rPr>
      </w:pPr>
    </w:p>
    <w:p>
      <w:pPr>
        <w:ind w:firstLine="5400" w:firstLineChars="225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pPr>
        <w:rPr>
          <w:rFonts w:asciiTheme="minorEastAsia" w:hAnsiTheme="minorEastAsia" w:eastAsiaTheme="minorEastAsia" w:cstheme="minorEastAsia"/>
          <w:color w:val="auto"/>
          <w:highlight w:val="none"/>
        </w:rPr>
      </w:pPr>
    </w:p>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注：供应商应按本“</w:t>
      </w:r>
      <w:r>
        <w:rPr>
          <w:rFonts w:hint="eastAsia" w:asciiTheme="minorEastAsia" w:hAnsiTheme="minorEastAsia" w:eastAsiaTheme="minorEastAsia" w:cstheme="minorEastAsia"/>
          <w:b/>
          <w:color w:val="auto"/>
          <w:highlight w:val="none"/>
        </w:rPr>
        <w:t>问题的澄清、说明、更正</w:t>
      </w:r>
      <w:r>
        <w:rPr>
          <w:rFonts w:hint="eastAsia" w:asciiTheme="minorEastAsia" w:hAnsiTheme="minorEastAsia" w:eastAsiaTheme="minorEastAsia" w:cstheme="minorEastAsia"/>
          <w:color w:val="auto"/>
          <w:highlight w:val="none"/>
        </w:rPr>
        <w:t>”格式回复。</w:t>
      </w:r>
    </w:p>
    <w:p>
      <w:pPr>
        <w:rPr>
          <w:color w:val="auto"/>
          <w:highlight w:val="none"/>
        </w:rPr>
      </w:pPr>
      <w:r>
        <w:rPr>
          <w:rFonts w:hint="eastAsia"/>
          <w:color w:val="auto"/>
          <w:highlight w:val="none"/>
        </w:rPr>
        <w:br w:type="page"/>
      </w:r>
    </w:p>
    <w:p>
      <w:pPr>
        <w:pStyle w:val="31"/>
        <w:numPr>
          <w:ilvl w:val="1"/>
          <w:numId w:val="0"/>
        </w:numPr>
        <w:ind w:left="480" w:leftChars="200"/>
        <w:rPr>
          <w:color w:val="auto"/>
          <w:highlight w:val="none"/>
        </w:rPr>
      </w:pPr>
      <w:bookmarkStart w:id="522" w:name="_Toc3258"/>
      <w:r>
        <w:rPr>
          <w:rFonts w:hint="eastAsia"/>
          <w:color w:val="auto"/>
          <w:highlight w:val="none"/>
        </w:rPr>
        <w:t>附件三：2022年度信用评价服务效果调查表</w:t>
      </w:r>
      <w:bookmarkEnd w:id="522"/>
    </w:p>
    <w:p>
      <w:pPr>
        <w:pStyle w:val="30"/>
        <w:spacing w:before="240" w:beforeLines="100" w:after="240" w:afterLines="100"/>
        <w:jc w:val="center"/>
        <w:rPr>
          <w:b/>
          <w:bCs/>
          <w:color w:val="auto"/>
          <w:sz w:val="36"/>
          <w:szCs w:val="36"/>
          <w:highlight w:val="none"/>
        </w:rPr>
      </w:pPr>
      <w:r>
        <w:rPr>
          <w:rFonts w:hint="eastAsia"/>
          <w:b/>
          <w:bCs/>
          <w:color w:val="auto"/>
          <w:sz w:val="36"/>
          <w:szCs w:val="36"/>
          <w:highlight w:val="none"/>
        </w:rPr>
        <w:t>2022年度信用评价服务效果调查表(供应商)</w:t>
      </w:r>
    </w:p>
    <w:p>
      <w:pPr>
        <w:pStyle w:val="30"/>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30"/>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30"/>
        <w:rPr>
          <w:color w:val="auto"/>
          <w:highlight w:val="none"/>
        </w:rPr>
      </w:pPr>
      <w:r>
        <w:rPr>
          <w:rFonts w:hint="eastAsia"/>
          <w:color w:val="auto"/>
          <w:highlight w:val="none"/>
        </w:rPr>
        <w:t>被评价代理机构名称：四川乾新招投标代理有限公司</w:t>
      </w:r>
    </w:p>
    <w:tbl>
      <w:tblPr>
        <w:tblStyle w:val="24"/>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满意</w:t>
            </w:r>
          </w:p>
          <w:p>
            <w:pPr>
              <w:pStyle w:val="51"/>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 xml:space="preserve">基本满意 </w:t>
            </w:r>
          </w:p>
          <w:p>
            <w:pPr>
              <w:pStyle w:val="51"/>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 xml:space="preserve">一般 </w:t>
            </w:r>
          </w:p>
          <w:p>
            <w:pPr>
              <w:pStyle w:val="51"/>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不满意</w:t>
            </w:r>
          </w:p>
          <w:p>
            <w:pPr>
              <w:pStyle w:val="51"/>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1"/>
              <w:rPr>
                <w:b/>
                <w:bCs/>
                <w:color w:val="auto"/>
                <w:highlight w:val="none"/>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9"/>
              <w:rPr>
                <w:b/>
                <w:bCs/>
                <w:color w:val="auto"/>
                <w:highlight w:val="none"/>
              </w:rPr>
            </w:pPr>
            <w:r>
              <w:rPr>
                <w:rFonts w:hint="eastAsia"/>
                <w:b/>
                <w:bCs/>
                <w:color w:val="auto"/>
                <w:highlight w:val="none"/>
              </w:rPr>
              <w:t>对代理机构工作的其他建议：</w:t>
            </w:r>
          </w:p>
        </w:tc>
      </w:tr>
      <w:tr>
        <w:tblPrEx>
          <w:tblCellMar>
            <w:top w:w="15" w:type="dxa"/>
            <w:left w:w="15" w:type="dxa"/>
            <w:bottom w:w="15" w:type="dxa"/>
            <w:right w:w="15" w:type="dxa"/>
          </w:tblCellMar>
        </w:tblPrEx>
        <w:trPr>
          <w:trHeight w:val="39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ind w:firstLine="4638" w:firstLineChars="2200"/>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w:t>
            </w:r>
            <w:r>
              <w:rPr>
                <w:rFonts w:hint="eastAsia"/>
                <w:b/>
                <w:bCs/>
                <w:color w:val="auto"/>
                <w:highlight w:val="none"/>
                <w:lang w:val="en-US" w:eastAsia="zh-CN"/>
              </w:rPr>
              <w:t>公</w:t>
            </w:r>
            <w:r>
              <w:rPr>
                <w:rFonts w:hint="eastAsia"/>
                <w:b/>
                <w:bCs/>
                <w:color w:val="auto"/>
                <w:highlight w:val="none"/>
              </w:rPr>
              <w:t>章)</w:t>
            </w:r>
          </w:p>
        </w:tc>
      </w:tr>
    </w:tbl>
    <w:p>
      <w:pPr>
        <w:pStyle w:val="52"/>
        <w:ind w:firstLine="482"/>
        <w:rPr>
          <w:color w:val="auto"/>
          <w:highlight w:val="none"/>
        </w:rPr>
      </w:pPr>
      <w:r>
        <w:rPr>
          <w:rFonts w:hint="eastAsia"/>
          <w:color w:val="auto"/>
          <w:highlight w:val="none"/>
        </w:rPr>
        <w:t>说明：请贵公司根据政府采购代理机构2022年度政府采购项目的实际情况，在“满意”、“基本满意”、“一般”、“不满意”四个评价档次栏中选取一栏打“√”，并加盖鲜章。</w:t>
      </w:r>
    </w:p>
    <w:p>
      <w:pPr>
        <w:rPr>
          <w:color w:val="auto"/>
          <w:highlight w:val="none"/>
        </w:rPr>
      </w:pPr>
      <w:r>
        <w:rPr>
          <w:rFonts w:hint="eastAsia"/>
          <w:color w:val="auto"/>
          <w:highlight w:val="none"/>
        </w:rPr>
        <w:br w:type="page"/>
      </w:r>
    </w:p>
    <w:p>
      <w:pPr>
        <w:pStyle w:val="31"/>
        <w:numPr>
          <w:ilvl w:val="1"/>
          <w:numId w:val="0"/>
        </w:numPr>
        <w:ind w:firstLine="482" w:firstLineChars="200"/>
        <w:rPr>
          <w:rFonts w:asciiTheme="minorEastAsia" w:hAnsiTheme="minorEastAsia" w:eastAsiaTheme="minorEastAsia" w:cstheme="minorEastAsia"/>
          <w:color w:val="auto"/>
          <w:highlight w:val="none"/>
        </w:rPr>
      </w:pPr>
      <w:bookmarkStart w:id="523" w:name="_Toc26663"/>
      <w:r>
        <w:rPr>
          <w:rFonts w:hint="eastAsia" w:asciiTheme="minorEastAsia" w:hAnsiTheme="minorEastAsia" w:eastAsiaTheme="minorEastAsia" w:cstheme="minorEastAsia"/>
          <w:color w:val="auto"/>
          <w:highlight w:val="none"/>
        </w:rPr>
        <w:t>附件四：统计上大中小微型企业划分标准</w:t>
      </w:r>
      <w:bookmarkEnd w:id="523"/>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exact"/>
              <w:jc w:val="center"/>
              <w:rPr>
                <w:rFonts w:cs="宋体"/>
                <w:b/>
                <w:bCs/>
                <w:color w:val="auto"/>
                <w:kern w:val="0"/>
                <w:sz w:val="15"/>
                <w:szCs w:val="15"/>
                <w:highlight w:val="none"/>
              </w:rPr>
            </w:pPr>
            <w:r>
              <w:rPr>
                <w:rFonts w:hint="eastAsia" w:cs="宋体"/>
                <w:b/>
                <w:bCs/>
                <w:color w:val="auto"/>
                <w:kern w:val="0"/>
                <w:sz w:val="15"/>
                <w:szCs w:val="15"/>
                <w:highlight w:val="none"/>
              </w:rPr>
              <w:t>行业名称</w:t>
            </w:r>
          </w:p>
        </w:tc>
        <w:tc>
          <w:tcPr>
            <w:tcW w:w="72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指标名称</w:t>
            </w:r>
          </w:p>
        </w:tc>
        <w:tc>
          <w:tcPr>
            <w:tcW w:w="37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计量</w:t>
            </w:r>
          </w:p>
          <w:p>
            <w:pPr>
              <w:widowControl/>
              <w:jc w:val="center"/>
              <w:rPr>
                <w:rFonts w:cs="宋体"/>
                <w:b/>
                <w:bCs/>
                <w:color w:val="auto"/>
                <w:kern w:val="0"/>
                <w:sz w:val="15"/>
                <w:szCs w:val="15"/>
                <w:highlight w:val="none"/>
              </w:rPr>
            </w:pPr>
            <w:r>
              <w:rPr>
                <w:rFonts w:hint="eastAsia" w:cs="宋体"/>
                <w:b/>
                <w:bCs/>
                <w:color w:val="auto"/>
                <w:kern w:val="0"/>
                <w:sz w:val="15"/>
                <w:szCs w:val="15"/>
                <w:highlight w:val="none"/>
              </w:rPr>
              <w:t>单位</w:t>
            </w:r>
          </w:p>
        </w:tc>
        <w:tc>
          <w:tcPr>
            <w:tcW w:w="59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大型</w:t>
            </w:r>
          </w:p>
        </w:tc>
        <w:tc>
          <w:tcPr>
            <w:tcW w:w="901"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中型</w:t>
            </w:r>
          </w:p>
        </w:tc>
        <w:tc>
          <w:tcPr>
            <w:tcW w:w="75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小型</w:t>
            </w:r>
          </w:p>
        </w:tc>
        <w:tc>
          <w:tcPr>
            <w:tcW w:w="52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农、林、牧、渔业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50≤Y＜500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工业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2000≤Y＜40000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建筑业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Y≥80000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6000≤Y＜80000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300≤Y＜6000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Z≥80000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5000≤Z＜80000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300≤Z＜5000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批发业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20≤X＜200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5≤X＜20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5000≤Y＜40000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1000≤Y＜5000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零售业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50≤X＜300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10≤X＜50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100≤Y＜500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交通运输业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200≤Y＜3000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仓储业*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100≤X＜200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邮政业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住宿业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餐饮业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信息传输业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100≤X＜2000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1000≤Y＜100000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1120" w:type="pct"/>
            <w:vMerge w:val="restart"/>
            <w:vAlign w:val="center"/>
          </w:tcPr>
          <w:p>
            <w:pPr>
              <w:widowControl/>
              <w:spacing w:line="240" w:lineRule="exact"/>
              <w:rPr>
                <w:rFonts w:cs="宋体"/>
                <w:color w:val="auto"/>
                <w:spacing w:val="-12"/>
                <w:kern w:val="0"/>
                <w:sz w:val="15"/>
                <w:szCs w:val="15"/>
                <w:highlight w:val="none"/>
              </w:rPr>
            </w:pPr>
            <w:r>
              <w:rPr>
                <w:rFonts w:hint="eastAsia" w:cs="宋体"/>
                <w:color w:val="auto"/>
                <w:spacing w:val="-12"/>
                <w:kern w:val="0"/>
                <w:sz w:val="15"/>
                <w:szCs w:val="15"/>
                <w:highlight w:val="none"/>
              </w:rPr>
              <w:t>软件和信息技术服</w:t>
            </w:r>
            <w:r>
              <w:rPr>
                <w:rFonts w:hint="eastAsia" w:cs="宋体"/>
                <w:color w:val="auto"/>
                <w:kern w:val="0"/>
                <w:sz w:val="15"/>
                <w:szCs w:val="15"/>
                <w:highlight w:val="none"/>
              </w:rPr>
              <w:t>务业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continue"/>
            <w:vAlign w:val="center"/>
          </w:tcPr>
          <w:p>
            <w:pPr>
              <w:widowControl/>
              <w:rPr>
                <w:rFonts w:cs="宋体"/>
                <w:color w:val="auto"/>
                <w:spacing w:val="-12"/>
                <w:kern w:val="0"/>
                <w:sz w:val="15"/>
                <w:szCs w:val="15"/>
                <w:highlight w:val="none"/>
              </w:rPr>
            </w:pP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房地产开发经营</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1000≤Y＜200000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5000≤Z＜10000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2000≤Z＜5000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物业管理</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1000≤Y＜5000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租赁和商务服务业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8000≤Z＜120000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100≤Z＜8000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1120" w:type="pc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其他未列明行业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bl>
    <w:p>
      <w:pPr>
        <w:rPr>
          <w:rFonts w:cs="宋体"/>
          <w:color w:val="auto"/>
          <w:spacing w:val="8"/>
          <w:kern w:val="0"/>
          <w:highlight w:val="none"/>
        </w:rPr>
      </w:pPr>
      <w:r>
        <w:rPr>
          <w:rFonts w:hint="eastAsia" w:cs="宋体"/>
          <w:color w:val="auto"/>
          <w:spacing w:val="8"/>
          <w:kern w:val="0"/>
          <w:highlight w:val="none"/>
        </w:rPr>
        <w:br w:type="page"/>
      </w:r>
    </w:p>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color w:val="auto"/>
          <w:highlight w:val="none"/>
        </w:rPr>
        <w:br w:type="page"/>
      </w:r>
    </w:p>
    <w:p>
      <w:pPr>
        <w:pStyle w:val="31"/>
        <w:numPr>
          <w:ilvl w:val="1"/>
          <w:numId w:val="0"/>
        </w:numPr>
        <w:ind w:firstLine="482" w:firstLineChars="200"/>
        <w:rPr>
          <w:rFonts w:asciiTheme="minorEastAsia" w:hAnsiTheme="minorEastAsia" w:eastAsiaTheme="minorEastAsia" w:cstheme="minorEastAsia"/>
          <w:color w:val="auto"/>
          <w:highlight w:val="none"/>
        </w:rPr>
      </w:pPr>
      <w:bookmarkStart w:id="524" w:name="_Toc26920"/>
      <w:bookmarkStart w:id="525" w:name="_Toc21966"/>
      <w:bookmarkStart w:id="526" w:name="_Toc30965"/>
      <w:r>
        <w:rPr>
          <w:rFonts w:hint="eastAsia" w:asciiTheme="minorEastAsia" w:hAnsiTheme="minorEastAsia" w:eastAsiaTheme="minorEastAsia" w:cstheme="minorEastAsia"/>
          <w:color w:val="auto"/>
          <w:highlight w:val="none"/>
        </w:rPr>
        <w:t>附件五：《四川省财政厅关于推进四川省政府采购供应商信用融资工作的通知》(川财采〔2018〕123号文)</w:t>
      </w:r>
      <w:bookmarkEnd w:id="524"/>
      <w:bookmarkEnd w:id="525"/>
      <w:bookmarkEnd w:id="526"/>
    </w:p>
    <w:p>
      <w:pPr>
        <w:pStyle w:val="22"/>
        <w:widowControl/>
        <w:wordWrap w:val="0"/>
        <w:adjustRightInd/>
        <w:snapToGrid/>
        <w:spacing w:beforeAutospacing="0" w:afterAutospacing="0"/>
        <w:rPr>
          <w:rFonts w:cs="宋体"/>
          <w:b/>
          <w:bCs/>
          <w:color w:val="auto"/>
          <w:highlight w:val="none"/>
        </w:rPr>
      </w:pPr>
      <w:r>
        <w:rPr>
          <w:rFonts w:hint="eastAsia"/>
          <w:b/>
          <w:bCs/>
          <w:color w:val="auto"/>
          <w:highlight w:val="none"/>
        </w:rPr>
        <w:t>查询链接：</w:t>
      </w:r>
      <w:r>
        <w:rPr>
          <w:rFonts w:hint="eastAsia" w:cs="宋体"/>
          <w:b/>
          <w:bCs/>
          <w:color w:val="auto"/>
          <w:highlight w:val="none"/>
        </w:rPr>
        <w:t>http：//www.ccgp-sichuan.gov.cn/view/staticpags/sjzcfg/40288687657ff75501672fd954532414.html</w:t>
      </w:r>
    </w:p>
    <w:p>
      <w:pPr>
        <w:widowControl/>
        <w:adjustRightInd/>
        <w:snapToGrid/>
        <w:rPr>
          <w:color w:val="auto"/>
          <w:highlight w:val="none"/>
        </w:rPr>
      </w:pPr>
    </w:p>
    <w:p>
      <w:pPr>
        <w:widowControl/>
        <w:adjustRightInd/>
        <w:snapToGrid/>
        <w:spacing w:line="240" w:lineRule="auto"/>
        <w:jc w:val="center"/>
        <w:rPr>
          <w:rFonts w:cs="宋体"/>
          <w:color w:val="auto"/>
          <w:highlight w:val="none"/>
        </w:rPr>
      </w:pPr>
      <w:r>
        <w:rPr>
          <w:rFonts w:hint="eastAsia" w:cs="宋体"/>
          <w:color w:val="auto"/>
          <w:highlight w:val="none"/>
        </w:rPr>
        <w:drawing>
          <wp:inline distT="0" distB="0" distL="114300" distR="114300">
            <wp:extent cx="5302250" cy="1859915"/>
            <wp:effectExtent l="0" t="0" r="1270" b="1460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3"/>
                    <a:stretch>
                      <a:fillRect/>
                    </a:stretch>
                  </pic:blipFill>
                  <pic:spPr>
                    <a:xfrm>
                      <a:off x="0" y="0"/>
                      <a:ext cx="5302250" cy="1859915"/>
                    </a:xfrm>
                    <a:prstGeom prst="rect">
                      <a:avLst/>
                    </a:prstGeom>
                    <a:noFill/>
                    <a:ln w="9525">
                      <a:noFill/>
                    </a:ln>
                  </pic:spPr>
                </pic:pic>
              </a:graphicData>
            </a:graphic>
          </wp:inline>
        </w:drawing>
      </w:r>
    </w:p>
    <w:p>
      <w:pPr>
        <w:pStyle w:val="22"/>
        <w:widowControl/>
        <w:adjustRightInd/>
        <w:snapToGrid/>
        <w:spacing w:beforeAutospacing="0" w:afterAutospacing="0"/>
        <w:rPr>
          <w:rFonts w:cs="宋体"/>
          <w:color w:val="auto"/>
          <w:highlight w:val="none"/>
        </w:rPr>
      </w:pPr>
      <w:r>
        <w:rPr>
          <w:rFonts w:hint="eastAsia" w:cs="宋体"/>
          <w:color w:val="auto"/>
          <w:highlight w:val="none"/>
        </w:rPr>
        <w:t>各市(州)、扩权县(市)财政局，各省直机关、事业单位、团体组织，各金融机构，各采购代理机构，各政府采购供应商：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一、融资概念</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二、基本原则</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(一)财政引导，市场运行</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(二)建立机制，服务银企</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(三)优质优惠，加强扶持</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三、基本条件</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(一)银行暨“政采贷”金融产品</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1、征集。</w:t>
      </w:r>
      <w:r>
        <w:rPr>
          <w:rFonts w:hint="eastAsia" w:cs="宋体"/>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银行提供的“政采贷”产品应当满足“无抵押担保、程序简便、利率优惠、放款及时”的基本条件以及本通知其他相关规定。</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银行申请材料中应当载明其自愿提供“政采贷”产品，自担风险，不得要求或者变相要求财政部门和采购人为其提供风险担保、承诺。</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2、公示。</w:t>
      </w:r>
      <w:r>
        <w:rPr>
          <w:rFonts w:hint="eastAsia" w:cs="宋体"/>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政府采购供应商向银行申请“政采贷”，应当满足下列基本条件：</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w:t>
      </w:r>
      <w:r>
        <w:rPr>
          <w:rFonts w:hint="eastAsia" w:cs="宋体"/>
          <w:color w:val="auto"/>
          <w:highlight w:val="none"/>
        </w:rPr>
        <w:t>具有依法承担民事责任的能力；</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w:t>
      </w:r>
      <w:r>
        <w:rPr>
          <w:rFonts w:hint="eastAsia" w:cs="宋体"/>
          <w:color w:val="auto"/>
          <w:highlight w:val="none"/>
        </w:rPr>
        <w:t>具有依法履行政府采购合同的能力；</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3、</w:t>
      </w:r>
      <w:r>
        <w:rPr>
          <w:rFonts w:hint="eastAsia" w:cs="宋体"/>
          <w:color w:val="auto"/>
          <w:highlight w:val="none"/>
        </w:rPr>
        <w:t>参加的政府采购活动未被财政部门依法暂停、责令重新开展或者认定中标、成交无效；</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4、</w:t>
      </w:r>
      <w:r>
        <w:rPr>
          <w:rFonts w:hint="eastAsia" w:cs="宋体"/>
          <w:color w:val="auto"/>
          <w:highlight w:val="none"/>
        </w:rPr>
        <w:t>无《政府采购法》第二十二条第一款第(五)项所称的重大违法记录；</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5、</w:t>
      </w:r>
      <w:r>
        <w:rPr>
          <w:rFonts w:hint="eastAsia" w:cs="宋体"/>
          <w:color w:val="auto"/>
          <w:highlight w:val="none"/>
        </w:rPr>
        <w:t>未被法院、市场监管、税务、银行等部门单位纳入失信名单且在有效期内；</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6、</w:t>
      </w:r>
      <w:r>
        <w:rPr>
          <w:rFonts w:hint="eastAsia" w:cs="宋体"/>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7、</w:t>
      </w:r>
      <w:r>
        <w:rPr>
          <w:rFonts w:hint="eastAsia" w:cs="宋体"/>
          <w:color w:val="auto"/>
          <w:highlight w:val="none"/>
        </w:rPr>
        <w:t>其他银行要求的不属于提供财产抵押或第三方担保的条件。</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四、构建平台</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四川省财政厅将在“四川政府采购网”统一构建四川省“政采贷”信息化服务平台，推进四川省“政采贷”工作信息化建设。</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五、财金互动</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六、基本流程</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(一)意向申请</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2"/>
        <w:widowControl/>
        <w:adjustRightInd/>
        <w:snapToGrid/>
        <w:spacing w:beforeAutospacing="0" w:afterAutospacing="0"/>
        <w:ind w:firstLine="482" w:firstLineChars="200"/>
        <w:rPr>
          <w:rFonts w:cs="宋体"/>
          <w:b/>
          <w:color w:val="auto"/>
          <w:highlight w:val="none"/>
        </w:rPr>
      </w:pPr>
      <w:r>
        <w:rPr>
          <w:rFonts w:hint="eastAsia" w:cs="宋体"/>
          <w:b/>
          <w:color w:val="auto"/>
          <w:highlight w:val="none"/>
        </w:rPr>
        <w:t>(二)正式申请</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(三)贷款审查</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(四)信息报送</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(五)资金支付</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政府采购资金支付过程中，银行需要查询采购资金支付进程有关信息的，财政部门和采购人应当支持。</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七、职责要求</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w:t>
      </w:r>
      <w:r>
        <w:rPr>
          <w:rFonts w:hint="eastAsia" w:cs="宋体"/>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w:t>
      </w:r>
      <w:r>
        <w:rPr>
          <w:rFonts w:hint="eastAsia" w:cs="宋体"/>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w:t>
      </w:r>
      <w:r>
        <w:rPr>
          <w:rFonts w:hint="eastAsia" w:cs="宋体"/>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w:t>
      </w:r>
      <w:r>
        <w:rPr>
          <w:rFonts w:hint="eastAsia" w:cs="宋体"/>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w:t>
      </w:r>
      <w:r>
        <w:rPr>
          <w:rFonts w:hint="eastAsia" w:cs="宋体"/>
          <w:color w:val="auto"/>
          <w:highlight w:val="none"/>
        </w:rPr>
        <w:t>供应商应当依法参加政府采购活动，公平竞争，诚实守信，严格按照政府采购合同履约，严格按照借款合同偿还债务。</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(六)</w:t>
      </w:r>
      <w:r>
        <w:rPr>
          <w:rFonts w:hint="eastAsia" w:cs="宋体"/>
          <w:color w:val="auto"/>
          <w:highlight w:val="none"/>
        </w:rPr>
        <w:t>财政部门、采购人、采购代理机构及其他有关单位和个人不得违规干预供应商选择“政采贷”银行及其产品，也不得违规干预银行向供应商进行贷款。</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(七)</w:t>
      </w:r>
      <w:r>
        <w:rPr>
          <w:rFonts w:hint="eastAsia" w:cs="宋体"/>
          <w:color w:val="auto"/>
          <w:highlight w:val="none"/>
        </w:rPr>
        <w:t>相关单位和个人在开展“政采贷”工作过程中，发现新问题、新情况或者有意见建议的，请及时向四川省财政厅反馈。</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八、违规处理</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(一)银行违规处理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(二)供应商违规处理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2"/>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(三)其他违规处理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2"/>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 </w:t>
      </w:r>
    </w:p>
    <w:p>
      <w:pPr>
        <w:rPr>
          <w:rFonts w:cs="宋体"/>
          <w:color w:val="auto"/>
          <w:highlight w:val="none"/>
        </w:rPr>
      </w:pPr>
      <w:r>
        <w:rPr>
          <w:rFonts w:hint="eastAsia" w:cs="宋体"/>
          <w:color w:val="auto"/>
          <w:kern w:val="0"/>
          <w:highlight w:val="none"/>
        </w:rPr>
        <w:drawing>
          <wp:anchor distT="0" distB="0" distL="114300" distR="114300" simplePos="0" relativeHeight="251662336" behindDoc="0" locked="0" layoutInCell="1" allowOverlap="1">
            <wp:simplePos x="0" y="0"/>
            <wp:positionH relativeFrom="column">
              <wp:posOffset>3808095</wp:posOffset>
            </wp:positionH>
            <wp:positionV relativeFrom="paragraph">
              <wp:posOffset>1694180</wp:posOffset>
            </wp:positionV>
            <wp:extent cx="1771650" cy="1781175"/>
            <wp:effectExtent l="0" t="0" r="11430" b="190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4"/>
                    <a:stretch>
                      <a:fillRect/>
                    </a:stretch>
                  </pic:blipFill>
                  <pic:spPr>
                    <a:xfrm>
                      <a:off x="0" y="0"/>
                      <a:ext cx="1771650" cy="1781175"/>
                    </a:xfrm>
                    <a:prstGeom prst="rect">
                      <a:avLst/>
                    </a:prstGeom>
                    <a:noFill/>
                    <a:ln w="9525">
                      <a:noFill/>
                    </a:ln>
                  </pic:spPr>
                </pic:pic>
              </a:graphicData>
            </a:graphic>
          </wp:anchor>
        </w:drawing>
      </w:r>
      <w:r>
        <w:rPr>
          <w:rFonts w:hint="eastAsia" w:cs="宋体"/>
          <w:color w:val="auto"/>
          <w:highlight w:val="none"/>
        </w:rPr>
        <w:br w:type="page"/>
      </w:r>
    </w:p>
    <w:p>
      <w:pPr>
        <w:pStyle w:val="31"/>
        <w:numPr>
          <w:ilvl w:val="1"/>
          <w:numId w:val="0"/>
        </w:numPr>
        <w:ind w:firstLine="482" w:firstLineChars="200"/>
        <w:rPr>
          <w:color w:val="auto"/>
          <w:highlight w:val="none"/>
        </w:rPr>
      </w:pPr>
      <w:bookmarkStart w:id="527" w:name="_Toc20986"/>
      <w:bookmarkStart w:id="528" w:name="_Toc31255"/>
      <w:bookmarkStart w:id="529" w:name="_Toc18025"/>
      <w:r>
        <w:rPr>
          <w:rFonts w:hint="eastAsia" w:asciiTheme="minorEastAsia" w:hAnsiTheme="minorEastAsia" w:eastAsiaTheme="minorEastAsia" w:cstheme="minorEastAsia"/>
          <w:color w:val="auto"/>
          <w:highlight w:val="none"/>
        </w:rPr>
        <w:t>附件六：成都市财政局  中国人民银行成都分行营业管理部关于印发《成都市中小企业政府采购信用融资暂行办法》和《成都市级支持中小企业政府采购信用融资实施方案》的通</w:t>
      </w:r>
      <w:r>
        <w:rPr>
          <w:rFonts w:hint="eastAsia"/>
          <w:color w:val="auto"/>
          <w:highlight w:val="none"/>
        </w:rPr>
        <w:t>知(成财采〔2019〕17号)</w:t>
      </w:r>
      <w:bookmarkEnd w:id="527"/>
      <w:bookmarkEnd w:id="528"/>
      <w:bookmarkEnd w:id="529"/>
    </w:p>
    <w:p>
      <w:pPr>
        <w:widowControl/>
        <w:wordWrap w:val="0"/>
        <w:adjustRightInd/>
        <w:snapToGrid/>
        <w:rPr>
          <w:rFonts w:cs="宋体"/>
          <w:b/>
          <w:bCs/>
          <w:color w:val="auto"/>
          <w:highlight w:val="none"/>
        </w:rPr>
      </w:pPr>
      <w:r>
        <w:rPr>
          <w:rFonts w:hint="eastAsia" w:cs="宋体"/>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27"/>
          <w:rFonts w:hint="eastAsia" w:cs="宋体"/>
          <w:b/>
          <w:bCs/>
          <w:color w:val="auto"/>
          <w:highlight w:val="none"/>
        </w:rPr>
        <w:t>http：//cdcz.chengdu.gov.cn/cdsczj/c116726/2019-03/13/content_7d81ae9c2a1e48968c7839a9c5b88ccd.shtml</w:t>
      </w:r>
      <w:r>
        <w:rPr>
          <w:rStyle w:val="27"/>
          <w:rFonts w:hint="eastAsia" w:cs="宋体"/>
          <w:b/>
          <w:bCs/>
          <w:color w:val="auto"/>
          <w:highlight w:val="none"/>
        </w:rPr>
        <w:fldChar w:fldCharType="end"/>
      </w:r>
    </w:p>
    <w:p>
      <w:pPr>
        <w:widowControl/>
        <w:wordWrap w:val="0"/>
        <w:adjustRightInd/>
        <w:snapToGrid/>
        <w:rPr>
          <w:rFonts w:cs="宋体"/>
          <w:b/>
          <w:bCs/>
          <w:color w:val="auto"/>
          <w:highlight w:val="none"/>
        </w:rPr>
      </w:pPr>
    </w:p>
    <w:tbl>
      <w:tblPr>
        <w:tblStyle w:val="24"/>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vAlign w:val="center"/>
          </w:tcPr>
          <w:p>
            <w:pPr>
              <w:spacing w:line="240" w:lineRule="auto"/>
              <w:jc w:val="center"/>
              <w:rPr>
                <w:rFonts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color w:val="auto"/>
                <w:sz w:val="66"/>
                <w:szCs w:val="66"/>
                <w:highlight w:val="none"/>
              </w:rPr>
            </w:pPr>
          </w:p>
        </w:tc>
      </w:tr>
    </w:tbl>
    <w:p>
      <w:pPr>
        <w:jc w:val="center"/>
        <w:rPr>
          <w:rFonts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5080" b="1333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ascii="方正小标宋_GBK" w:hAnsi="方正小标宋_GBK" w:eastAsia="方正小标宋_GBK"/>
          <w:color w:val="auto"/>
          <w:highlight w:val="none"/>
        </w:rPr>
      </w:pPr>
    </w:p>
    <w:p>
      <w:pPr>
        <w:topLinePunct/>
        <w:jc w:val="center"/>
        <w:rPr>
          <w:rFonts w:ascii="方正小标宋简体" w:hAnsi="方正小标宋简体" w:eastAsia="方正小标宋简体" w:cs="方正小标宋简体"/>
          <w:color w:val="auto"/>
          <w:spacing w:val="-18"/>
          <w:sz w:val="44"/>
          <w:szCs w:val="44"/>
          <w:highlight w:val="none"/>
        </w:rPr>
      </w:pPr>
      <w:r>
        <w:rPr>
          <w:rFonts w:hint="eastAsia" w:ascii="方正小标宋简体" w:hAnsi="方正小标宋简体" w:eastAsia="方正小标宋简体" w:cs="方正小标宋简体"/>
          <w:color w:val="auto"/>
          <w:spacing w:val="-18"/>
          <w:sz w:val="44"/>
          <w:szCs w:val="44"/>
          <w:highlight w:val="none"/>
        </w:rPr>
        <w:t>成都市财政局  中国人民银行成都分行营业管理部</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关于印发《成都市中小企业政府采购信用融资</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暂行办法》和《成都市级支持中小企业</w:t>
      </w:r>
    </w:p>
    <w:p>
      <w:pPr>
        <w:topLinePun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政府采购信用融资实施方案》的通知</w:t>
      </w:r>
    </w:p>
    <w:p>
      <w:pPr>
        <w:jc w:val="center"/>
        <w:rPr>
          <w:rFonts w:eastAsia="方正仿宋_GBK"/>
          <w:color w:val="auto"/>
          <w:highlight w:val="none"/>
        </w:rPr>
      </w:pPr>
    </w:p>
    <w:p>
      <w:pPr>
        <w:widowControl/>
        <w:adjustRightInd/>
        <w:snapToGrid/>
        <w:rPr>
          <w:rFonts w:cs="宋体"/>
          <w:color w:val="auto"/>
          <w:highlight w:val="none"/>
        </w:rPr>
      </w:pPr>
      <w:r>
        <w:rPr>
          <w:rFonts w:hint="eastAsia" w:cs="宋体"/>
          <w:color w:val="auto"/>
          <w:highlight w:val="none"/>
        </w:rPr>
        <w:t>成都天府新区、高新区财政金融局，各区(市)县财政局，市级各部门、单位，各银行业金融机构：</w:t>
      </w:r>
    </w:p>
    <w:p>
      <w:pPr>
        <w:widowControl/>
        <w:adjustRightInd/>
        <w:snapToGrid/>
        <w:ind w:firstLine="480" w:firstLineChars="200"/>
        <w:rPr>
          <w:rFonts w:cs="宋体"/>
          <w:color w:val="auto"/>
          <w:highlight w:val="none"/>
        </w:rPr>
      </w:pPr>
      <w:r>
        <w:rPr>
          <w:rFonts w:hint="eastAsia" w:cs="宋体"/>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color w:val="auto"/>
          <w:highlight w:val="none"/>
        </w:rPr>
      </w:pPr>
      <w:r>
        <w:rPr>
          <w:rFonts w:hint="eastAsia" w:cs="宋体"/>
          <w:color w:val="auto"/>
          <w:highlight w:val="none"/>
        </w:rPr>
        <w:t>一、高度重视、迅速行动</w:t>
      </w:r>
    </w:p>
    <w:p>
      <w:pPr>
        <w:widowControl/>
        <w:adjustRightInd/>
        <w:snapToGrid/>
        <w:ind w:firstLine="480" w:firstLineChars="200"/>
        <w:rPr>
          <w:rFonts w:cs="宋体"/>
          <w:color w:val="auto"/>
          <w:highlight w:val="none"/>
        </w:rPr>
      </w:pPr>
      <w:r>
        <w:rPr>
          <w:rFonts w:hint="eastAsia" w:cs="宋体"/>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color w:val="auto"/>
          <w:highlight w:val="none"/>
        </w:rPr>
      </w:pPr>
      <w:r>
        <w:rPr>
          <w:rFonts w:hint="eastAsia" w:cs="宋体"/>
          <w:color w:val="auto"/>
          <w:highlight w:val="none"/>
        </w:rPr>
        <w:t>二、明确责任、压茬推进</w:t>
      </w:r>
    </w:p>
    <w:p>
      <w:pPr>
        <w:widowControl/>
        <w:adjustRightInd/>
        <w:snapToGrid/>
        <w:ind w:firstLine="480" w:firstLineChars="200"/>
        <w:rPr>
          <w:rFonts w:cs="宋体"/>
          <w:color w:val="auto"/>
          <w:highlight w:val="none"/>
        </w:rPr>
      </w:pPr>
      <w:r>
        <w:rPr>
          <w:rFonts w:hint="eastAsia" w:cs="宋体"/>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color w:val="auto"/>
          <w:highlight w:val="none"/>
        </w:rPr>
      </w:pPr>
      <w:r>
        <w:rPr>
          <w:rFonts w:hint="eastAsia" w:cs="宋体"/>
          <w:color w:val="auto"/>
          <w:highlight w:val="none"/>
        </w:rPr>
        <w:t>三、优化服务、营造氛围</w:t>
      </w:r>
    </w:p>
    <w:p>
      <w:pPr>
        <w:widowControl/>
        <w:adjustRightInd/>
        <w:snapToGrid/>
        <w:ind w:firstLine="480" w:firstLineChars="200"/>
        <w:rPr>
          <w:rFonts w:cs="宋体"/>
          <w:color w:val="auto"/>
          <w:highlight w:val="none"/>
        </w:rPr>
      </w:pPr>
      <w:r>
        <w:rPr>
          <w:rFonts w:hint="eastAsia" w:cs="宋体"/>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 xml:space="preserve">附件：1．成都市中小企业政府采购信用融资暂行办法 </w:t>
      </w:r>
    </w:p>
    <w:p>
      <w:pPr>
        <w:widowControl/>
        <w:adjustRightInd/>
        <w:snapToGrid/>
        <w:ind w:firstLine="480" w:firstLineChars="200"/>
        <w:rPr>
          <w:rFonts w:cs="宋体"/>
          <w:color w:val="auto"/>
          <w:highlight w:val="none"/>
        </w:rPr>
      </w:pPr>
      <w:r>
        <w:rPr>
          <w:rFonts w:hint="eastAsia" w:cs="宋体"/>
          <w:color w:val="auto"/>
          <w:highlight w:val="none"/>
        </w:rPr>
        <w:t>2．成都市级支持中小企业政府采购信用融资实施方案</w:t>
      </w:r>
    </w:p>
    <w:p>
      <w:pPr>
        <w:pStyle w:val="14"/>
        <w:widowControl/>
        <w:topLinePunct/>
        <w:adjustRightInd/>
        <w:snapToGrid/>
        <w:ind w:firstLine="480" w:firstLineChars="200"/>
        <w:rPr>
          <w:rFonts w:ascii="宋体" w:eastAsia="宋体" w:cs="宋体"/>
          <w:color w:val="auto"/>
          <w:sz w:val="24"/>
          <w:highlight w:val="none"/>
        </w:rPr>
      </w:pPr>
    </w:p>
    <w:p>
      <w:pPr>
        <w:pStyle w:val="14"/>
        <w:widowControl/>
        <w:topLinePunct/>
        <w:adjustRightInd/>
        <w:snapToGrid/>
        <w:ind w:firstLine="480" w:firstLineChars="200"/>
        <w:rPr>
          <w:rFonts w:ascii="宋体" w:eastAsia="宋体" w:cs="宋体"/>
          <w:color w:val="auto"/>
          <w:sz w:val="24"/>
          <w:highlight w:val="none"/>
        </w:rPr>
      </w:pPr>
    </w:p>
    <w:p>
      <w:pPr>
        <w:pStyle w:val="14"/>
        <w:widowControl/>
        <w:topLinePunct/>
        <w:adjustRightInd/>
        <w:snapToGrid/>
        <w:ind w:firstLine="480" w:firstLineChars="200"/>
        <w:rPr>
          <w:rFonts w:ascii="宋体" w:eastAsia="宋体" w:cs="宋体"/>
          <w:color w:val="auto"/>
          <w:sz w:val="24"/>
          <w:highlight w:val="none"/>
        </w:rPr>
      </w:pP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2019年2月26日</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附件1</w:t>
      </w:r>
    </w:p>
    <w:p>
      <w:pPr>
        <w:topLinePunct/>
        <w:adjustRightInd/>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成都市中小企业政府采购信用融资暂行办法</w:t>
      </w:r>
    </w:p>
    <w:p>
      <w:pPr>
        <w:topLinePunct/>
        <w:adjustRightInd/>
        <w:jc w:val="center"/>
        <w:rPr>
          <w:rFonts w:cs="宋体"/>
          <w:color w:val="auto"/>
          <w:highlight w:val="none"/>
        </w:rPr>
      </w:pPr>
      <w:r>
        <w:rPr>
          <w:rFonts w:hint="eastAsia" w:cs="宋体"/>
          <w:color w:val="auto"/>
          <w:highlight w:val="none"/>
        </w:rPr>
        <w:t>第一章  总  则</w:t>
      </w:r>
    </w:p>
    <w:p>
      <w:pPr>
        <w:topLinePunct/>
        <w:adjustRightInd/>
        <w:ind w:firstLine="480" w:firstLineChars="200"/>
        <w:rPr>
          <w:rFonts w:cs="宋体"/>
          <w:color w:val="auto"/>
          <w:highlight w:val="none"/>
        </w:rPr>
      </w:pPr>
      <w:r>
        <w:rPr>
          <w:rFonts w:hint="eastAsia" w:cs="宋体"/>
          <w:color w:val="auto"/>
          <w:highlight w:val="none"/>
        </w:rPr>
        <w:t>第一条(政策依据)</w:t>
      </w:r>
    </w:p>
    <w:p>
      <w:pPr>
        <w:topLinePunct/>
        <w:adjustRightInd/>
        <w:ind w:firstLine="480" w:firstLineChars="200"/>
        <w:rPr>
          <w:rFonts w:cs="宋体"/>
          <w:color w:val="auto"/>
          <w:highlight w:val="none"/>
        </w:rPr>
      </w:pPr>
      <w:r>
        <w:rPr>
          <w:rFonts w:hint="eastAsia" w:cs="宋体"/>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color w:val="auto"/>
          <w:highlight w:val="none"/>
        </w:rPr>
      </w:pPr>
      <w:r>
        <w:rPr>
          <w:rFonts w:hint="eastAsia" w:cs="宋体"/>
          <w:color w:val="auto"/>
          <w:highlight w:val="none"/>
        </w:rPr>
        <w:t>第二条(适用范围)</w:t>
      </w:r>
    </w:p>
    <w:p>
      <w:pPr>
        <w:topLinePunct/>
        <w:adjustRightInd/>
        <w:ind w:firstLine="480" w:firstLineChars="200"/>
        <w:rPr>
          <w:rFonts w:cs="宋体"/>
          <w:color w:val="auto"/>
          <w:highlight w:val="none"/>
        </w:rPr>
      </w:pPr>
      <w:r>
        <w:rPr>
          <w:rFonts w:hint="eastAsia" w:cs="宋体"/>
          <w:color w:val="auto"/>
          <w:highlight w:val="none"/>
        </w:rPr>
        <w:t>成都市行政区域内政府采购信用融资适用本办法。</w:t>
      </w:r>
    </w:p>
    <w:p>
      <w:pPr>
        <w:topLinePunct/>
        <w:adjustRightInd/>
        <w:ind w:firstLine="480" w:firstLineChars="200"/>
        <w:rPr>
          <w:rFonts w:cs="宋体"/>
          <w:color w:val="auto"/>
          <w:highlight w:val="none"/>
        </w:rPr>
      </w:pPr>
      <w:r>
        <w:rPr>
          <w:rFonts w:hint="eastAsia" w:cs="宋体"/>
          <w:color w:val="auto"/>
          <w:highlight w:val="none"/>
        </w:rPr>
        <w:t>第三条(术语定义)</w:t>
      </w:r>
    </w:p>
    <w:p>
      <w:pPr>
        <w:topLinePunct/>
        <w:adjustRightInd/>
        <w:ind w:firstLine="480" w:firstLineChars="200"/>
        <w:rPr>
          <w:rFonts w:cs="宋体"/>
          <w:color w:val="auto"/>
          <w:highlight w:val="none"/>
        </w:rPr>
      </w:pPr>
      <w:r>
        <w:rPr>
          <w:rFonts w:hint="eastAsia" w:cs="宋体"/>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color w:val="auto"/>
          <w:highlight w:val="none"/>
        </w:rPr>
      </w:pPr>
      <w:r>
        <w:rPr>
          <w:rFonts w:hint="eastAsia" w:cs="宋体"/>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color w:val="auto"/>
          <w:highlight w:val="none"/>
        </w:rPr>
      </w:pPr>
      <w:r>
        <w:rPr>
          <w:rFonts w:hint="eastAsia" w:cs="宋体"/>
          <w:color w:val="auto"/>
          <w:highlight w:val="none"/>
        </w:rPr>
        <w:t>本办法所称中小企业，包括中型、小型及微型企业，其划型标准按照国家相关规定执行。</w:t>
      </w:r>
    </w:p>
    <w:p>
      <w:pPr>
        <w:topLinePunct/>
        <w:adjustRightInd/>
        <w:ind w:firstLine="480" w:firstLineChars="200"/>
        <w:rPr>
          <w:rFonts w:cs="宋体"/>
          <w:color w:val="auto"/>
          <w:highlight w:val="none"/>
        </w:rPr>
      </w:pPr>
      <w:r>
        <w:rPr>
          <w:rFonts w:hint="eastAsia" w:cs="宋体"/>
          <w:color w:val="auto"/>
          <w:highlight w:val="none"/>
        </w:rPr>
        <w:t>第四条(基本原则)</w:t>
      </w:r>
    </w:p>
    <w:p>
      <w:pPr>
        <w:topLinePunct/>
        <w:adjustRightInd/>
        <w:ind w:firstLine="480" w:firstLineChars="200"/>
        <w:rPr>
          <w:rFonts w:cs="宋体"/>
          <w:color w:val="auto"/>
          <w:highlight w:val="none"/>
        </w:rPr>
      </w:pPr>
      <w:r>
        <w:rPr>
          <w:rFonts w:hint="eastAsia" w:cs="宋体"/>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color w:val="auto"/>
          <w:highlight w:val="none"/>
        </w:rPr>
      </w:pPr>
      <w:r>
        <w:rPr>
          <w:rFonts w:hint="eastAsia" w:cs="宋体"/>
          <w:color w:val="auto"/>
          <w:highlight w:val="none"/>
        </w:rPr>
        <w:t>第二章  融资优惠</w:t>
      </w:r>
    </w:p>
    <w:p>
      <w:pPr>
        <w:topLinePunct/>
        <w:adjustRightInd/>
        <w:ind w:firstLine="480" w:firstLineChars="200"/>
        <w:rPr>
          <w:rFonts w:cs="宋体"/>
          <w:color w:val="auto"/>
          <w:highlight w:val="none"/>
        </w:rPr>
      </w:pPr>
      <w:r>
        <w:rPr>
          <w:rFonts w:hint="eastAsia" w:cs="宋体"/>
          <w:color w:val="auto"/>
          <w:highlight w:val="none"/>
        </w:rPr>
        <w:t>第五条(融资方式)</w:t>
      </w:r>
    </w:p>
    <w:p>
      <w:pPr>
        <w:topLinePunct/>
        <w:adjustRightInd/>
        <w:ind w:firstLine="480" w:firstLineChars="200"/>
        <w:rPr>
          <w:rFonts w:cs="宋体"/>
          <w:color w:val="auto"/>
          <w:highlight w:val="none"/>
        </w:rPr>
      </w:pPr>
      <w:r>
        <w:rPr>
          <w:rFonts w:hint="eastAsia" w:cs="宋体"/>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color w:val="auto"/>
          <w:highlight w:val="none"/>
        </w:rPr>
      </w:pPr>
      <w:r>
        <w:rPr>
          <w:rFonts w:hint="eastAsia" w:cs="宋体"/>
          <w:color w:val="auto"/>
          <w:highlight w:val="none"/>
        </w:rPr>
        <w:t>第六条(融资额度)</w:t>
      </w:r>
    </w:p>
    <w:p>
      <w:pPr>
        <w:topLinePunct/>
        <w:adjustRightInd/>
        <w:ind w:firstLine="480" w:firstLineChars="200"/>
        <w:rPr>
          <w:rFonts w:cs="宋体"/>
          <w:color w:val="auto"/>
          <w:highlight w:val="none"/>
        </w:rPr>
      </w:pPr>
      <w:r>
        <w:rPr>
          <w:rFonts w:hint="eastAsia" w:cs="宋体"/>
          <w:color w:val="auto"/>
          <w:highlight w:val="none"/>
        </w:rPr>
        <w:t>融资额度原则上不超过政府采购合同金额。</w:t>
      </w:r>
    </w:p>
    <w:p>
      <w:pPr>
        <w:topLinePunct/>
        <w:adjustRightInd/>
        <w:ind w:firstLine="480" w:firstLineChars="200"/>
        <w:rPr>
          <w:rFonts w:cs="宋体"/>
          <w:color w:val="auto"/>
          <w:highlight w:val="none"/>
        </w:rPr>
      </w:pPr>
      <w:r>
        <w:rPr>
          <w:rFonts w:hint="eastAsia" w:cs="宋体"/>
          <w:color w:val="auto"/>
          <w:highlight w:val="none"/>
        </w:rPr>
        <w:t>第七条(融资利率)</w:t>
      </w:r>
    </w:p>
    <w:p>
      <w:pPr>
        <w:topLinePunct/>
        <w:adjustRightInd/>
        <w:ind w:firstLine="480" w:firstLineChars="200"/>
        <w:rPr>
          <w:rFonts w:cs="宋体"/>
          <w:color w:val="auto"/>
          <w:highlight w:val="none"/>
        </w:rPr>
      </w:pPr>
      <w:r>
        <w:rPr>
          <w:rFonts w:hint="eastAsia" w:cs="宋体"/>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color w:val="auto"/>
          <w:highlight w:val="none"/>
        </w:rPr>
      </w:pPr>
      <w:r>
        <w:rPr>
          <w:rFonts w:hint="eastAsia" w:cs="宋体"/>
          <w:color w:val="auto"/>
          <w:highlight w:val="none"/>
        </w:rPr>
        <w:t>第八条(融资期限)</w:t>
      </w:r>
    </w:p>
    <w:p>
      <w:pPr>
        <w:topLinePunct/>
        <w:adjustRightInd/>
        <w:ind w:firstLine="480" w:firstLineChars="200"/>
        <w:rPr>
          <w:rFonts w:cs="宋体"/>
          <w:color w:val="auto"/>
          <w:highlight w:val="none"/>
        </w:rPr>
      </w:pPr>
      <w:r>
        <w:rPr>
          <w:rFonts w:hint="eastAsia" w:cs="宋体"/>
          <w:color w:val="auto"/>
          <w:highlight w:val="none"/>
        </w:rPr>
        <w:t>融资期限原则上与政府采购合同履行期限一致。</w:t>
      </w:r>
    </w:p>
    <w:p>
      <w:pPr>
        <w:topLinePunct/>
        <w:adjustRightInd/>
        <w:ind w:firstLine="480" w:firstLineChars="200"/>
        <w:rPr>
          <w:rFonts w:cs="宋体"/>
          <w:color w:val="auto"/>
          <w:highlight w:val="none"/>
        </w:rPr>
      </w:pPr>
      <w:r>
        <w:rPr>
          <w:rFonts w:hint="eastAsia" w:cs="宋体"/>
          <w:color w:val="auto"/>
          <w:highlight w:val="none"/>
        </w:rPr>
        <w:t>第九条(融资效率)</w:t>
      </w:r>
    </w:p>
    <w:p>
      <w:pPr>
        <w:topLinePunct/>
        <w:adjustRightInd/>
        <w:ind w:firstLine="480" w:firstLineChars="200"/>
        <w:rPr>
          <w:rFonts w:cs="宋体"/>
          <w:color w:val="auto"/>
          <w:highlight w:val="none"/>
        </w:rPr>
      </w:pPr>
      <w:r>
        <w:rPr>
          <w:rFonts w:hint="eastAsia" w:cs="宋体"/>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color w:val="auto"/>
          <w:highlight w:val="none"/>
        </w:rPr>
      </w:pPr>
      <w:r>
        <w:rPr>
          <w:rFonts w:hint="eastAsia" w:cs="宋体"/>
          <w:color w:val="auto"/>
          <w:highlight w:val="none"/>
        </w:rPr>
        <w:t>第十条(融资业务升级)</w:t>
      </w:r>
    </w:p>
    <w:p>
      <w:pPr>
        <w:topLinePunct/>
        <w:adjustRightInd/>
        <w:ind w:firstLine="480" w:firstLineChars="200"/>
        <w:rPr>
          <w:rFonts w:cs="宋体"/>
          <w:color w:val="auto"/>
          <w:highlight w:val="none"/>
        </w:rPr>
      </w:pPr>
      <w:r>
        <w:rPr>
          <w:rFonts w:hint="eastAsia" w:cs="宋体"/>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color w:val="auto"/>
          <w:highlight w:val="none"/>
        </w:rPr>
      </w:pPr>
      <w:r>
        <w:rPr>
          <w:rFonts w:hint="eastAsia" w:cs="宋体"/>
          <w:color w:val="auto"/>
          <w:highlight w:val="none"/>
        </w:rPr>
        <w:t>第十一条(贷款风险补贴)</w:t>
      </w:r>
    </w:p>
    <w:p>
      <w:pPr>
        <w:topLinePunct/>
        <w:adjustRightInd/>
        <w:ind w:firstLine="480" w:firstLineChars="200"/>
        <w:rPr>
          <w:rFonts w:cs="宋体"/>
          <w:color w:val="auto"/>
          <w:highlight w:val="none"/>
        </w:rPr>
      </w:pPr>
      <w:r>
        <w:rPr>
          <w:rFonts w:hint="eastAsia" w:cs="宋体"/>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color w:val="auto"/>
          <w:highlight w:val="none"/>
        </w:rPr>
      </w:pPr>
      <w:r>
        <w:rPr>
          <w:rFonts w:hint="eastAsia" w:cs="宋体"/>
          <w:color w:val="auto"/>
          <w:highlight w:val="none"/>
        </w:rPr>
        <w:t>第三章  融资流程</w:t>
      </w:r>
    </w:p>
    <w:p>
      <w:pPr>
        <w:topLinePunct/>
        <w:adjustRightInd/>
        <w:ind w:firstLine="480" w:firstLineChars="200"/>
        <w:rPr>
          <w:rFonts w:cs="宋体"/>
          <w:color w:val="auto"/>
          <w:highlight w:val="none"/>
        </w:rPr>
      </w:pPr>
      <w:r>
        <w:rPr>
          <w:rFonts w:hint="eastAsia" w:cs="宋体"/>
          <w:color w:val="auto"/>
          <w:highlight w:val="none"/>
        </w:rPr>
        <w:t>第十二条(融资流程)</w:t>
      </w:r>
    </w:p>
    <w:p>
      <w:pPr>
        <w:topLinePunct/>
        <w:adjustRightInd/>
        <w:ind w:firstLine="480" w:firstLineChars="200"/>
        <w:rPr>
          <w:rFonts w:cs="宋体"/>
          <w:color w:val="auto"/>
          <w:highlight w:val="none"/>
        </w:rPr>
      </w:pPr>
      <w:r>
        <w:rPr>
          <w:rFonts w:hint="eastAsia" w:cs="宋体"/>
          <w:color w:val="auto"/>
          <w:highlight w:val="none"/>
        </w:rPr>
        <w:t>(一)信息发布。采购人应当在发布的采购公告和采购文件中载明采购项目可提供信用融资的信息。</w:t>
      </w:r>
    </w:p>
    <w:p>
      <w:pPr>
        <w:topLinePunct/>
        <w:adjustRightInd/>
        <w:ind w:firstLine="480" w:firstLineChars="200"/>
        <w:rPr>
          <w:rFonts w:cs="宋体"/>
          <w:color w:val="auto"/>
          <w:highlight w:val="none"/>
        </w:rPr>
      </w:pPr>
      <w:r>
        <w:rPr>
          <w:rFonts w:hint="eastAsia" w:cs="宋体"/>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color w:val="auto"/>
          <w:highlight w:val="none"/>
        </w:rPr>
      </w:pPr>
      <w:r>
        <w:rPr>
          <w:rFonts w:hint="eastAsia" w:cs="宋体"/>
          <w:color w:val="auto"/>
          <w:highlight w:val="none"/>
        </w:rPr>
        <w:t>(三)融资审查。融资机构对供应商的融资申请进行审查，并向供应商反馈审查及融资额度等情况。</w:t>
      </w:r>
    </w:p>
    <w:p>
      <w:pPr>
        <w:topLinePunct/>
        <w:adjustRightInd/>
        <w:ind w:firstLine="480" w:firstLineChars="200"/>
        <w:rPr>
          <w:rFonts w:cs="宋体"/>
          <w:color w:val="auto"/>
          <w:highlight w:val="none"/>
        </w:rPr>
      </w:pPr>
      <w:r>
        <w:rPr>
          <w:rFonts w:hint="eastAsia" w:cs="宋体"/>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color w:val="auto"/>
          <w:highlight w:val="none"/>
        </w:rPr>
      </w:pPr>
      <w:r>
        <w:rPr>
          <w:rFonts w:hint="eastAsia" w:cs="宋体"/>
          <w:color w:val="auto"/>
          <w:highlight w:val="none"/>
        </w:rPr>
        <w:t>(五)放款。融资机构对政府采购合同及融资相关信息进行确认，并向供应商提供相应的融资产品。</w:t>
      </w:r>
    </w:p>
    <w:p>
      <w:pPr>
        <w:topLinePunct/>
        <w:adjustRightInd/>
        <w:ind w:firstLine="480" w:firstLineChars="200"/>
        <w:rPr>
          <w:rFonts w:cs="宋体"/>
          <w:color w:val="auto"/>
          <w:highlight w:val="none"/>
        </w:rPr>
      </w:pPr>
      <w:r>
        <w:rPr>
          <w:rFonts w:hint="eastAsia" w:cs="宋体"/>
          <w:color w:val="auto"/>
          <w:highlight w:val="none"/>
        </w:rPr>
        <w:t>(六)贷款归还。采购人按相关规定和合同约定将合同资金支付至约定的唯一收款账户。</w:t>
      </w:r>
    </w:p>
    <w:p>
      <w:pPr>
        <w:topLinePunct/>
        <w:adjustRightInd/>
        <w:ind w:firstLine="480" w:firstLineChars="200"/>
        <w:jc w:val="center"/>
        <w:rPr>
          <w:rFonts w:cs="宋体"/>
          <w:color w:val="auto"/>
          <w:highlight w:val="none"/>
        </w:rPr>
      </w:pPr>
      <w:r>
        <w:rPr>
          <w:rFonts w:hint="eastAsia" w:cs="宋体"/>
          <w:color w:val="auto"/>
          <w:highlight w:val="none"/>
        </w:rPr>
        <w:t>第四章  职责分工</w:t>
      </w:r>
    </w:p>
    <w:p>
      <w:pPr>
        <w:topLinePunct/>
        <w:adjustRightInd/>
        <w:ind w:firstLine="480" w:firstLineChars="200"/>
        <w:rPr>
          <w:rFonts w:cs="宋体"/>
          <w:color w:val="auto"/>
          <w:highlight w:val="none"/>
        </w:rPr>
      </w:pPr>
      <w:r>
        <w:rPr>
          <w:rFonts w:hint="eastAsia" w:cs="宋体"/>
          <w:color w:val="auto"/>
          <w:highlight w:val="none"/>
        </w:rPr>
        <w:t>第十三条(财政部门职责)</w:t>
      </w:r>
    </w:p>
    <w:p>
      <w:pPr>
        <w:topLinePunct/>
        <w:adjustRightInd/>
        <w:ind w:firstLine="480" w:firstLineChars="200"/>
        <w:rPr>
          <w:rFonts w:cs="宋体"/>
          <w:color w:val="auto"/>
          <w:highlight w:val="none"/>
        </w:rPr>
      </w:pPr>
      <w:r>
        <w:rPr>
          <w:rFonts w:hint="eastAsia" w:cs="宋体"/>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color w:val="auto"/>
          <w:highlight w:val="none"/>
        </w:rPr>
      </w:pPr>
      <w:r>
        <w:rPr>
          <w:rFonts w:hint="eastAsia" w:cs="宋体"/>
          <w:color w:val="auto"/>
          <w:highlight w:val="none"/>
        </w:rPr>
        <w:t>第十四条(融资机构主管部门职责)</w:t>
      </w:r>
    </w:p>
    <w:p>
      <w:pPr>
        <w:topLinePunct/>
        <w:adjustRightInd/>
        <w:ind w:firstLine="480" w:firstLineChars="200"/>
        <w:rPr>
          <w:rFonts w:cs="宋体"/>
          <w:color w:val="auto"/>
          <w:highlight w:val="none"/>
        </w:rPr>
      </w:pPr>
      <w:r>
        <w:rPr>
          <w:rFonts w:hint="eastAsia" w:cs="宋体"/>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color w:val="auto"/>
          <w:highlight w:val="none"/>
        </w:rPr>
      </w:pPr>
      <w:r>
        <w:rPr>
          <w:rFonts w:hint="eastAsia" w:cs="宋体"/>
          <w:color w:val="auto"/>
          <w:highlight w:val="none"/>
        </w:rPr>
        <w:t>第十五条(采购人职责)</w:t>
      </w:r>
    </w:p>
    <w:p>
      <w:pPr>
        <w:topLinePunct/>
        <w:adjustRightInd/>
        <w:ind w:firstLine="480" w:firstLineChars="200"/>
        <w:rPr>
          <w:rFonts w:cs="宋体"/>
          <w:color w:val="auto"/>
          <w:highlight w:val="none"/>
        </w:rPr>
      </w:pPr>
      <w:r>
        <w:rPr>
          <w:rFonts w:hint="eastAsia" w:cs="宋体"/>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color w:val="auto"/>
          <w:highlight w:val="none"/>
        </w:rPr>
      </w:pPr>
      <w:r>
        <w:rPr>
          <w:rFonts w:hint="eastAsia" w:cs="宋体"/>
          <w:color w:val="auto"/>
          <w:highlight w:val="none"/>
        </w:rPr>
        <w:t>第十六条(融资机构职责)</w:t>
      </w:r>
    </w:p>
    <w:p>
      <w:pPr>
        <w:topLinePunct/>
        <w:adjustRightInd/>
        <w:ind w:firstLine="480" w:firstLineChars="200"/>
        <w:rPr>
          <w:rFonts w:cs="宋体"/>
          <w:color w:val="auto"/>
          <w:highlight w:val="none"/>
        </w:rPr>
      </w:pPr>
      <w:r>
        <w:rPr>
          <w:rFonts w:hint="eastAsia" w:cs="宋体"/>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color w:val="auto"/>
          <w:highlight w:val="none"/>
        </w:rPr>
      </w:pPr>
      <w:r>
        <w:rPr>
          <w:rFonts w:hint="eastAsia" w:cs="宋体"/>
          <w:color w:val="auto"/>
          <w:highlight w:val="none"/>
        </w:rPr>
        <w:t>第十七条(供应商职责)</w:t>
      </w:r>
    </w:p>
    <w:p>
      <w:pPr>
        <w:topLinePunct/>
        <w:adjustRightInd/>
        <w:ind w:firstLine="480" w:firstLineChars="200"/>
        <w:rPr>
          <w:rFonts w:cs="宋体"/>
          <w:color w:val="auto"/>
          <w:highlight w:val="none"/>
        </w:rPr>
      </w:pPr>
      <w:r>
        <w:rPr>
          <w:rFonts w:hint="eastAsia" w:cs="宋体"/>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color w:val="auto"/>
          <w:highlight w:val="none"/>
        </w:rPr>
      </w:pPr>
      <w:r>
        <w:rPr>
          <w:rFonts w:hint="eastAsia" w:cs="宋体"/>
          <w:color w:val="auto"/>
          <w:highlight w:val="none"/>
        </w:rPr>
        <w:t>第五章 监督管理</w:t>
      </w:r>
    </w:p>
    <w:p>
      <w:pPr>
        <w:topLinePunct/>
        <w:adjustRightInd/>
        <w:ind w:firstLine="480" w:firstLineChars="200"/>
        <w:rPr>
          <w:rFonts w:cs="宋体"/>
          <w:color w:val="auto"/>
          <w:highlight w:val="none"/>
        </w:rPr>
      </w:pPr>
      <w:r>
        <w:rPr>
          <w:rFonts w:hint="eastAsia" w:cs="宋体"/>
          <w:color w:val="auto"/>
          <w:highlight w:val="none"/>
        </w:rPr>
        <w:t>第十八条(采购人监管)</w:t>
      </w:r>
    </w:p>
    <w:p>
      <w:pPr>
        <w:topLinePunct/>
        <w:adjustRightInd/>
        <w:ind w:firstLine="480" w:firstLineChars="200"/>
        <w:rPr>
          <w:rFonts w:cs="宋体"/>
          <w:color w:val="auto"/>
          <w:highlight w:val="none"/>
        </w:rPr>
      </w:pPr>
      <w:r>
        <w:rPr>
          <w:rFonts w:hint="eastAsia" w:cs="宋体"/>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color w:val="auto"/>
          <w:highlight w:val="none"/>
        </w:rPr>
      </w:pPr>
      <w:r>
        <w:rPr>
          <w:rFonts w:hint="eastAsia" w:cs="宋体"/>
          <w:color w:val="auto"/>
          <w:highlight w:val="none"/>
        </w:rPr>
        <w:t>第十九条(融资机构监管)</w:t>
      </w:r>
    </w:p>
    <w:p>
      <w:pPr>
        <w:topLinePunct/>
        <w:adjustRightInd/>
        <w:ind w:firstLine="480" w:firstLineChars="200"/>
        <w:rPr>
          <w:rFonts w:cs="宋体"/>
          <w:color w:val="auto"/>
          <w:highlight w:val="none"/>
        </w:rPr>
      </w:pPr>
      <w:r>
        <w:rPr>
          <w:rFonts w:hint="eastAsia" w:cs="宋体"/>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color w:val="auto"/>
          <w:highlight w:val="none"/>
        </w:rPr>
      </w:pPr>
      <w:r>
        <w:rPr>
          <w:rFonts w:hint="eastAsia" w:cs="宋体"/>
          <w:color w:val="auto"/>
          <w:highlight w:val="none"/>
        </w:rPr>
        <w:t>第二十条(供应商监管)</w:t>
      </w:r>
    </w:p>
    <w:p>
      <w:pPr>
        <w:topLinePunct/>
        <w:adjustRightInd/>
        <w:ind w:firstLine="480" w:firstLineChars="200"/>
        <w:rPr>
          <w:rFonts w:cs="宋体"/>
          <w:color w:val="auto"/>
          <w:highlight w:val="none"/>
        </w:rPr>
      </w:pPr>
      <w:r>
        <w:rPr>
          <w:rFonts w:hint="eastAsia" w:cs="宋体"/>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color w:val="auto"/>
          <w:highlight w:val="none"/>
        </w:rPr>
      </w:pPr>
      <w:r>
        <w:rPr>
          <w:rFonts w:hint="eastAsia" w:cs="宋体"/>
          <w:color w:val="auto"/>
          <w:highlight w:val="none"/>
        </w:rPr>
        <w:t>第二十一条</w:t>
      </w:r>
      <w:bookmarkStart w:id="530" w:name="BM24558847_25425864_3"/>
      <w:bookmarkEnd w:id="530"/>
      <w:r>
        <w:rPr>
          <w:rFonts w:hint="eastAsia" w:cs="宋体"/>
          <w:color w:val="auto"/>
          <w:highlight w:val="none"/>
        </w:rPr>
        <w:t>(相关单位及工作人员监管)</w:t>
      </w:r>
    </w:p>
    <w:p>
      <w:pPr>
        <w:topLinePunct/>
        <w:adjustRightInd/>
        <w:ind w:firstLine="480" w:firstLineChars="200"/>
        <w:rPr>
          <w:rFonts w:cs="宋体"/>
          <w:color w:val="auto"/>
          <w:highlight w:val="none"/>
        </w:rPr>
      </w:pPr>
      <w:r>
        <w:rPr>
          <w:rFonts w:hint="eastAsia" w:cs="宋体"/>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color w:val="auto"/>
          <w:highlight w:val="none"/>
        </w:rPr>
      </w:pPr>
      <w:r>
        <w:rPr>
          <w:rFonts w:hint="eastAsia" w:cs="宋体"/>
          <w:color w:val="auto"/>
          <w:highlight w:val="none"/>
        </w:rPr>
        <w:t>第六章  附  则</w:t>
      </w:r>
    </w:p>
    <w:p>
      <w:pPr>
        <w:topLinePunct/>
        <w:adjustRightInd/>
        <w:ind w:firstLine="480" w:firstLineChars="200"/>
        <w:rPr>
          <w:rFonts w:cs="宋体"/>
          <w:color w:val="auto"/>
          <w:highlight w:val="none"/>
        </w:rPr>
      </w:pPr>
      <w:r>
        <w:rPr>
          <w:rFonts w:hint="eastAsia" w:cs="宋体"/>
          <w:color w:val="auto"/>
          <w:highlight w:val="none"/>
        </w:rPr>
        <w:t>第二十二条(解释相关)</w:t>
      </w:r>
    </w:p>
    <w:p>
      <w:pPr>
        <w:topLinePunct/>
        <w:adjustRightInd/>
        <w:ind w:firstLine="480" w:firstLineChars="200"/>
        <w:rPr>
          <w:rFonts w:cs="宋体"/>
          <w:color w:val="auto"/>
          <w:highlight w:val="none"/>
        </w:rPr>
      </w:pPr>
      <w:r>
        <w:rPr>
          <w:rFonts w:hint="eastAsia" w:cs="宋体"/>
          <w:color w:val="auto"/>
          <w:highlight w:val="none"/>
        </w:rPr>
        <w:t>本办法由市财政局会同中国人民银行成都分行营业管理部负责解释。</w:t>
      </w:r>
    </w:p>
    <w:p>
      <w:pPr>
        <w:topLinePunct/>
        <w:adjustRightInd/>
        <w:ind w:firstLine="480" w:firstLineChars="200"/>
        <w:rPr>
          <w:rFonts w:cs="宋体"/>
          <w:color w:val="auto"/>
          <w:highlight w:val="none"/>
        </w:rPr>
      </w:pPr>
      <w:r>
        <w:rPr>
          <w:rFonts w:hint="eastAsia" w:cs="宋体"/>
          <w:color w:val="auto"/>
          <w:highlight w:val="none"/>
        </w:rPr>
        <w:t>第二十三条(施行相关)</w:t>
      </w:r>
    </w:p>
    <w:p>
      <w:pPr>
        <w:topLinePunct/>
        <w:adjustRightInd/>
        <w:ind w:firstLine="480" w:firstLineChars="200"/>
        <w:rPr>
          <w:rFonts w:cs="宋体"/>
          <w:color w:val="auto"/>
          <w:highlight w:val="none"/>
        </w:rPr>
      </w:pPr>
      <w:r>
        <w:rPr>
          <w:rFonts w:hint="eastAsia" w:cs="宋体"/>
          <w:color w:val="auto"/>
          <w:highlight w:val="none"/>
        </w:rPr>
        <w:t>本办法自印发之日起施行。市财政局、市金融办2013年12月9日印发的《关于开展中小企业政府采购信用担保及融资试点工作的通知》(成财采〔2013〕200号)同时废止。</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附件2</w:t>
      </w:r>
    </w:p>
    <w:p>
      <w:pPr>
        <w:topLinePunct/>
        <w:adjustRightInd/>
        <w:ind w:firstLine="480" w:firstLineChars="200"/>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成都市级支持中小企业政府采购</w:t>
      </w:r>
    </w:p>
    <w:p>
      <w:pPr>
        <w:topLinePunct/>
        <w:adjustRightInd/>
        <w:jc w:val="center"/>
        <w:rPr>
          <w:rFonts w:cs="宋体"/>
          <w:color w:val="auto"/>
          <w:highlight w:val="none"/>
        </w:rPr>
      </w:pPr>
      <w:r>
        <w:rPr>
          <w:rFonts w:hint="eastAsia" w:cs="宋体"/>
          <w:color w:val="auto"/>
          <w:highlight w:val="none"/>
        </w:rPr>
        <w:t>信用融资实施方案</w:t>
      </w:r>
    </w:p>
    <w:p>
      <w:pPr>
        <w:topLinePunct/>
        <w:adjustRightInd/>
        <w:ind w:firstLine="480" w:firstLineChars="200"/>
        <w:rPr>
          <w:rFonts w:cs="宋体"/>
          <w:color w:val="auto"/>
          <w:highlight w:val="none"/>
        </w:rPr>
      </w:pPr>
    </w:p>
    <w:p>
      <w:pPr>
        <w:topLinePunct/>
        <w:adjustRightInd/>
        <w:ind w:firstLine="480" w:firstLineChars="200"/>
        <w:rPr>
          <w:rFonts w:cs="宋体"/>
          <w:color w:val="auto"/>
          <w:highlight w:val="none"/>
        </w:rPr>
      </w:pPr>
      <w:r>
        <w:rPr>
          <w:rFonts w:hint="eastAsia" w:cs="宋体"/>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color w:val="auto"/>
          <w:highlight w:val="none"/>
        </w:rPr>
      </w:pPr>
      <w:r>
        <w:rPr>
          <w:rFonts w:hint="eastAsia" w:cs="宋体"/>
          <w:color w:val="auto"/>
          <w:highlight w:val="none"/>
        </w:rPr>
        <w:t>一、目标任务</w:t>
      </w:r>
    </w:p>
    <w:p>
      <w:pPr>
        <w:topLinePunct/>
        <w:adjustRightInd/>
        <w:ind w:firstLine="480" w:firstLineChars="200"/>
        <w:rPr>
          <w:rFonts w:cs="宋体"/>
          <w:color w:val="auto"/>
          <w:highlight w:val="none"/>
        </w:rPr>
      </w:pPr>
      <w:r>
        <w:rPr>
          <w:rFonts w:hint="eastAsia" w:cs="宋体"/>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color w:val="auto"/>
          <w:highlight w:val="none"/>
        </w:rPr>
      </w:pPr>
      <w:r>
        <w:rPr>
          <w:rFonts w:hint="eastAsia" w:cs="宋体"/>
          <w:color w:val="auto"/>
          <w:highlight w:val="none"/>
        </w:rPr>
        <w:t>二、适用范围</w:t>
      </w:r>
    </w:p>
    <w:p>
      <w:pPr>
        <w:topLinePunct/>
        <w:adjustRightInd/>
        <w:ind w:firstLine="480" w:firstLineChars="200"/>
        <w:rPr>
          <w:rFonts w:cs="宋体"/>
          <w:color w:val="auto"/>
          <w:highlight w:val="none"/>
        </w:rPr>
      </w:pPr>
      <w:r>
        <w:rPr>
          <w:rFonts w:hint="eastAsia" w:cs="宋体"/>
          <w:color w:val="auto"/>
          <w:highlight w:val="none"/>
        </w:rPr>
        <w:t>本《实施方案》适用于成都市本级政府采购信用融资工作。</w:t>
      </w:r>
    </w:p>
    <w:p>
      <w:pPr>
        <w:topLinePunct/>
        <w:adjustRightInd/>
        <w:ind w:firstLine="480" w:firstLineChars="200"/>
        <w:rPr>
          <w:rFonts w:cs="宋体"/>
          <w:color w:val="auto"/>
          <w:highlight w:val="none"/>
        </w:rPr>
      </w:pPr>
      <w:r>
        <w:rPr>
          <w:rFonts w:hint="eastAsia" w:cs="宋体"/>
          <w:color w:val="auto"/>
          <w:highlight w:val="none"/>
        </w:rPr>
        <w:t xml:space="preserve">三、基本原则 </w:t>
      </w:r>
    </w:p>
    <w:p>
      <w:pPr>
        <w:topLinePunct/>
        <w:adjustRightInd/>
        <w:ind w:firstLine="480" w:firstLineChars="200"/>
        <w:rPr>
          <w:rFonts w:cs="宋体"/>
          <w:color w:val="auto"/>
          <w:highlight w:val="none"/>
        </w:rPr>
      </w:pPr>
      <w:r>
        <w:rPr>
          <w:rFonts w:hint="eastAsia" w:cs="宋体"/>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color w:val="auto"/>
          <w:highlight w:val="none"/>
        </w:rPr>
      </w:pPr>
      <w:r>
        <w:rPr>
          <w:rFonts w:hint="eastAsia" w:cs="宋体"/>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color w:val="auto"/>
          <w:highlight w:val="none"/>
        </w:rPr>
      </w:pPr>
      <w:r>
        <w:rPr>
          <w:rFonts w:hint="eastAsia" w:cs="宋体"/>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color w:val="auto"/>
          <w:highlight w:val="none"/>
        </w:rPr>
      </w:pPr>
      <w:r>
        <w:rPr>
          <w:rFonts w:hint="eastAsia" w:cs="宋体"/>
          <w:color w:val="auto"/>
          <w:highlight w:val="none"/>
        </w:rPr>
        <w:t>四、组织实施</w:t>
      </w:r>
    </w:p>
    <w:p>
      <w:pPr>
        <w:topLinePunct/>
        <w:adjustRightInd/>
        <w:ind w:firstLine="480" w:firstLineChars="200"/>
        <w:rPr>
          <w:rFonts w:cs="宋体"/>
          <w:color w:val="auto"/>
          <w:highlight w:val="none"/>
        </w:rPr>
      </w:pPr>
      <w:r>
        <w:rPr>
          <w:rFonts w:hint="eastAsia" w:cs="宋体"/>
          <w:color w:val="auto"/>
          <w:highlight w:val="none"/>
        </w:rPr>
        <w:t>(一)宣传动员</w:t>
      </w:r>
    </w:p>
    <w:p>
      <w:pPr>
        <w:topLinePunct/>
        <w:adjustRightInd/>
        <w:ind w:firstLine="480" w:firstLineChars="200"/>
        <w:rPr>
          <w:rFonts w:cs="宋体"/>
          <w:color w:val="auto"/>
          <w:highlight w:val="none"/>
        </w:rPr>
      </w:pPr>
      <w:r>
        <w:rPr>
          <w:rFonts w:hint="eastAsia" w:cs="宋体"/>
          <w:color w:val="auto"/>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color w:val="auto"/>
          <w:highlight w:val="none"/>
        </w:rPr>
      </w:pPr>
      <w:r>
        <w:rPr>
          <w:rFonts w:hint="eastAsia" w:cs="宋体"/>
          <w:color w:val="auto"/>
          <w:highlight w:val="none"/>
        </w:rPr>
        <w:t>(二)融资机构选择</w:t>
      </w:r>
    </w:p>
    <w:p>
      <w:pPr>
        <w:topLinePunct/>
        <w:adjustRightInd/>
        <w:ind w:firstLine="480" w:firstLineChars="200"/>
        <w:rPr>
          <w:rFonts w:cs="宋体"/>
          <w:color w:val="auto"/>
          <w:highlight w:val="none"/>
        </w:rPr>
      </w:pPr>
      <w:r>
        <w:rPr>
          <w:rFonts w:hint="eastAsia" w:cs="宋体"/>
          <w:color w:val="auto"/>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auto"/>
          <w:highlight w:val="none"/>
        </w:rPr>
      </w:pPr>
      <w:r>
        <w:rPr>
          <w:rFonts w:hint="eastAsia" w:cs="宋体"/>
          <w:color w:val="auto"/>
          <w:highlight w:val="none"/>
        </w:rPr>
        <w:t>(1)融资机构基本情况；</w:t>
      </w:r>
    </w:p>
    <w:p>
      <w:pPr>
        <w:topLinePunct/>
        <w:adjustRightInd/>
        <w:ind w:firstLine="480" w:firstLineChars="200"/>
        <w:rPr>
          <w:rFonts w:cs="宋体"/>
          <w:color w:val="auto"/>
          <w:highlight w:val="none"/>
        </w:rPr>
      </w:pPr>
      <w:r>
        <w:rPr>
          <w:rFonts w:hint="eastAsia" w:cs="宋体"/>
          <w:color w:val="auto"/>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color w:val="auto"/>
          <w:highlight w:val="none"/>
        </w:rPr>
      </w:pPr>
      <w:r>
        <w:rPr>
          <w:rFonts w:hint="eastAsia" w:cs="宋体"/>
          <w:color w:val="auto"/>
          <w:highlight w:val="none"/>
        </w:rPr>
        <w:t>(3)关于遵照《暂行办法》和《实施方案》开展政府采购信用融资业务的承诺；</w:t>
      </w:r>
    </w:p>
    <w:p>
      <w:pPr>
        <w:topLinePunct/>
        <w:adjustRightInd/>
        <w:ind w:firstLine="480" w:firstLineChars="200"/>
        <w:rPr>
          <w:rFonts w:cs="宋体"/>
          <w:color w:val="auto"/>
          <w:highlight w:val="none"/>
        </w:rPr>
      </w:pPr>
      <w:r>
        <w:rPr>
          <w:rFonts w:hint="eastAsia" w:cs="宋体"/>
          <w:color w:val="auto"/>
          <w:highlight w:val="none"/>
        </w:rPr>
        <w:t>(4)关于政府采购信用融资业务风险及系统对接研发费用自行承担的承诺。</w:t>
      </w:r>
    </w:p>
    <w:p>
      <w:pPr>
        <w:topLinePunct/>
        <w:adjustRightInd/>
        <w:ind w:firstLine="480" w:firstLineChars="200"/>
        <w:rPr>
          <w:rFonts w:cs="宋体"/>
          <w:color w:val="auto"/>
          <w:highlight w:val="none"/>
        </w:rPr>
      </w:pPr>
      <w:r>
        <w:rPr>
          <w:rFonts w:hint="eastAsia" w:cs="宋体"/>
          <w:color w:val="auto"/>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color w:val="auto"/>
          <w:highlight w:val="none"/>
        </w:rPr>
      </w:pPr>
      <w:r>
        <w:rPr>
          <w:rFonts w:hint="eastAsia" w:cs="宋体"/>
          <w:color w:val="auto"/>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color w:val="auto"/>
          <w:highlight w:val="none"/>
        </w:rPr>
      </w:pPr>
      <w:r>
        <w:rPr>
          <w:rFonts w:hint="eastAsia" w:cs="宋体"/>
          <w:color w:val="auto"/>
          <w:highlight w:val="none"/>
        </w:rPr>
        <w:t>(三)其他事项</w:t>
      </w:r>
    </w:p>
    <w:p>
      <w:pPr>
        <w:topLinePunct/>
        <w:adjustRightInd/>
        <w:ind w:firstLine="480" w:firstLineChars="200"/>
        <w:rPr>
          <w:rFonts w:cs="宋体"/>
          <w:color w:val="auto"/>
          <w:highlight w:val="none"/>
        </w:rPr>
      </w:pPr>
      <w:r>
        <w:rPr>
          <w:rFonts w:hint="eastAsia" w:cs="宋体"/>
          <w:color w:val="auto"/>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color w:val="auto"/>
          <w:highlight w:val="none"/>
        </w:rPr>
      </w:pPr>
      <w:r>
        <w:rPr>
          <w:rFonts w:hint="eastAsia" w:cs="宋体"/>
          <w:color w:val="auto"/>
          <w:highlight w:val="none"/>
        </w:rPr>
        <w:t>五、相关要求</w:t>
      </w:r>
    </w:p>
    <w:p>
      <w:pPr>
        <w:topLinePunct/>
        <w:adjustRightInd/>
        <w:ind w:firstLine="480" w:firstLineChars="200"/>
        <w:rPr>
          <w:rFonts w:cs="宋体"/>
          <w:color w:val="auto"/>
          <w:highlight w:val="none"/>
        </w:rPr>
      </w:pPr>
      <w:r>
        <w:rPr>
          <w:rFonts w:hint="eastAsia" w:cs="宋体"/>
          <w:color w:val="auto"/>
          <w:highlight w:val="none"/>
        </w:rPr>
        <w:t>(一)加强组织领导。</w:t>
      </w:r>
      <w:r>
        <w:rPr>
          <w:rFonts w:hint="eastAsia" w:cs="宋体"/>
          <w:color w:val="auto"/>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color w:val="auto"/>
          <w:highlight w:val="none"/>
        </w:rPr>
        <w:t>全面、有序、科学推进政府采购信用融资工作。</w:t>
      </w:r>
    </w:p>
    <w:p>
      <w:pPr>
        <w:topLinePunct/>
        <w:adjustRightInd/>
        <w:ind w:firstLine="480" w:firstLineChars="200"/>
        <w:rPr>
          <w:rFonts w:cs="宋体"/>
          <w:color w:val="auto"/>
          <w:highlight w:val="none"/>
        </w:rPr>
      </w:pPr>
      <w:r>
        <w:rPr>
          <w:rFonts w:hint="eastAsia" w:cs="宋体"/>
          <w:color w:val="auto"/>
          <w:highlight w:val="none"/>
        </w:rPr>
        <w:t>(二)注重协调配合。</w:t>
      </w:r>
      <w:r>
        <w:rPr>
          <w:rFonts w:hint="eastAsia" w:cs="宋体"/>
          <w:color w:val="auto"/>
          <w:kern w:val="0"/>
          <w:highlight w:val="none"/>
        </w:rPr>
        <w:t>市财政局、中国人民银行成都分行营业管理部及采购人</w:t>
      </w:r>
      <w:r>
        <w:rPr>
          <w:rFonts w:hint="eastAsia" w:cs="宋体"/>
          <w:color w:val="auto"/>
          <w:highlight w:val="none"/>
        </w:rPr>
        <w:t>等有关单位要根据职责任务，及时协调解决工作中遇到的困难和问题，积极</w:t>
      </w:r>
      <w:r>
        <w:rPr>
          <w:rFonts w:hint="eastAsia" w:cs="宋体"/>
          <w:color w:val="auto"/>
          <w:kern w:val="0"/>
          <w:highlight w:val="none"/>
        </w:rPr>
        <w:t>创造条件主动服务，帮助有融资需求、符合条件的供应商实现政府采购信用融资，促进中小企业又好又快发展</w:t>
      </w:r>
      <w:r>
        <w:rPr>
          <w:rFonts w:hint="eastAsia" w:cs="宋体"/>
          <w:color w:val="auto"/>
          <w:highlight w:val="none"/>
        </w:rPr>
        <w:t>。</w:t>
      </w:r>
    </w:p>
    <w:p>
      <w:pPr>
        <w:topLinePunct/>
        <w:adjustRightInd/>
        <w:ind w:firstLine="480" w:firstLineChars="200"/>
        <w:rPr>
          <w:rFonts w:cs="宋体"/>
          <w:color w:val="auto"/>
          <w:highlight w:val="none"/>
        </w:rPr>
      </w:pPr>
      <w:r>
        <w:rPr>
          <w:rFonts w:hint="eastAsia" w:cs="宋体"/>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rPr>
          <w:color w:val="auto"/>
          <w:highlight w:val="none"/>
        </w:rPr>
      </w:pPr>
      <w:bookmarkStart w:id="531" w:name="_Toc18440"/>
      <w:r>
        <w:rPr>
          <w:rFonts w:hint="eastAsia"/>
          <w:color w:val="auto"/>
          <w:highlight w:val="none"/>
        </w:rPr>
        <w:br w:type="page"/>
      </w:r>
    </w:p>
    <w:p>
      <w:pPr>
        <w:pStyle w:val="52"/>
        <w:ind w:firstLine="482"/>
        <w:outlineLvl w:val="1"/>
        <w:rPr>
          <w:color w:val="auto"/>
          <w:highlight w:val="none"/>
        </w:rPr>
      </w:pPr>
      <w:bookmarkStart w:id="532" w:name="_Toc1676"/>
      <w:r>
        <w:rPr>
          <w:rFonts w:hint="eastAsia"/>
          <w:color w:val="auto"/>
          <w:highlight w:val="none"/>
        </w:rPr>
        <w:t>附件七：《成都市财政局 中国人民银行成都分行营业管理部关于印发成都市政府采购应对新冠肺炎疫情促进中小企业发展实施细则的通知》成财制〔2020〕2号</w:t>
      </w:r>
      <w:bookmarkEnd w:id="531"/>
      <w:bookmarkEnd w:id="532"/>
    </w:p>
    <w:p>
      <w:pPr>
        <w:spacing w:line="250" w:lineRule="auto"/>
        <w:rPr>
          <w:rFonts w:ascii="Arial"/>
          <w:color w:val="auto"/>
          <w:sz w:val="21"/>
          <w:highlight w:val="none"/>
        </w:rPr>
      </w:pPr>
    </w:p>
    <w:p>
      <w:pPr>
        <w:spacing w:line="240" w:lineRule="auto"/>
        <w:jc w:val="center"/>
        <w:rPr>
          <w:color w:val="auto"/>
          <w:highlight w:val="none"/>
        </w:rPr>
      </w:pPr>
      <w:r>
        <w:rPr>
          <w:color w:val="auto"/>
          <w:highlight w:val="none"/>
        </w:rPr>
        <w:drawing>
          <wp:inline distT="0" distB="0" distL="114300" distR="114300">
            <wp:extent cx="5209540" cy="7532370"/>
            <wp:effectExtent l="0" t="0" r="1016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09540" cy="7532370"/>
                    </a:xfrm>
                    <a:prstGeom prst="rect">
                      <a:avLst/>
                    </a:prstGeom>
                    <a:noFill/>
                    <a:ln>
                      <a:noFill/>
                    </a:ln>
                  </pic:spPr>
                </pic:pic>
              </a:graphicData>
            </a:graphic>
          </wp:inline>
        </w:drawing>
      </w:r>
      <w:r>
        <w:rPr>
          <w:color w:val="auto"/>
          <w:highlight w:val="none"/>
        </w:rPr>
        <w:drawing>
          <wp:inline distT="0" distB="0" distL="114300" distR="114300">
            <wp:extent cx="5447665" cy="6513830"/>
            <wp:effectExtent l="0" t="0" r="63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6"/>
                    <a:stretch>
                      <a:fillRect/>
                    </a:stretch>
                  </pic:blipFill>
                  <pic:spPr>
                    <a:xfrm>
                      <a:off x="0" y="0"/>
                      <a:ext cx="5447665" cy="6513830"/>
                    </a:xfrm>
                    <a:prstGeom prst="rect">
                      <a:avLst/>
                    </a:prstGeom>
                    <a:noFill/>
                    <a:ln>
                      <a:noFill/>
                    </a:ln>
                  </pic:spPr>
                </pic:pic>
              </a:graphicData>
            </a:graphic>
          </wp:inline>
        </w:drawing>
      </w:r>
      <w:r>
        <w:rPr>
          <w:color w:val="auto"/>
          <w:highlight w:val="none"/>
        </w:rPr>
        <w:drawing>
          <wp:inline distT="0" distB="0" distL="114300" distR="114300">
            <wp:extent cx="5513705" cy="7498080"/>
            <wp:effectExtent l="0" t="0" r="1079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7"/>
                    <a:stretch>
                      <a:fillRect/>
                    </a:stretch>
                  </pic:blipFill>
                  <pic:spPr>
                    <a:xfrm>
                      <a:off x="0" y="0"/>
                      <a:ext cx="5513705" cy="7498080"/>
                    </a:xfrm>
                    <a:prstGeom prst="rect">
                      <a:avLst/>
                    </a:prstGeom>
                    <a:noFill/>
                    <a:ln>
                      <a:noFill/>
                    </a:ln>
                  </pic:spPr>
                </pic:pic>
              </a:graphicData>
            </a:graphic>
          </wp:inline>
        </w:drawing>
      </w:r>
      <w:r>
        <w:rPr>
          <w:color w:val="auto"/>
          <w:highlight w:val="none"/>
        </w:rPr>
        <w:drawing>
          <wp:inline distT="0" distB="0" distL="114300" distR="114300">
            <wp:extent cx="5607685" cy="7848600"/>
            <wp:effectExtent l="0" t="0" r="571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8"/>
                    <a:stretch>
                      <a:fillRect/>
                    </a:stretch>
                  </pic:blipFill>
                  <pic:spPr>
                    <a:xfrm>
                      <a:off x="0" y="0"/>
                      <a:ext cx="5607685" cy="7848600"/>
                    </a:xfrm>
                    <a:prstGeom prst="rect">
                      <a:avLst/>
                    </a:prstGeom>
                    <a:noFill/>
                    <a:ln>
                      <a:noFill/>
                    </a:ln>
                  </pic:spPr>
                </pic:pic>
              </a:graphicData>
            </a:graphic>
          </wp:inline>
        </w:drawing>
      </w:r>
      <w:r>
        <w:rPr>
          <w:color w:val="auto"/>
          <w:highlight w:val="none"/>
        </w:rPr>
        <w:drawing>
          <wp:inline distT="0" distB="0" distL="114300" distR="114300">
            <wp:extent cx="5572125" cy="7629525"/>
            <wp:effectExtent l="0" t="0" r="3175"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9"/>
                    <a:stretch>
                      <a:fillRect/>
                    </a:stretch>
                  </pic:blipFill>
                  <pic:spPr>
                    <a:xfrm>
                      <a:off x="0" y="0"/>
                      <a:ext cx="5572125" cy="7629525"/>
                    </a:xfrm>
                    <a:prstGeom prst="rect">
                      <a:avLst/>
                    </a:prstGeom>
                    <a:noFill/>
                    <a:ln>
                      <a:noFill/>
                    </a:ln>
                  </pic:spPr>
                </pic:pic>
              </a:graphicData>
            </a:graphic>
          </wp:inline>
        </w:drawing>
      </w:r>
      <w:r>
        <w:rPr>
          <w:color w:val="auto"/>
          <w:highlight w:val="none"/>
        </w:rPr>
        <w:drawing>
          <wp:inline distT="0" distB="0" distL="114300" distR="114300">
            <wp:extent cx="5359400" cy="5872480"/>
            <wp:effectExtent l="0" t="0" r="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0"/>
                    <a:stretch>
                      <a:fillRect/>
                    </a:stretch>
                  </pic:blipFill>
                  <pic:spPr>
                    <a:xfrm>
                      <a:off x="0" y="0"/>
                      <a:ext cx="5359400" cy="5872480"/>
                    </a:xfrm>
                    <a:prstGeom prst="rect">
                      <a:avLst/>
                    </a:prstGeom>
                    <a:noFill/>
                    <a:ln>
                      <a:noFill/>
                    </a:ln>
                  </pic:spPr>
                </pic:pic>
              </a:graphicData>
            </a:graphic>
          </wp:inline>
        </w:drawing>
      </w:r>
      <w:r>
        <w:rPr>
          <w:color w:val="auto"/>
          <w:highlight w:val="none"/>
        </w:rPr>
        <w:drawing>
          <wp:inline distT="0" distB="0" distL="114300" distR="114300">
            <wp:extent cx="5219700" cy="69977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1"/>
                    <a:stretch>
                      <a:fillRect/>
                    </a:stretch>
                  </pic:blipFill>
                  <pic:spPr>
                    <a:xfrm>
                      <a:off x="0" y="0"/>
                      <a:ext cx="5219700" cy="6997700"/>
                    </a:xfrm>
                    <a:prstGeom prst="rect">
                      <a:avLst/>
                    </a:prstGeom>
                    <a:noFill/>
                    <a:ln>
                      <a:noFill/>
                    </a:ln>
                  </pic:spPr>
                </pic:pic>
              </a:graphicData>
            </a:graphic>
          </wp:inline>
        </w:drawing>
      </w:r>
      <w:r>
        <w:rPr>
          <w:color w:val="auto"/>
          <w:highlight w:val="none"/>
        </w:rPr>
        <w:drawing>
          <wp:inline distT="0" distB="0" distL="114300" distR="114300">
            <wp:extent cx="4953000" cy="1495425"/>
            <wp:effectExtent l="0" t="0" r="0" b="31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2"/>
                    <a:stretch>
                      <a:fillRect/>
                    </a:stretch>
                  </pic:blipFill>
                  <pic:spPr>
                    <a:xfrm>
                      <a:off x="0" y="0"/>
                      <a:ext cx="4953000" cy="1495425"/>
                    </a:xfrm>
                    <a:prstGeom prst="rect">
                      <a:avLst/>
                    </a:prstGeom>
                    <a:noFill/>
                    <a:ln>
                      <a:noFill/>
                    </a:ln>
                  </pic:spPr>
                </pic:pic>
              </a:graphicData>
            </a:graphic>
          </wp:inline>
        </w:drawing>
      </w:r>
    </w:p>
    <w:p>
      <w:pPr>
        <w:rPr>
          <w:color w:val="auto"/>
          <w:highlight w:val="none"/>
        </w:rPr>
      </w:pPr>
      <w:r>
        <w:rPr>
          <w:rFonts w:hint="eastAsia"/>
          <w:color w:val="auto"/>
          <w:highlight w:val="none"/>
        </w:rPr>
        <w:br w:type="page"/>
      </w:r>
    </w:p>
    <w:p>
      <w:pPr>
        <w:pStyle w:val="52"/>
        <w:ind w:firstLine="482"/>
        <w:outlineLvl w:val="1"/>
        <w:rPr>
          <w:color w:val="auto"/>
          <w:highlight w:val="none"/>
        </w:rPr>
      </w:pPr>
      <w:bookmarkStart w:id="533" w:name="_Toc17444"/>
      <w:bookmarkStart w:id="534" w:name="_Toc28938"/>
      <w:bookmarkStart w:id="535" w:name="_Toc4051"/>
      <w:r>
        <w:rPr>
          <w:rFonts w:hint="eastAsia"/>
          <w:color w:val="auto"/>
          <w:highlight w:val="none"/>
        </w:rPr>
        <w:t>附件八：环保标志产品政府采购品目清单</w:t>
      </w:r>
      <w:bookmarkEnd w:id="533"/>
      <w:bookmarkEnd w:id="534"/>
      <w:bookmarkEnd w:id="535"/>
    </w:p>
    <w:p>
      <w:pPr>
        <w:pStyle w:val="52"/>
        <w:ind w:firstLine="482"/>
        <w:rPr>
          <w:color w:val="auto"/>
          <w:highlight w:val="none"/>
        </w:rPr>
      </w:pPr>
      <w:r>
        <w:rPr>
          <w:color w:val="auto"/>
          <w:highlight w:val="none"/>
        </w:rPr>
        <w:drawing>
          <wp:anchor distT="0" distB="0" distL="114300" distR="114300" simplePos="0" relativeHeight="251664384" behindDoc="1" locked="0" layoutInCell="1" allowOverlap="1">
            <wp:simplePos x="0" y="0"/>
            <wp:positionH relativeFrom="column">
              <wp:posOffset>95885</wp:posOffset>
            </wp:positionH>
            <wp:positionV relativeFrom="paragraph">
              <wp:posOffset>104775</wp:posOffset>
            </wp:positionV>
            <wp:extent cx="5960110" cy="7155180"/>
            <wp:effectExtent l="0" t="0" r="8890" b="7620"/>
            <wp:wrapTight wrapText="bothSides">
              <wp:wrapPolygon>
                <wp:start x="0" y="0"/>
                <wp:lineTo x="0" y="21546"/>
                <wp:lineTo x="21540" y="21546"/>
                <wp:lineTo x="21540" y="0"/>
                <wp:lineTo x="0"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stretch>
                      <a:fillRect/>
                    </a:stretch>
                  </pic:blipFill>
                  <pic:spPr>
                    <a:xfrm>
                      <a:off x="0" y="0"/>
                      <a:ext cx="5960110" cy="7155180"/>
                    </a:xfrm>
                    <a:prstGeom prst="rect">
                      <a:avLst/>
                    </a:prstGeom>
                    <a:noFill/>
                    <a:ln>
                      <a:noFill/>
                    </a:ln>
                  </pic:spPr>
                </pic:pic>
              </a:graphicData>
            </a:graphic>
          </wp:anchor>
        </w:drawing>
      </w:r>
    </w:p>
    <w:p>
      <w:pPr>
        <w:rPr>
          <w:color w:val="auto"/>
          <w:highlight w:val="none"/>
        </w:rPr>
      </w:pPr>
      <w:r>
        <w:rPr>
          <w:rFonts w:hint="eastAsia"/>
          <w:color w:val="auto"/>
          <w:highlight w:val="none"/>
        </w:rPr>
        <w:br w:type="page"/>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65408" behindDoc="1" locked="0" layoutInCell="1" allowOverlap="1">
            <wp:simplePos x="0" y="0"/>
            <wp:positionH relativeFrom="column">
              <wp:posOffset>-12065</wp:posOffset>
            </wp:positionH>
            <wp:positionV relativeFrom="paragraph">
              <wp:posOffset>168275</wp:posOffset>
            </wp:positionV>
            <wp:extent cx="6058535" cy="8411210"/>
            <wp:effectExtent l="0" t="0" r="12065" b="8890"/>
            <wp:wrapTight wrapText="bothSides">
              <wp:wrapPolygon>
                <wp:start x="0" y="0"/>
                <wp:lineTo x="0" y="21558"/>
                <wp:lineTo x="21552" y="21558"/>
                <wp:lineTo x="21552"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4"/>
                    <a:stretch>
                      <a:fillRect/>
                    </a:stretch>
                  </pic:blipFill>
                  <pic:spPr>
                    <a:xfrm>
                      <a:off x="0" y="0"/>
                      <a:ext cx="6058535" cy="8411210"/>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66432" behindDoc="1" locked="0" layoutInCell="1" allowOverlap="1">
            <wp:simplePos x="0" y="0"/>
            <wp:positionH relativeFrom="column">
              <wp:posOffset>-63500</wp:posOffset>
            </wp:positionH>
            <wp:positionV relativeFrom="paragraph">
              <wp:posOffset>211455</wp:posOffset>
            </wp:positionV>
            <wp:extent cx="6181725" cy="7914640"/>
            <wp:effectExtent l="0" t="0" r="3175" b="10160"/>
            <wp:wrapTight wrapText="bothSides">
              <wp:wrapPolygon>
                <wp:start x="0" y="0"/>
                <wp:lineTo x="0" y="21558"/>
                <wp:lineTo x="21567" y="21558"/>
                <wp:lineTo x="21567"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5"/>
                    <a:stretch>
                      <a:fillRect/>
                    </a:stretch>
                  </pic:blipFill>
                  <pic:spPr>
                    <a:xfrm>
                      <a:off x="0" y="0"/>
                      <a:ext cx="6181725" cy="7914640"/>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67456" behindDoc="1" locked="0" layoutInCell="1" allowOverlap="1">
            <wp:simplePos x="0" y="0"/>
            <wp:positionH relativeFrom="column">
              <wp:posOffset>-62865</wp:posOffset>
            </wp:positionH>
            <wp:positionV relativeFrom="paragraph">
              <wp:posOffset>153670</wp:posOffset>
            </wp:positionV>
            <wp:extent cx="6182995" cy="7993380"/>
            <wp:effectExtent l="0" t="0" r="1905" b="7620"/>
            <wp:wrapTight wrapText="bothSides">
              <wp:wrapPolygon>
                <wp:start x="0" y="0"/>
                <wp:lineTo x="0" y="21552"/>
                <wp:lineTo x="21562" y="21552"/>
                <wp:lineTo x="21562"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6"/>
                    <a:stretch>
                      <a:fillRect/>
                    </a:stretch>
                  </pic:blipFill>
                  <pic:spPr>
                    <a:xfrm>
                      <a:off x="0" y="0"/>
                      <a:ext cx="6182995" cy="7993380"/>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68480" behindDoc="1" locked="0" layoutInCell="1" allowOverlap="1">
            <wp:simplePos x="0" y="0"/>
            <wp:positionH relativeFrom="column">
              <wp:posOffset>0</wp:posOffset>
            </wp:positionH>
            <wp:positionV relativeFrom="paragraph">
              <wp:posOffset>52705</wp:posOffset>
            </wp:positionV>
            <wp:extent cx="6187440" cy="7530465"/>
            <wp:effectExtent l="0" t="0" r="10160" b="635"/>
            <wp:wrapTight wrapText="bothSides">
              <wp:wrapPolygon>
                <wp:start x="0" y="0"/>
                <wp:lineTo x="0" y="21565"/>
                <wp:lineTo x="21547" y="21565"/>
                <wp:lineTo x="21547"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6187440" cy="7530465"/>
                    </a:xfrm>
                    <a:prstGeom prst="rect">
                      <a:avLst/>
                    </a:prstGeom>
                    <a:noFill/>
                    <a:ln>
                      <a:noFill/>
                    </a:ln>
                  </pic:spPr>
                </pic:pic>
              </a:graphicData>
            </a:graphic>
          </wp:anchor>
        </w:drawing>
      </w:r>
    </w:p>
    <w:p>
      <w:pPr>
        <w:pStyle w:val="52"/>
        <w:ind w:firstLine="482"/>
        <w:outlineLvl w:val="1"/>
        <w:rPr>
          <w:color w:val="auto"/>
          <w:highlight w:val="none"/>
        </w:rPr>
      </w:pPr>
      <w:bookmarkStart w:id="536" w:name="_Toc16440"/>
      <w:bookmarkStart w:id="537" w:name="_Toc19436"/>
      <w:bookmarkStart w:id="538" w:name="_Toc16369"/>
      <w:r>
        <w:rPr>
          <w:rFonts w:hint="eastAsia"/>
          <w:color w:val="auto"/>
          <w:highlight w:val="none"/>
        </w:rPr>
        <w:t>附件九：节能产品政府采购品目清单</w:t>
      </w:r>
      <w:bookmarkEnd w:id="536"/>
      <w:bookmarkEnd w:id="537"/>
      <w:bookmarkEnd w:id="538"/>
    </w:p>
    <w:p>
      <w:pPr>
        <w:pStyle w:val="52"/>
        <w:ind w:firstLine="482"/>
        <w:rPr>
          <w:color w:val="auto"/>
          <w:highlight w:val="none"/>
        </w:rPr>
      </w:pPr>
      <w:r>
        <w:rPr>
          <w:color w:val="auto"/>
          <w:highlight w:val="none"/>
        </w:rPr>
        <w:drawing>
          <wp:anchor distT="0" distB="0" distL="114300" distR="114300" simplePos="0" relativeHeight="251669504" behindDoc="1" locked="0" layoutInCell="1" allowOverlap="1">
            <wp:simplePos x="0" y="0"/>
            <wp:positionH relativeFrom="column">
              <wp:posOffset>80645</wp:posOffset>
            </wp:positionH>
            <wp:positionV relativeFrom="paragraph">
              <wp:posOffset>40005</wp:posOffset>
            </wp:positionV>
            <wp:extent cx="5941695" cy="7299325"/>
            <wp:effectExtent l="0" t="0" r="1905" b="3175"/>
            <wp:wrapTight wrapText="bothSides">
              <wp:wrapPolygon>
                <wp:start x="0" y="0"/>
                <wp:lineTo x="0" y="21572"/>
                <wp:lineTo x="21561" y="21572"/>
                <wp:lineTo x="21561" y="0"/>
                <wp:lineTo x="0" y="0"/>
              </wp:wrapPolygon>
            </wp:wrapTight>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8"/>
                    <a:stretch>
                      <a:fillRect/>
                    </a:stretch>
                  </pic:blipFill>
                  <pic:spPr>
                    <a:xfrm>
                      <a:off x="0" y="0"/>
                      <a:ext cx="5941695" cy="7299325"/>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70528" behindDoc="1" locked="0" layoutInCell="1" allowOverlap="1">
            <wp:simplePos x="0" y="0"/>
            <wp:positionH relativeFrom="column">
              <wp:posOffset>0</wp:posOffset>
            </wp:positionH>
            <wp:positionV relativeFrom="paragraph">
              <wp:posOffset>4445</wp:posOffset>
            </wp:positionV>
            <wp:extent cx="5880735" cy="8602345"/>
            <wp:effectExtent l="0" t="0" r="12065" b="8255"/>
            <wp:wrapTight wrapText="bothSides">
              <wp:wrapPolygon>
                <wp:start x="0" y="0"/>
                <wp:lineTo x="0" y="21557"/>
                <wp:lineTo x="21551" y="21557"/>
                <wp:lineTo x="21551"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5880735" cy="8602345"/>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71552" behindDoc="1" locked="0" layoutInCell="1" allowOverlap="1">
            <wp:simplePos x="0" y="0"/>
            <wp:positionH relativeFrom="column">
              <wp:posOffset>194945</wp:posOffset>
            </wp:positionH>
            <wp:positionV relativeFrom="paragraph">
              <wp:posOffset>24130</wp:posOffset>
            </wp:positionV>
            <wp:extent cx="5781675" cy="8566150"/>
            <wp:effectExtent l="0" t="0" r="9525" b="6350"/>
            <wp:wrapTight wrapText="bothSides">
              <wp:wrapPolygon>
                <wp:start x="0" y="0"/>
                <wp:lineTo x="0" y="21584"/>
                <wp:lineTo x="21541" y="21584"/>
                <wp:lineTo x="21541"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5781675" cy="8566150"/>
                    </a:xfrm>
                    <a:prstGeom prst="rect">
                      <a:avLst/>
                    </a:prstGeom>
                    <a:noFill/>
                    <a:ln>
                      <a:noFill/>
                    </a:ln>
                  </pic:spPr>
                </pic:pic>
              </a:graphicData>
            </a:graphic>
          </wp:anchor>
        </w:drawing>
      </w:r>
    </w:p>
    <w:p>
      <w:pPr>
        <w:pStyle w:val="52"/>
        <w:ind w:firstLine="48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72576" behindDoc="1" locked="0" layoutInCell="1" allowOverlap="1">
            <wp:simplePos x="0" y="0"/>
            <wp:positionH relativeFrom="column">
              <wp:posOffset>110490</wp:posOffset>
            </wp:positionH>
            <wp:positionV relativeFrom="paragraph">
              <wp:posOffset>139065</wp:posOffset>
            </wp:positionV>
            <wp:extent cx="5744210" cy="8425815"/>
            <wp:effectExtent l="0" t="0" r="8890" b="6985"/>
            <wp:wrapTight wrapText="bothSides">
              <wp:wrapPolygon>
                <wp:start x="0" y="0"/>
                <wp:lineTo x="0" y="21553"/>
                <wp:lineTo x="21538" y="21553"/>
                <wp:lineTo x="21538" y="0"/>
                <wp:lineTo x="0" y="0"/>
              </wp:wrapPolygon>
            </wp:wrapTight>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1"/>
                    <a:stretch>
                      <a:fillRect/>
                    </a:stretch>
                  </pic:blipFill>
                  <pic:spPr>
                    <a:xfrm>
                      <a:off x="0" y="0"/>
                      <a:ext cx="5744210" cy="8425815"/>
                    </a:xfrm>
                    <a:prstGeom prst="rect">
                      <a:avLst/>
                    </a:prstGeom>
                    <a:noFill/>
                    <a:ln>
                      <a:noFill/>
                    </a:ln>
                  </pic:spPr>
                </pic:pic>
              </a:graphicData>
            </a:graphic>
          </wp:anchor>
        </w:drawing>
      </w:r>
    </w:p>
    <w:p>
      <w:pPr>
        <w:pStyle w:val="52"/>
        <w:ind w:firstLine="482"/>
        <w:outlineLvl w:val="2"/>
        <w:rPr>
          <w:color w:val="auto"/>
          <w:highlight w:val="none"/>
        </w:rPr>
        <w:sectPr>
          <w:pgSz w:w="11906" w:h="16838"/>
          <w:pgMar w:top="1440" w:right="1080" w:bottom="1440" w:left="1080" w:header="851" w:footer="992" w:gutter="0"/>
          <w:cols w:space="0" w:num="1"/>
          <w:titlePg/>
          <w:docGrid w:linePitch="312" w:charSpace="0"/>
        </w:sectPr>
      </w:pPr>
      <w:r>
        <w:rPr>
          <w:color w:val="auto"/>
          <w:highlight w:val="none"/>
        </w:rPr>
        <w:drawing>
          <wp:anchor distT="0" distB="0" distL="114300" distR="114300" simplePos="0" relativeHeight="251673600" behindDoc="1" locked="0" layoutInCell="1" allowOverlap="1">
            <wp:simplePos x="0" y="0"/>
            <wp:positionH relativeFrom="column">
              <wp:posOffset>59055</wp:posOffset>
            </wp:positionH>
            <wp:positionV relativeFrom="paragraph">
              <wp:posOffset>174625</wp:posOffset>
            </wp:positionV>
            <wp:extent cx="6010910" cy="7803515"/>
            <wp:effectExtent l="0" t="0" r="8890" b="6985"/>
            <wp:wrapTight wrapText="bothSides">
              <wp:wrapPolygon>
                <wp:start x="0" y="0"/>
                <wp:lineTo x="0" y="21549"/>
                <wp:lineTo x="21541" y="21549"/>
                <wp:lineTo x="21541" y="0"/>
                <wp:lineTo x="0" y="0"/>
              </wp:wrapPolygon>
            </wp:wrapTight>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42"/>
                    <a:stretch>
                      <a:fillRect/>
                    </a:stretch>
                  </pic:blipFill>
                  <pic:spPr>
                    <a:xfrm>
                      <a:off x="0" y="0"/>
                      <a:ext cx="6010910" cy="7803515"/>
                    </a:xfrm>
                    <a:prstGeom prst="rect">
                      <a:avLst/>
                    </a:prstGeom>
                    <a:noFill/>
                    <a:ln>
                      <a:noFill/>
                    </a:ln>
                  </pic:spPr>
                </pic:pic>
              </a:graphicData>
            </a:graphic>
          </wp:anchor>
        </w:drawing>
      </w:r>
    </w:p>
    <w:p>
      <w:pPr>
        <w:pStyle w:val="52"/>
        <w:ind w:firstLine="482"/>
        <w:outlineLvl w:val="1"/>
        <w:rPr>
          <w:color w:val="auto"/>
          <w:highlight w:val="none"/>
        </w:rPr>
      </w:pPr>
      <w:bookmarkStart w:id="539" w:name="_Toc29263"/>
      <w:bookmarkStart w:id="540" w:name="_Toc891"/>
      <w:bookmarkStart w:id="541" w:name="_Toc16184"/>
      <w:r>
        <w:rPr>
          <w:rFonts w:hint="eastAsia"/>
          <w:color w:val="auto"/>
          <w:highlight w:val="none"/>
        </w:rPr>
        <w:t>附件十：质疑函和投诉书范本</w:t>
      </w:r>
      <w:bookmarkEnd w:id="539"/>
      <w:bookmarkEnd w:id="540"/>
      <w:bookmarkEnd w:id="541"/>
    </w:p>
    <w:p>
      <w:pPr>
        <w:jc w:val="center"/>
        <w:rPr>
          <w:rFonts w:ascii="仿宋" w:hAnsi="仿宋" w:eastAsia="仿宋" w:cs="仿宋"/>
          <w:b/>
          <w:bCs/>
          <w:color w:val="auto"/>
          <w:sz w:val="44"/>
          <w:szCs w:val="44"/>
          <w:highlight w:val="none"/>
        </w:rPr>
      </w:pPr>
    </w:p>
    <w:p>
      <w:pPr>
        <w:jc w:val="center"/>
        <w:outlineLvl w:val="3"/>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pPr>
        <w:wordWrap w:val="0"/>
        <w:topLinePunct/>
        <w:ind w:firstLine="480" w:firstLineChars="200"/>
        <w:jc w:val="both"/>
        <w:rPr>
          <w:rFonts w:ascii="黑体" w:hAnsi="黑体" w:eastAsia="黑体" w:cs="仿宋"/>
          <w:bCs/>
          <w:color w:val="auto"/>
          <w:highlight w:val="none"/>
        </w:rPr>
      </w:pPr>
      <w:r>
        <w:rPr>
          <w:rFonts w:hint="eastAsia" w:ascii="黑体" w:hAnsi="黑体" w:eastAsia="黑体" w:cs="仿宋"/>
          <w:bCs/>
          <w:color w:val="auto"/>
          <w:highlight w:val="none"/>
        </w:rPr>
        <w:t>一、质疑供应商基本信息</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质疑供应商：</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地址：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授权代表：</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ascii="仿宋" w:hAnsi="仿宋" w:eastAsia="仿宋" w:cs="仿宋"/>
          <w:color w:val="auto"/>
          <w:highlight w:val="none"/>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地址：</w:t>
      </w:r>
      <w:r>
        <w:rPr>
          <w:rFonts w:ascii="仿宋" w:hAnsi="仿宋" w:eastAsia="仿宋" w:cs="仿宋"/>
          <w:color w:val="auto"/>
          <w:highlight w:val="none"/>
        </w:rPr>
        <w:t xml:space="preserve"> </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黑体" w:hAnsi="黑体" w:eastAsia="黑体" w:cs="仿宋"/>
          <w:bCs/>
          <w:color w:val="auto"/>
          <w:highlight w:val="none"/>
        </w:rPr>
      </w:pPr>
      <w:r>
        <w:rPr>
          <w:rFonts w:hint="eastAsia" w:ascii="黑体" w:hAnsi="黑体" w:eastAsia="黑体" w:cs="仿宋"/>
          <w:bCs/>
          <w:color w:val="auto"/>
          <w:highlight w:val="none"/>
        </w:rPr>
        <w:t>二、质疑项目基本情况</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质疑项目的名称：</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质疑项目的编号：</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包号：</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采购人名称：</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采购文件获取日期：</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黑体" w:hAnsi="黑体" w:eastAsia="黑体" w:cs="仿宋"/>
          <w:bCs/>
          <w:color w:val="auto"/>
          <w:highlight w:val="none"/>
        </w:rPr>
      </w:pPr>
      <w:r>
        <w:rPr>
          <w:rFonts w:hint="eastAsia" w:ascii="黑体" w:hAnsi="黑体" w:eastAsia="黑体" w:cs="仿宋"/>
          <w:bCs/>
          <w:color w:val="auto"/>
          <w:highlight w:val="none"/>
        </w:rPr>
        <w:t>三、质疑事项具体内容</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质疑事项1：</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事实依据：</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法律依据：</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质疑事项2</w:t>
      </w:r>
    </w:p>
    <w:p>
      <w:pPr>
        <w:wordWrap w:val="0"/>
        <w:topLinePunct/>
        <w:ind w:firstLine="480" w:firstLineChars="200"/>
        <w:jc w:val="both"/>
        <w:rPr>
          <w:rFonts w:ascii="仿宋" w:hAnsi="仿宋" w:eastAsia="仿宋" w:cs="仿宋"/>
          <w:color w:val="auto"/>
          <w:highlight w:val="none"/>
        </w:rPr>
      </w:pPr>
      <w:r>
        <w:rPr>
          <w:rFonts w:hint="eastAsia" w:ascii="仿宋" w:hAnsi="仿宋" w:eastAsia="仿宋" w:cs="仿宋"/>
          <w:color w:val="auto"/>
          <w:highlight w:val="none"/>
        </w:rPr>
        <w:t>……</w:t>
      </w:r>
    </w:p>
    <w:p>
      <w:pPr>
        <w:wordWrap w:val="0"/>
        <w:topLinePunct/>
        <w:ind w:firstLine="480" w:firstLineChars="200"/>
        <w:jc w:val="both"/>
        <w:rPr>
          <w:rFonts w:ascii="黑体" w:hAnsi="黑体" w:eastAsia="黑体" w:cs="仿宋"/>
          <w:bCs/>
          <w:color w:val="auto"/>
          <w:highlight w:val="none"/>
        </w:rPr>
      </w:pPr>
      <w:r>
        <w:rPr>
          <w:rFonts w:hint="eastAsia" w:ascii="黑体" w:hAnsi="黑体" w:eastAsia="黑体" w:cs="仿宋"/>
          <w:bCs/>
          <w:color w:val="auto"/>
          <w:highlight w:val="none"/>
        </w:rPr>
        <w:t>四、与质疑事项相关的质疑请求</w:t>
      </w:r>
    </w:p>
    <w:p>
      <w:pPr>
        <w:wordWrap w:val="0"/>
        <w:topLinePunct/>
        <w:ind w:firstLine="480" w:firstLineChars="200"/>
        <w:jc w:val="both"/>
        <w:rPr>
          <w:rFonts w:ascii="仿宋" w:hAnsi="仿宋" w:eastAsia="仿宋" w:cs="仿宋"/>
          <w:color w:val="auto"/>
          <w:highlight w:val="none"/>
          <w:u w:val="dotted"/>
        </w:rPr>
      </w:pPr>
      <w:r>
        <w:rPr>
          <w:rFonts w:hint="eastAsia" w:ascii="仿宋" w:hAnsi="仿宋" w:eastAsia="仿宋" w:cs="仿宋"/>
          <w:color w:val="auto"/>
          <w:highlight w:val="none"/>
        </w:rPr>
        <w:t>请求：</w:t>
      </w:r>
      <w:r>
        <w:rPr>
          <w:rFonts w:hint="eastAsia" w:ascii="仿宋" w:hAnsi="仿宋" w:eastAsia="仿宋" w:cs="仿宋"/>
          <w:color w:val="auto"/>
          <w:highlight w:val="none"/>
          <w:u w:val="dotted"/>
        </w:rPr>
        <w:t xml:space="preserve">                                               </w:t>
      </w:r>
    </w:p>
    <w:p>
      <w:pPr>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 xml:space="preserve">签字(签章)：                   公章：                      </w:t>
      </w:r>
    </w:p>
    <w:p>
      <w:pPr>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 xml:space="preserve">日期：    </w:t>
      </w:r>
    </w:p>
    <w:p>
      <w:pPr>
        <w:wordWrap w:val="0"/>
        <w:topLinePunct/>
        <w:ind w:firstLine="480" w:firstLineChars="200"/>
        <w:jc w:val="both"/>
        <w:rPr>
          <w:rFonts w:ascii="仿宋" w:hAnsi="仿宋" w:eastAsia="仿宋" w:cs="仿宋"/>
          <w:color w:val="auto"/>
          <w:highlight w:val="none"/>
        </w:rPr>
      </w:pPr>
    </w:p>
    <w:p>
      <w:pPr>
        <w:wordWrap w:val="0"/>
        <w:topLinePunct/>
        <w:ind w:firstLine="480" w:firstLineChars="200"/>
        <w:jc w:val="both"/>
        <w:rPr>
          <w:rFonts w:ascii="仿宋" w:hAnsi="仿宋" w:eastAsia="仿宋" w:cs="仿宋"/>
          <w:color w:val="auto"/>
          <w:highlight w:val="none"/>
        </w:rPr>
      </w:pPr>
    </w:p>
    <w:p>
      <w:pPr>
        <w:wordWrap w:val="0"/>
        <w:topLinePunct/>
        <w:ind w:firstLine="482" w:firstLineChars="200"/>
        <w:jc w:val="both"/>
        <w:rPr>
          <w:rFonts w:ascii="仿宋" w:hAnsi="仿宋" w:eastAsia="仿宋" w:cs="仿宋"/>
          <w:b/>
          <w:bCs/>
          <w:color w:val="auto"/>
          <w:highlight w:val="none"/>
        </w:rPr>
      </w:pPr>
    </w:p>
    <w:p>
      <w:pPr>
        <w:wordWrap w:val="0"/>
        <w:topLinePunct/>
        <w:ind w:firstLine="482" w:firstLineChars="200"/>
        <w:jc w:val="both"/>
        <w:rPr>
          <w:rFonts w:ascii="仿宋" w:hAnsi="仿宋" w:eastAsia="仿宋" w:cs="仿宋"/>
          <w:b/>
          <w:bCs/>
          <w:color w:val="auto"/>
          <w:highlight w:val="none"/>
        </w:rPr>
      </w:pPr>
    </w:p>
    <w:p>
      <w:pPr>
        <w:wordWrap w:val="0"/>
        <w:topLinePunct/>
        <w:ind w:firstLine="482" w:firstLineChars="200"/>
        <w:jc w:val="both"/>
        <w:rPr>
          <w:rFonts w:ascii="黑体" w:hAnsi="黑体" w:eastAsia="黑体"/>
          <w:b/>
          <w:color w:val="auto"/>
          <w:highlight w:val="none"/>
        </w:rPr>
      </w:pPr>
      <w:r>
        <w:rPr>
          <w:rFonts w:hint="eastAsia" w:ascii="黑体" w:hAnsi="黑体" w:eastAsia="黑体"/>
          <w:b/>
          <w:color w:val="auto"/>
          <w:highlight w:val="none"/>
        </w:rPr>
        <w:t>质疑函制作说明：</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1.供应商提出质疑时，应提交质疑函和必要的证明材料。</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2.质疑供应商若委托代理人进行质疑的，质疑函应按要求列明“授权代表”的有关内容，并在附件中提交由质疑</w:t>
      </w:r>
      <w:r>
        <w:rPr>
          <w:rFonts w:hint="eastAsia" w:ascii="仿宋_GB2312" w:eastAsia="仿宋_GB2312" w:cs="宋体"/>
          <w:color w:val="auto"/>
          <w:kern w:val="0"/>
          <w:highlight w:val="none"/>
        </w:rPr>
        <w:t>供应商签署的授权委托书。授权委托书应载明代理人的姓名或者名称、代理事项、具体权限、期限和相关事项。</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3.质疑供应商若对项目的某一分包进行质疑，质疑函中应列明具体分包号。</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4.质疑函的质疑事项应具体、明确，并有必要的事实依据和法律依据。</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5.质疑函的质疑请求应与质疑事项相关。</w:t>
      </w:r>
    </w:p>
    <w:p>
      <w:pPr>
        <w:widowControl/>
        <w:wordWrap w:val="0"/>
        <w:topLinePunct/>
        <w:ind w:firstLine="480" w:firstLineChars="200"/>
        <w:jc w:val="both"/>
        <w:rPr>
          <w:rFonts w:ascii="仿宋_GB2312" w:eastAsia="仿宋_GB2312"/>
          <w:color w:val="auto"/>
          <w:highlight w:val="none"/>
        </w:rPr>
      </w:pPr>
      <w:r>
        <w:rPr>
          <w:rFonts w:hint="eastAsia" w:ascii="仿宋_GB2312" w:eastAsia="仿宋_GB2312"/>
          <w:color w:val="auto"/>
          <w:highlight w:val="none"/>
        </w:rPr>
        <w:t>6.质疑供应商为自然人的，质疑函应由本人签字；质疑供应商为法人或者其他组织的，质疑函应由法定代表人、主要负责人，或者其授权代表签字或者盖章，并加盖公章。</w:t>
      </w:r>
    </w:p>
    <w:p>
      <w:pPr>
        <w:widowControl/>
        <w:wordWrap w:val="0"/>
        <w:topLinePunct/>
        <w:ind w:firstLine="480" w:firstLineChars="200"/>
        <w:jc w:val="both"/>
        <w:rPr>
          <w:rFonts w:ascii="仿宋_GB2312" w:eastAsia="仿宋_GB2312"/>
          <w:color w:val="auto"/>
          <w:highlight w:val="none"/>
        </w:rPr>
        <w:sectPr>
          <w:pgSz w:w="11906" w:h="16838"/>
          <w:pgMar w:top="1440" w:right="1080" w:bottom="1440" w:left="1080" w:header="851" w:footer="992" w:gutter="0"/>
          <w:cols w:space="0" w:num="1"/>
          <w:titlePg/>
          <w:docGrid w:linePitch="312" w:charSpace="0"/>
        </w:sectPr>
      </w:pPr>
    </w:p>
    <w:p>
      <w:pPr>
        <w:jc w:val="center"/>
        <w:outlineLvl w:val="3"/>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pPr>
        <w:wordWrap w:val="0"/>
        <w:topLinePunct/>
        <w:ind w:firstLine="480" w:firstLineChars="200"/>
        <w:jc w:val="both"/>
        <w:rPr>
          <w:rFonts w:cs="宋体"/>
          <w:color w:val="auto"/>
          <w:highlight w:val="none"/>
        </w:rPr>
      </w:pPr>
      <w:r>
        <w:rPr>
          <w:rFonts w:hint="eastAsia" w:cs="宋体"/>
          <w:color w:val="auto"/>
          <w:highlight w:val="none"/>
        </w:rPr>
        <w:t>一、投诉相关主体基本情况</w:t>
      </w:r>
    </w:p>
    <w:p>
      <w:pPr>
        <w:wordWrap w:val="0"/>
        <w:topLinePunct/>
        <w:ind w:firstLine="480" w:firstLineChars="200"/>
        <w:jc w:val="both"/>
        <w:rPr>
          <w:rFonts w:cs="宋体"/>
          <w:color w:val="auto"/>
          <w:highlight w:val="none"/>
          <w:u w:val="dotted"/>
        </w:rPr>
      </w:pPr>
      <w:r>
        <w:rPr>
          <w:rFonts w:hint="eastAsia" w:cs="宋体"/>
          <w:color w:val="auto"/>
          <w:highlight w:val="none"/>
        </w:rPr>
        <w:t>投诉人：</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地     址：</w:t>
      </w:r>
      <w:r>
        <w:rPr>
          <w:rFonts w:hint="eastAsia" w:cs="宋体"/>
          <w:color w:val="auto"/>
          <w:highlight w:val="none"/>
          <w:u w:val="dotted"/>
        </w:rPr>
        <w:t xml:space="preserve">                             </w:t>
      </w:r>
      <w:r>
        <w:rPr>
          <w:rFonts w:hint="eastAsia" w:cs="宋体"/>
          <w:color w:val="auto"/>
          <w:highlight w:val="none"/>
        </w:rPr>
        <w:t>邮编：</w:t>
      </w:r>
      <w:r>
        <w:rPr>
          <w:rFonts w:hint="eastAsia" w:cs="宋体"/>
          <w:color w:val="auto"/>
          <w:highlight w:val="none"/>
          <w:u w:val="dotted"/>
        </w:rPr>
        <w:t xml:space="preserve">         </w:t>
      </w:r>
      <w:r>
        <w:rPr>
          <w:rFonts w:hint="eastAsia" w:cs="宋体"/>
          <w:color w:val="auto"/>
          <w:highlight w:val="none"/>
          <w:u w:val="single"/>
        </w:rPr>
        <w:t xml:space="preserve">   </w:t>
      </w:r>
    </w:p>
    <w:p>
      <w:pPr>
        <w:tabs>
          <w:tab w:val="left" w:pos="6510"/>
          <w:tab w:val="clear" w:pos="0"/>
        </w:tabs>
        <w:wordWrap w:val="0"/>
        <w:topLinePunct/>
        <w:ind w:firstLine="480" w:firstLineChars="200"/>
        <w:jc w:val="both"/>
        <w:rPr>
          <w:rFonts w:cs="宋体"/>
          <w:color w:val="auto"/>
          <w:highlight w:val="none"/>
        </w:rPr>
      </w:pPr>
      <w:r>
        <w:rPr>
          <w:rFonts w:hint="eastAsia" w:cs="宋体"/>
          <w:color w:val="auto"/>
          <w:highlight w:val="none"/>
        </w:rPr>
        <w:t>法定代表人/主要负责人：</w:t>
      </w:r>
      <w:r>
        <w:rPr>
          <w:rFonts w:hint="eastAsia" w:cs="宋体"/>
          <w:color w:val="auto"/>
          <w:highlight w:val="none"/>
          <w:u w:val="dotted"/>
        </w:rPr>
        <w:t xml:space="preserve">                                   </w:t>
      </w:r>
      <w:r>
        <w:rPr>
          <w:rFonts w:hint="eastAsia" w:cs="宋体"/>
          <w:color w:val="auto"/>
          <w:highlight w:val="none"/>
        </w:rPr>
        <w:t xml:space="preserve">  </w:t>
      </w:r>
    </w:p>
    <w:p>
      <w:pPr>
        <w:tabs>
          <w:tab w:val="left" w:pos="6510"/>
          <w:tab w:val="clear" w:pos="0"/>
        </w:tabs>
        <w:wordWrap w:val="0"/>
        <w:topLinePunct/>
        <w:ind w:firstLine="480" w:firstLineChars="200"/>
        <w:jc w:val="both"/>
        <w:rPr>
          <w:rFonts w:cs="宋体"/>
          <w:color w:val="auto"/>
          <w:highlight w:val="none"/>
          <w:u w:val="dotted"/>
        </w:rPr>
      </w:pPr>
      <w:r>
        <w:rPr>
          <w:rFonts w:hint="eastAsia" w:cs="宋体"/>
          <w:color w:val="auto"/>
          <w:highlight w:val="none"/>
        </w:rPr>
        <w:t>联系电话：</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dotted"/>
        </w:rPr>
      </w:pPr>
      <w:r>
        <w:rPr>
          <w:rFonts w:hint="eastAsia" w:cs="宋体"/>
          <w:color w:val="auto"/>
          <w:highlight w:val="none"/>
        </w:rPr>
        <w:t>授权代表：</w:t>
      </w:r>
      <w:r>
        <w:rPr>
          <w:rFonts w:hint="eastAsia" w:cs="宋体"/>
          <w:color w:val="auto"/>
          <w:highlight w:val="none"/>
          <w:u w:val="dotted"/>
        </w:rPr>
        <w:t xml:space="preserve">             </w:t>
      </w:r>
      <w:r>
        <w:rPr>
          <w:rFonts w:hint="eastAsia" w:cs="宋体"/>
          <w:color w:val="auto"/>
          <w:highlight w:val="none"/>
        </w:rPr>
        <w:t>联系电话</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dotted"/>
        </w:rPr>
      </w:pPr>
      <w:r>
        <w:rPr>
          <w:rFonts w:hint="eastAsia" w:cs="宋体"/>
          <w:color w:val="auto"/>
          <w:highlight w:val="none"/>
        </w:rPr>
        <w:t>地     址：</w:t>
      </w:r>
      <w:r>
        <w:rPr>
          <w:rFonts w:hint="eastAsia" w:cs="宋体"/>
          <w:color w:val="auto"/>
          <w:highlight w:val="none"/>
          <w:u w:val="dotted"/>
        </w:rPr>
        <w:t xml:space="preserve">                             </w:t>
      </w:r>
      <w:r>
        <w:rPr>
          <w:rFonts w:hint="eastAsia" w:cs="宋体"/>
          <w:color w:val="auto"/>
          <w:highlight w:val="none"/>
        </w:rPr>
        <w:t>邮编：</w:t>
      </w:r>
      <w:r>
        <w:rPr>
          <w:rFonts w:hint="eastAsia" w:cs="宋体"/>
          <w:color w:val="auto"/>
          <w:highlight w:val="none"/>
          <w:u w:val="dotted"/>
        </w:rPr>
        <w:t xml:space="preserve">         </w:t>
      </w:r>
      <w:r>
        <w:rPr>
          <w:rFonts w:hint="eastAsia" w:cs="宋体"/>
          <w:color w:val="auto"/>
          <w:highlight w:val="none"/>
          <w:u w:val="single"/>
        </w:rPr>
        <w:t xml:space="preserve"> </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被投诉人1：</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地     址：</w:t>
      </w:r>
      <w:r>
        <w:rPr>
          <w:rFonts w:hint="eastAsia" w:cs="宋体"/>
          <w:color w:val="auto"/>
          <w:highlight w:val="none"/>
          <w:u w:val="dotted"/>
        </w:rPr>
        <w:t xml:space="preserve">                             </w:t>
      </w:r>
      <w:r>
        <w:rPr>
          <w:rFonts w:hint="eastAsia" w:cs="宋体"/>
          <w:color w:val="auto"/>
          <w:highlight w:val="none"/>
        </w:rPr>
        <w:t>邮编：</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联系人：</w:t>
      </w:r>
      <w:r>
        <w:rPr>
          <w:rFonts w:hint="eastAsia" w:cs="宋体"/>
          <w:color w:val="auto"/>
          <w:highlight w:val="none"/>
          <w:u w:val="dotted"/>
        </w:rPr>
        <w:t xml:space="preserve">               </w:t>
      </w:r>
      <w:r>
        <w:rPr>
          <w:rFonts w:hint="eastAsia" w:cs="宋体"/>
          <w:color w:val="auto"/>
          <w:highlight w:val="none"/>
        </w:rPr>
        <w:t>联系电话：</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rPr>
      </w:pPr>
      <w:r>
        <w:rPr>
          <w:rFonts w:hint="eastAsia" w:cs="宋体"/>
          <w:color w:val="auto"/>
          <w:highlight w:val="none"/>
        </w:rPr>
        <w:t>被投诉人2</w:t>
      </w:r>
    </w:p>
    <w:p>
      <w:pPr>
        <w:wordWrap w:val="0"/>
        <w:topLinePunct/>
        <w:ind w:firstLine="480" w:firstLineChars="200"/>
        <w:jc w:val="both"/>
        <w:rPr>
          <w:rFonts w:cs="宋体"/>
          <w:color w:val="auto"/>
          <w:highlight w:val="none"/>
          <w:u w:val="dotted"/>
        </w:rPr>
      </w:pPr>
      <w:r>
        <w:rPr>
          <w:rFonts w:hint="eastAsia" w:cs="宋体"/>
          <w:color w:val="auto"/>
          <w:highlight w:val="none"/>
        </w:rPr>
        <w:t>……</w:t>
      </w:r>
    </w:p>
    <w:p>
      <w:pPr>
        <w:wordWrap w:val="0"/>
        <w:topLinePunct/>
        <w:ind w:firstLine="480" w:firstLineChars="200"/>
        <w:jc w:val="both"/>
        <w:rPr>
          <w:rFonts w:cs="宋体"/>
          <w:color w:val="auto"/>
          <w:highlight w:val="none"/>
          <w:u w:val="single"/>
        </w:rPr>
      </w:pPr>
      <w:r>
        <w:rPr>
          <w:rFonts w:hint="eastAsia" w:cs="宋体"/>
          <w:color w:val="auto"/>
          <w:highlight w:val="none"/>
        </w:rPr>
        <w:t>相关供应商：</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地     址：</w:t>
      </w:r>
      <w:r>
        <w:rPr>
          <w:rFonts w:hint="eastAsia" w:cs="宋体"/>
          <w:color w:val="auto"/>
          <w:highlight w:val="none"/>
          <w:u w:val="dotted"/>
        </w:rPr>
        <w:t xml:space="preserve">                             </w:t>
      </w:r>
      <w:r>
        <w:rPr>
          <w:rFonts w:hint="eastAsia" w:cs="宋体"/>
          <w:color w:val="auto"/>
          <w:highlight w:val="none"/>
        </w:rPr>
        <w:t>邮编：</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联系人：</w:t>
      </w:r>
      <w:r>
        <w:rPr>
          <w:rFonts w:hint="eastAsia" w:cs="宋体"/>
          <w:color w:val="auto"/>
          <w:highlight w:val="none"/>
          <w:u w:val="dotted"/>
        </w:rPr>
        <w:t xml:space="preserve">               </w:t>
      </w:r>
      <w:r>
        <w:rPr>
          <w:rFonts w:hint="eastAsia" w:cs="宋体"/>
          <w:color w:val="auto"/>
          <w:highlight w:val="none"/>
        </w:rPr>
        <w:t>联系电话：</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rPr>
      </w:pPr>
      <w:r>
        <w:rPr>
          <w:rFonts w:hint="eastAsia" w:cs="宋体"/>
          <w:color w:val="auto"/>
          <w:highlight w:val="none"/>
        </w:rPr>
        <w:t>二、投诉项目基本情况</w:t>
      </w:r>
    </w:p>
    <w:p>
      <w:pPr>
        <w:wordWrap w:val="0"/>
        <w:topLinePunct/>
        <w:ind w:firstLine="480" w:firstLineChars="200"/>
        <w:jc w:val="both"/>
        <w:rPr>
          <w:rFonts w:cs="宋体"/>
          <w:color w:val="auto"/>
          <w:highlight w:val="none"/>
          <w:u w:val="dotted"/>
        </w:rPr>
      </w:pPr>
      <w:r>
        <w:rPr>
          <w:rFonts w:hint="eastAsia" w:cs="宋体"/>
          <w:color w:val="auto"/>
          <w:highlight w:val="none"/>
        </w:rPr>
        <w:t>采购项目名称：</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采购项目编号：</w:t>
      </w:r>
      <w:r>
        <w:rPr>
          <w:rFonts w:hint="eastAsia" w:cs="宋体"/>
          <w:color w:val="auto"/>
          <w:highlight w:val="none"/>
          <w:u w:val="dotted"/>
        </w:rPr>
        <w:t xml:space="preserve">                 </w:t>
      </w:r>
      <w:r>
        <w:rPr>
          <w:rFonts w:hint="eastAsia" w:cs="宋体"/>
          <w:color w:val="auto"/>
          <w:highlight w:val="none"/>
        </w:rPr>
        <w:t>包号：</w:t>
      </w:r>
      <w:r>
        <w:rPr>
          <w:rFonts w:hint="eastAsia" w:cs="宋体"/>
          <w:color w:val="auto"/>
          <w:highlight w:val="none"/>
          <w:u w:val="dotted"/>
        </w:rPr>
        <w:t xml:space="preserve">              </w:t>
      </w:r>
    </w:p>
    <w:p>
      <w:pPr>
        <w:wordWrap w:val="0"/>
        <w:topLinePunct/>
        <w:ind w:firstLine="480" w:firstLineChars="200"/>
        <w:jc w:val="both"/>
        <w:rPr>
          <w:rFonts w:cs="宋体"/>
          <w:color w:val="auto"/>
          <w:highlight w:val="none"/>
        </w:rPr>
      </w:pPr>
      <w:r>
        <w:rPr>
          <w:rFonts w:hint="eastAsia" w:cs="宋体"/>
          <w:color w:val="auto"/>
          <w:highlight w:val="none"/>
        </w:rPr>
        <w:t>采购人名称：</w:t>
      </w:r>
      <w:r>
        <w:rPr>
          <w:rFonts w:hint="eastAsia" w:cs="宋体"/>
          <w:color w:val="auto"/>
          <w:highlight w:val="none"/>
          <w:u w:val="dotted"/>
        </w:rPr>
        <w:t xml:space="preserve">                                           </w:t>
      </w:r>
      <w:r>
        <w:rPr>
          <w:rFonts w:hint="eastAsia" w:cs="宋体"/>
          <w:color w:val="auto"/>
          <w:highlight w:val="none"/>
          <w:u w:val="singl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代理机构名称：</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dotted"/>
        </w:rPr>
      </w:pPr>
      <w:r>
        <w:rPr>
          <w:rFonts w:hint="eastAsia" w:cs="宋体"/>
          <w:color w:val="auto"/>
          <w:highlight w:val="none"/>
        </w:rPr>
        <w:t>采购文件公告：</w:t>
      </w:r>
      <w:r>
        <w:rPr>
          <w:rFonts w:hint="eastAsia" w:cs="宋体"/>
          <w:color w:val="auto"/>
          <w:highlight w:val="none"/>
          <w:u w:val="dotted"/>
        </w:rPr>
        <w:t xml:space="preserve">是/否 </w:t>
      </w:r>
      <w:r>
        <w:rPr>
          <w:rFonts w:hint="eastAsia" w:cs="宋体"/>
          <w:color w:val="auto"/>
          <w:highlight w:val="none"/>
        </w:rPr>
        <w:t>公告期限：</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采购结果公告：</w:t>
      </w:r>
      <w:r>
        <w:rPr>
          <w:rFonts w:hint="eastAsia" w:cs="宋体"/>
          <w:color w:val="auto"/>
          <w:highlight w:val="none"/>
          <w:u w:val="dotted"/>
        </w:rPr>
        <w:t xml:space="preserve">是/否 </w:t>
      </w:r>
      <w:r>
        <w:rPr>
          <w:rFonts w:hint="eastAsia" w:cs="宋体"/>
          <w:color w:val="auto"/>
          <w:highlight w:val="none"/>
        </w:rPr>
        <w:t>公告期限：</w:t>
      </w:r>
      <w:r>
        <w:rPr>
          <w:rFonts w:hint="eastAsia" w:cs="宋体"/>
          <w:color w:val="auto"/>
          <w:highlight w:val="none"/>
          <w:u w:val="dotted"/>
        </w:rPr>
        <w:t xml:space="preserve">                        </w:t>
      </w:r>
    </w:p>
    <w:p>
      <w:pPr>
        <w:wordWrap w:val="0"/>
        <w:topLinePunct/>
        <w:ind w:firstLine="480" w:firstLineChars="200"/>
        <w:jc w:val="both"/>
        <w:rPr>
          <w:rFonts w:cs="宋体"/>
          <w:color w:val="auto"/>
          <w:highlight w:val="none"/>
        </w:rPr>
      </w:pPr>
      <w:r>
        <w:rPr>
          <w:rFonts w:hint="eastAsia" w:cs="宋体"/>
          <w:color w:val="auto"/>
          <w:highlight w:val="none"/>
        </w:rPr>
        <w:t>三、质疑基本情况</w:t>
      </w:r>
    </w:p>
    <w:p>
      <w:pPr>
        <w:wordWrap w:val="0"/>
        <w:topLinePunct/>
        <w:ind w:firstLine="480" w:firstLineChars="200"/>
        <w:jc w:val="both"/>
        <w:rPr>
          <w:rFonts w:cs="宋体"/>
          <w:color w:val="auto"/>
          <w:highlight w:val="none"/>
          <w:u w:val="dotted"/>
        </w:rPr>
      </w:pPr>
      <w:r>
        <w:rPr>
          <w:rFonts w:hint="eastAsia" w:cs="宋体"/>
          <w:color w:val="auto"/>
          <w:highlight w:val="none"/>
        </w:rPr>
        <w:t>投诉人于</w:t>
      </w:r>
      <w:r>
        <w:rPr>
          <w:rFonts w:hint="eastAsia" w:cs="宋体"/>
          <w:color w:val="auto"/>
          <w:highlight w:val="none"/>
          <w:u w:val="dotted"/>
        </w:rPr>
        <w:t xml:space="preserve">   </w:t>
      </w:r>
      <w:r>
        <w:rPr>
          <w:rFonts w:hint="eastAsia" w:cs="宋体"/>
          <w:color w:val="auto"/>
          <w:highlight w:val="none"/>
        </w:rPr>
        <w:t>年</w:t>
      </w:r>
      <w:r>
        <w:rPr>
          <w:rFonts w:hint="eastAsia" w:cs="宋体"/>
          <w:color w:val="auto"/>
          <w:highlight w:val="none"/>
          <w:u w:val="dotted"/>
        </w:rPr>
        <w:t xml:space="preserve">   </w:t>
      </w:r>
      <w:r>
        <w:rPr>
          <w:rFonts w:hint="eastAsia" w:cs="宋体"/>
          <w:color w:val="auto"/>
          <w:highlight w:val="none"/>
        </w:rPr>
        <w:t>月</w:t>
      </w:r>
      <w:r>
        <w:rPr>
          <w:rFonts w:hint="eastAsia" w:cs="宋体"/>
          <w:color w:val="auto"/>
          <w:highlight w:val="none"/>
          <w:u w:val="dotted"/>
        </w:rPr>
        <w:t xml:space="preserve">  </w:t>
      </w:r>
      <w:r>
        <w:rPr>
          <w:rFonts w:hint="eastAsia" w:cs="宋体"/>
          <w:color w:val="auto"/>
          <w:highlight w:val="none"/>
        </w:rPr>
        <w:t>日，向</w:t>
      </w:r>
      <w:r>
        <w:rPr>
          <w:rFonts w:hint="eastAsia" w:cs="宋体"/>
          <w:color w:val="auto"/>
          <w:highlight w:val="none"/>
          <w:u w:val="dotted"/>
        </w:rPr>
        <w:t xml:space="preserve">                   </w:t>
      </w:r>
      <w:r>
        <w:rPr>
          <w:rFonts w:hint="eastAsia" w:cs="宋体"/>
          <w:color w:val="auto"/>
          <w:highlight w:val="none"/>
        </w:rPr>
        <w:t>提出质疑，质疑事项为：</w:t>
      </w:r>
      <w:r>
        <w:rPr>
          <w:rFonts w:hint="eastAsia" w:cs="宋体"/>
          <w:color w:val="auto"/>
          <w:highlight w:val="none"/>
          <w:u w:val="dotted"/>
        </w:rPr>
        <w:t xml:space="preserve">                                                                                   </w:t>
      </w:r>
      <w:r>
        <w:rPr>
          <w:rFonts w:hint="eastAsia" w:cs="宋体"/>
          <w:color w:val="auto"/>
          <w:highlight w:val="none"/>
        </w:rPr>
        <w:t xml:space="preserve">  </w:t>
      </w:r>
    </w:p>
    <w:p>
      <w:pPr>
        <w:wordWrap w:val="0"/>
        <w:topLinePunct/>
        <w:ind w:firstLine="480" w:firstLineChars="200"/>
        <w:jc w:val="both"/>
        <w:rPr>
          <w:rFonts w:cs="宋体"/>
          <w:color w:val="auto"/>
          <w:highlight w:val="none"/>
        </w:rPr>
      </w:pPr>
      <w:r>
        <w:rPr>
          <w:rFonts w:hint="eastAsia" w:cs="宋体"/>
          <w:color w:val="auto"/>
          <w:highlight w:val="none"/>
          <w:u w:val="dotted"/>
        </w:rPr>
        <w:t>采购人/代理机构</w:t>
      </w:r>
      <w:r>
        <w:rPr>
          <w:rFonts w:hint="eastAsia" w:cs="宋体"/>
          <w:color w:val="auto"/>
          <w:highlight w:val="none"/>
        </w:rPr>
        <w:t>于</w:t>
      </w:r>
      <w:r>
        <w:rPr>
          <w:rFonts w:hint="eastAsia" w:cs="宋体"/>
          <w:color w:val="auto"/>
          <w:highlight w:val="none"/>
          <w:u w:val="dotted"/>
        </w:rPr>
        <w:t xml:space="preserve">   </w:t>
      </w:r>
      <w:r>
        <w:rPr>
          <w:rFonts w:hint="eastAsia" w:cs="宋体"/>
          <w:color w:val="auto"/>
          <w:highlight w:val="none"/>
        </w:rPr>
        <w:t>年</w:t>
      </w:r>
      <w:r>
        <w:rPr>
          <w:rFonts w:hint="eastAsia" w:cs="宋体"/>
          <w:color w:val="auto"/>
          <w:highlight w:val="none"/>
          <w:u w:val="dotted"/>
        </w:rPr>
        <w:t xml:space="preserve">   </w:t>
      </w:r>
      <w:r>
        <w:rPr>
          <w:rFonts w:hint="eastAsia" w:cs="宋体"/>
          <w:color w:val="auto"/>
          <w:highlight w:val="none"/>
        </w:rPr>
        <w:t>月</w:t>
      </w:r>
      <w:r>
        <w:rPr>
          <w:rFonts w:hint="eastAsia" w:cs="宋体"/>
          <w:color w:val="auto"/>
          <w:highlight w:val="none"/>
          <w:u w:val="dotted"/>
        </w:rPr>
        <w:t xml:space="preserve">   </w:t>
      </w:r>
      <w:r>
        <w:rPr>
          <w:rFonts w:hint="eastAsia" w:cs="宋体"/>
          <w:color w:val="auto"/>
          <w:highlight w:val="none"/>
        </w:rPr>
        <w:t>日，就质疑事项作出了答复/没有在法定期限内作出答复。</w:t>
      </w:r>
    </w:p>
    <w:p>
      <w:pPr>
        <w:wordWrap w:val="0"/>
        <w:topLinePunct/>
        <w:ind w:firstLine="480" w:firstLineChars="200"/>
        <w:jc w:val="both"/>
        <w:rPr>
          <w:rFonts w:cs="宋体"/>
          <w:color w:val="auto"/>
          <w:highlight w:val="none"/>
        </w:rPr>
      </w:pPr>
      <w:r>
        <w:rPr>
          <w:rFonts w:hint="eastAsia" w:cs="宋体"/>
          <w:color w:val="auto"/>
          <w:highlight w:val="none"/>
        </w:rPr>
        <w:t>四、投诉事项具体内容</w:t>
      </w:r>
    </w:p>
    <w:p>
      <w:pPr>
        <w:wordWrap w:val="0"/>
        <w:topLinePunct/>
        <w:ind w:firstLine="480" w:firstLineChars="200"/>
        <w:jc w:val="both"/>
        <w:rPr>
          <w:rFonts w:cs="宋体"/>
          <w:color w:val="auto"/>
          <w:highlight w:val="none"/>
          <w:u w:val="single"/>
        </w:rPr>
      </w:pPr>
      <w:r>
        <w:rPr>
          <w:rFonts w:hint="eastAsia" w:cs="宋体"/>
          <w:color w:val="auto"/>
          <w:highlight w:val="none"/>
        </w:rPr>
        <w:t>投诉事项 1：</w:t>
      </w:r>
      <w:r>
        <w:rPr>
          <w:rFonts w:hint="eastAsia" w:cs="宋体"/>
          <w:color w:val="auto"/>
          <w:highlight w:val="none"/>
          <w:u w:val="dotted"/>
        </w:rPr>
        <w:t xml:space="preserve">                                       </w:t>
      </w:r>
    </w:p>
    <w:p>
      <w:pPr>
        <w:wordWrap w:val="0"/>
        <w:topLinePunct/>
        <w:ind w:firstLine="480" w:firstLineChars="200"/>
        <w:jc w:val="both"/>
        <w:rPr>
          <w:rFonts w:cs="宋体"/>
          <w:color w:val="auto"/>
          <w:highlight w:val="none"/>
        </w:rPr>
      </w:pPr>
      <w:r>
        <w:rPr>
          <w:rFonts w:hint="eastAsia" w:cs="宋体"/>
          <w:color w:val="auto"/>
          <w:highlight w:val="none"/>
        </w:rPr>
        <w:t>事实依据：</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dotted"/>
        </w:rPr>
      </w:pP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法律依据：</w:t>
      </w:r>
      <w:r>
        <w:rPr>
          <w:rFonts w:hint="eastAsia" w:cs="宋体"/>
          <w:color w:val="auto"/>
          <w:highlight w:val="none"/>
          <w:u w:val="dotted"/>
        </w:rPr>
        <w:t xml:space="preserve">                                          </w:t>
      </w:r>
    </w:p>
    <w:p>
      <w:pPr>
        <w:wordWrap w:val="0"/>
        <w:topLinePunct/>
        <w:ind w:firstLine="480" w:firstLineChars="200"/>
        <w:jc w:val="both"/>
        <w:rPr>
          <w:rFonts w:cs="宋体"/>
          <w:color w:val="auto"/>
          <w:highlight w:val="none"/>
          <w:u w:val="dotted"/>
        </w:rPr>
      </w:pPr>
      <w:r>
        <w:rPr>
          <w:rFonts w:hint="eastAsia" w:cs="宋体"/>
          <w:color w:val="auto"/>
          <w:highlight w:val="none"/>
          <w:u w:val="dotted"/>
        </w:rPr>
        <w:t xml:space="preserve">                                                      </w:t>
      </w:r>
    </w:p>
    <w:p>
      <w:pPr>
        <w:wordWrap w:val="0"/>
        <w:topLinePunct/>
        <w:ind w:firstLine="480" w:firstLineChars="200"/>
        <w:jc w:val="both"/>
        <w:rPr>
          <w:rFonts w:cs="宋体"/>
          <w:color w:val="auto"/>
          <w:highlight w:val="none"/>
        </w:rPr>
      </w:pPr>
      <w:r>
        <w:rPr>
          <w:rFonts w:hint="eastAsia" w:cs="宋体"/>
          <w:color w:val="auto"/>
          <w:highlight w:val="none"/>
        </w:rPr>
        <w:t>投诉事项2</w:t>
      </w:r>
    </w:p>
    <w:p>
      <w:pPr>
        <w:wordWrap w:val="0"/>
        <w:topLinePunct/>
        <w:ind w:firstLine="480" w:firstLineChars="200"/>
        <w:jc w:val="both"/>
        <w:rPr>
          <w:rFonts w:cs="宋体"/>
          <w:color w:val="auto"/>
          <w:highlight w:val="none"/>
          <w:u w:val="dotted"/>
        </w:rPr>
      </w:pPr>
      <w:r>
        <w:rPr>
          <w:rFonts w:hint="eastAsia" w:cs="宋体"/>
          <w:color w:val="auto"/>
          <w:highlight w:val="none"/>
        </w:rPr>
        <w:t>……</w:t>
      </w:r>
    </w:p>
    <w:p>
      <w:pPr>
        <w:wordWrap w:val="0"/>
        <w:topLinePunct/>
        <w:ind w:firstLine="480" w:firstLineChars="200"/>
        <w:jc w:val="both"/>
        <w:rPr>
          <w:rFonts w:cs="宋体"/>
          <w:color w:val="auto"/>
          <w:highlight w:val="none"/>
        </w:rPr>
      </w:pPr>
      <w:r>
        <w:rPr>
          <w:rFonts w:hint="eastAsia" w:cs="宋体"/>
          <w:color w:val="auto"/>
          <w:highlight w:val="none"/>
        </w:rPr>
        <w:t>五、与投诉事项相关的投诉请求</w:t>
      </w:r>
    </w:p>
    <w:p>
      <w:pPr>
        <w:wordWrap w:val="0"/>
        <w:topLinePunct/>
        <w:ind w:firstLine="480" w:firstLineChars="200"/>
        <w:jc w:val="both"/>
        <w:rPr>
          <w:rFonts w:cs="宋体"/>
          <w:color w:val="auto"/>
          <w:highlight w:val="none"/>
        </w:rPr>
      </w:pPr>
      <w:r>
        <w:rPr>
          <w:rFonts w:hint="eastAsia" w:cs="宋体"/>
          <w:color w:val="auto"/>
          <w:highlight w:val="none"/>
        </w:rPr>
        <w:t>请求：</w:t>
      </w:r>
      <w:r>
        <w:rPr>
          <w:rFonts w:hint="eastAsia" w:cs="宋体"/>
          <w:color w:val="auto"/>
          <w:highlight w:val="none"/>
          <w:u w:val="dotted"/>
        </w:rPr>
        <w:t xml:space="preserve">                                              </w:t>
      </w:r>
      <w:r>
        <w:rPr>
          <w:rFonts w:hint="eastAsia" w:cs="宋体"/>
          <w:color w:val="auto"/>
          <w:highlight w:val="none"/>
        </w:rPr>
        <w:t xml:space="preserve"> </w:t>
      </w:r>
    </w:p>
    <w:p>
      <w:pPr>
        <w:wordWrap w:val="0"/>
        <w:topLinePunct/>
        <w:ind w:firstLine="480" w:firstLineChars="200"/>
        <w:jc w:val="both"/>
        <w:rPr>
          <w:rFonts w:cs="宋体"/>
          <w:color w:val="auto"/>
          <w:highlight w:val="none"/>
          <w:u w:val="single"/>
        </w:rPr>
      </w:pPr>
      <w:r>
        <w:rPr>
          <w:rFonts w:hint="eastAsia" w:cs="宋体"/>
          <w:color w:val="auto"/>
          <w:highlight w:val="none"/>
        </w:rPr>
        <w:t xml:space="preserve">                                                                                                    </w:t>
      </w:r>
    </w:p>
    <w:p>
      <w:pPr>
        <w:wordWrap w:val="0"/>
        <w:topLinePunct/>
        <w:ind w:firstLine="480" w:firstLineChars="200"/>
        <w:jc w:val="both"/>
        <w:rPr>
          <w:rFonts w:cs="宋体"/>
          <w:color w:val="auto"/>
          <w:highlight w:val="none"/>
        </w:rPr>
      </w:pPr>
      <w:r>
        <w:rPr>
          <w:rFonts w:hint="eastAsia" w:cs="宋体"/>
          <w:color w:val="auto"/>
          <w:highlight w:val="none"/>
        </w:rPr>
        <w:t xml:space="preserve">签字(签章)：                   公章：                      </w:t>
      </w:r>
    </w:p>
    <w:p>
      <w:pPr>
        <w:wordWrap w:val="0"/>
        <w:topLinePunct/>
        <w:ind w:firstLine="480" w:firstLineChars="200"/>
        <w:jc w:val="both"/>
        <w:rPr>
          <w:rFonts w:cs="宋体"/>
          <w:color w:val="auto"/>
          <w:highlight w:val="none"/>
        </w:rPr>
      </w:pPr>
      <w:r>
        <w:rPr>
          <w:rFonts w:hint="eastAsia" w:cs="宋体"/>
          <w:color w:val="auto"/>
          <w:highlight w:val="none"/>
        </w:rPr>
        <w:t xml:space="preserve">日期：    </w:t>
      </w: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pPr>
    </w:p>
    <w:p>
      <w:pPr>
        <w:wordWrap w:val="0"/>
        <w:topLinePunct/>
        <w:ind w:firstLine="482" w:firstLineChars="200"/>
        <w:jc w:val="both"/>
        <w:rPr>
          <w:rFonts w:cs="宋体"/>
          <w:b/>
          <w:color w:val="auto"/>
          <w:highlight w:val="none"/>
        </w:rPr>
        <w:sectPr>
          <w:pgSz w:w="11906" w:h="16838"/>
          <w:pgMar w:top="1440" w:right="1080" w:bottom="1440" w:left="1080" w:header="851" w:footer="992" w:gutter="0"/>
          <w:cols w:space="0" w:num="1"/>
          <w:titlePg/>
          <w:docGrid w:linePitch="312" w:charSpace="0"/>
        </w:sectPr>
      </w:pPr>
    </w:p>
    <w:p>
      <w:pPr>
        <w:wordWrap w:val="0"/>
        <w:topLinePunct/>
        <w:ind w:firstLine="482" w:firstLineChars="200"/>
        <w:jc w:val="both"/>
        <w:rPr>
          <w:rFonts w:cs="宋体"/>
          <w:b/>
          <w:color w:val="auto"/>
          <w:highlight w:val="none"/>
        </w:rPr>
      </w:pPr>
      <w:r>
        <w:rPr>
          <w:rFonts w:hint="eastAsia" w:cs="宋体"/>
          <w:b/>
          <w:color w:val="auto"/>
          <w:highlight w:val="none"/>
        </w:rPr>
        <w:t>投诉书制作说明：</w:t>
      </w:r>
    </w:p>
    <w:p>
      <w:pPr>
        <w:widowControl/>
        <w:wordWrap w:val="0"/>
        <w:topLinePunct/>
        <w:ind w:firstLine="480" w:firstLineChars="200"/>
        <w:jc w:val="both"/>
        <w:rPr>
          <w:rFonts w:cs="宋体"/>
          <w:color w:val="auto"/>
          <w:kern w:val="0"/>
          <w:highlight w:val="none"/>
        </w:rPr>
      </w:pPr>
      <w:r>
        <w:rPr>
          <w:rFonts w:hint="eastAsia" w:cs="宋体"/>
          <w:color w:val="auto"/>
          <w:highlight w:val="none"/>
        </w:rPr>
        <w:t>1.投诉人提起投诉时，应当提交投诉书和必要的证明材料，并按照被投诉人和与投诉事项有关的供应商数量提供投诉书副本。</w:t>
      </w:r>
    </w:p>
    <w:p>
      <w:pPr>
        <w:widowControl/>
        <w:wordWrap w:val="0"/>
        <w:topLinePunct/>
        <w:ind w:firstLine="480" w:firstLineChars="200"/>
        <w:jc w:val="both"/>
        <w:rPr>
          <w:rFonts w:cs="宋体"/>
          <w:color w:val="auto"/>
          <w:kern w:val="0"/>
          <w:highlight w:val="none"/>
        </w:rPr>
      </w:pPr>
      <w:r>
        <w:rPr>
          <w:rFonts w:hint="eastAsia" w:cs="宋体"/>
          <w:color w:val="auto"/>
          <w:highlight w:val="none"/>
        </w:rPr>
        <w:t>2.投诉人若委托代理人进行投诉的，投诉书应按照要求列明“授权代表”的有关内容，并在附件中提交由</w:t>
      </w:r>
      <w:r>
        <w:rPr>
          <w:rFonts w:hint="eastAsia" w:cs="宋体"/>
          <w:color w:val="auto"/>
          <w:kern w:val="0"/>
          <w:highlight w:val="none"/>
        </w:rPr>
        <w:t>投诉人签署的授权委托书。授权委托书应当载明代理人的姓名或者名称、代理事项、具体权限、期限和相关事项。</w:t>
      </w:r>
    </w:p>
    <w:p>
      <w:pPr>
        <w:widowControl/>
        <w:wordWrap w:val="0"/>
        <w:topLinePunct/>
        <w:ind w:firstLine="480" w:firstLineChars="200"/>
        <w:jc w:val="both"/>
        <w:rPr>
          <w:rFonts w:cs="宋体"/>
          <w:color w:val="auto"/>
          <w:highlight w:val="none"/>
        </w:rPr>
      </w:pPr>
      <w:r>
        <w:rPr>
          <w:rFonts w:hint="eastAsia" w:cs="宋体"/>
          <w:color w:val="auto"/>
          <w:highlight w:val="none"/>
        </w:rPr>
        <w:t>3.投诉人若对项目的某一分包进行投诉，投诉书应列明具体分包号。</w:t>
      </w:r>
    </w:p>
    <w:p>
      <w:pPr>
        <w:widowControl/>
        <w:wordWrap w:val="0"/>
        <w:topLinePunct/>
        <w:ind w:firstLine="480" w:firstLineChars="200"/>
        <w:jc w:val="both"/>
        <w:rPr>
          <w:rFonts w:cs="宋体"/>
          <w:color w:val="auto"/>
          <w:highlight w:val="none"/>
        </w:rPr>
      </w:pPr>
      <w:r>
        <w:rPr>
          <w:rFonts w:hint="eastAsia" w:cs="宋体"/>
          <w:color w:val="auto"/>
          <w:highlight w:val="none"/>
        </w:rPr>
        <w:t>4.投诉书应简要列明质疑事项，质疑函、质疑答复等作为附件材料提供。</w:t>
      </w:r>
    </w:p>
    <w:p>
      <w:pPr>
        <w:widowControl/>
        <w:wordWrap w:val="0"/>
        <w:topLinePunct/>
        <w:ind w:firstLine="480" w:firstLineChars="200"/>
        <w:jc w:val="both"/>
        <w:rPr>
          <w:rFonts w:cs="宋体"/>
          <w:color w:val="auto"/>
          <w:highlight w:val="none"/>
        </w:rPr>
      </w:pPr>
      <w:r>
        <w:rPr>
          <w:rFonts w:hint="eastAsia" w:cs="宋体"/>
          <w:color w:val="auto"/>
          <w:highlight w:val="none"/>
        </w:rPr>
        <w:t>5.投诉书的投诉事项应具体、明确，并有必要的事实依据和法律依据。</w:t>
      </w:r>
    </w:p>
    <w:p>
      <w:pPr>
        <w:widowControl/>
        <w:wordWrap w:val="0"/>
        <w:topLinePunct/>
        <w:ind w:firstLine="480" w:firstLineChars="200"/>
        <w:jc w:val="both"/>
        <w:rPr>
          <w:rFonts w:cs="宋体"/>
          <w:color w:val="auto"/>
          <w:highlight w:val="none"/>
        </w:rPr>
      </w:pPr>
      <w:r>
        <w:rPr>
          <w:rFonts w:hint="eastAsia" w:cs="宋体"/>
          <w:color w:val="auto"/>
          <w:highlight w:val="none"/>
        </w:rPr>
        <w:t>6.投诉书的投诉请求应与投诉事项相关。</w:t>
      </w:r>
    </w:p>
    <w:p>
      <w:pPr>
        <w:widowControl/>
        <w:wordWrap w:val="0"/>
        <w:topLinePunct/>
        <w:ind w:firstLine="480" w:firstLineChars="200"/>
        <w:jc w:val="both"/>
        <w:rPr>
          <w:color w:val="auto"/>
          <w:highlight w:val="none"/>
        </w:rPr>
      </w:pPr>
      <w:r>
        <w:rPr>
          <w:rFonts w:hint="eastAsia" w:cs="宋体"/>
          <w:color w:val="auto"/>
          <w:highlight w:val="none"/>
        </w:rPr>
        <w:t>7.投诉人为自然人的，投诉书应当由本人签字；投诉人为法人或者其他组织的，投诉书应当由法定代表人、主要负责人，或者其授权代表签字或者盖章，并加盖公章。</w:t>
      </w:r>
    </w:p>
    <w:p>
      <w:pPr>
        <w:pStyle w:val="52"/>
        <w:ind w:firstLine="482"/>
        <w:rPr>
          <w:color w:val="auto"/>
          <w:highlight w:val="none"/>
        </w:rPr>
      </w:pPr>
    </w:p>
    <w:p>
      <w:pPr>
        <w:pStyle w:val="52"/>
        <w:ind w:firstLine="482"/>
        <w:outlineLvl w:val="1"/>
        <w:rPr>
          <w:color w:val="auto"/>
          <w:highlight w:val="none"/>
        </w:rPr>
      </w:pPr>
    </w:p>
    <w:p>
      <w:pPr>
        <w:pStyle w:val="52"/>
        <w:ind w:firstLine="482"/>
        <w:rPr>
          <w:color w:val="auto"/>
          <w:highlight w:val="none"/>
        </w:rPr>
      </w:pPr>
    </w:p>
    <w:sectPr>
      <w:headerReference r:id="rId19" w:type="first"/>
      <w:footerReference r:id="rId21" w:type="first"/>
      <w:headerReference r:id="rId18" w:type="default"/>
      <w:footerReference r:id="rId20" w:type="default"/>
      <w:pgSz w:w="11906" w:h="16838"/>
      <w:pgMar w:top="1440" w:right="1080" w:bottom="1440" w:left="108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3B0B57FF-5824-4A1E-ACCD-638D525F4336}"/>
  </w:font>
  <w:font w:name="黑体">
    <w:panose1 w:val="02010609060101010101"/>
    <w:charset w:val="86"/>
    <w:family w:val="auto"/>
    <w:pitch w:val="default"/>
    <w:sig w:usb0="800002BF" w:usb1="38CF7CFA" w:usb2="00000016" w:usb3="00000000" w:csb0="00040001" w:csb1="00000000"/>
    <w:embedRegular r:id="rId2" w:fontKey="{6CC94216-D9C0-4891-8F68-9F844F4573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38EA353A-74A2-446A-948B-3FEE3B337EA6}"/>
  </w:font>
  <w:font w:name="仿宋">
    <w:panose1 w:val="02010609060101010101"/>
    <w:charset w:val="86"/>
    <w:family w:val="modern"/>
    <w:pitch w:val="default"/>
    <w:sig w:usb0="800002BF" w:usb1="38CF7CFA" w:usb2="00000016" w:usb3="00000000" w:csb0="00040001" w:csb1="00000000"/>
    <w:embedRegular r:id="rId4" w:fontKey="{3353F4A1-817B-40AE-8D4B-777C00F6B936}"/>
  </w:font>
  <w:font w:name="仿宋_GB2312">
    <w:panose1 w:val="02010609030101010101"/>
    <w:charset w:val="86"/>
    <w:family w:val="modern"/>
    <w:pitch w:val="default"/>
    <w:sig w:usb0="00000001" w:usb1="080E0000" w:usb2="00000000" w:usb3="00000000" w:csb0="00040000" w:csb1="00000000"/>
    <w:embedRegular r:id="rId5" w:fontKey="{F799F935-6970-4D05-B499-28D0B538DDB2}"/>
  </w:font>
  <w:font w:name="方正小标宋简体">
    <w:altName w:val="仿宋_GB2312"/>
    <w:panose1 w:val="03000509000000000000"/>
    <w:charset w:val="86"/>
    <w:family w:val="auto"/>
    <w:pitch w:val="default"/>
    <w:sig w:usb0="00000000" w:usb1="00000000" w:usb2="00000010" w:usb3="00000000" w:csb0="00040000" w:csb1="00000000"/>
    <w:embedRegular r:id="rId6" w:fontKey="{CE409B8F-5261-43E3-8ACA-F82FE1A944D9}"/>
  </w:font>
  <w:font w:name="方正仿宋_GBK">
    <w:altName w:val="Arial Unicode MS"/>
    <w:panose1 w:val="00000000000000000000"/>
    <w:charset w:val="86"/>
    <w:family w:val="script"/>
    <w:pitch w:val="default"/>
    <w:sig w:usb0="00000000" w:usb1="00000000" w:usb2="00000010" w:usb3="00000000" w:csb0="00040000" w:csb1="00000000"/>
    <w:embedRegular r:id="rId7" w:fontKey="{E3274ED3-9F9D-473E-BDED-791FDA78975E}"/>
  </w:font>
  <w:font w:name="Arial Unicode MS">
    <w:panose1 w:val="020B0604020202020204"/>
    <w:charset w:val="86"/>
    <w:family w:val="auto"/>
    <w:pitch w:val="default"/>
    <w:sig w:usb0="FFFFFFFF" w:usb1="E9FFFFFF"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embedRegular r:id="rId8" w:fontKey="{AFF0720F-144E-46C9-897B-1C66081941A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7"/>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8"/>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rFonts w:asciiTheme="minorEastAsia" w:hAnsiTheme="minorEastAsia" w:cstheme="minor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60DA6"/>
    <w:multiLevelType w:val="singleLevel"/>
    <w:tmpl w:val="85A60DA6"/>
    <w:lvl w:ilvl="0" w:tentative="0">
      <w:start w:val="1"/>
      <w:numFmt w:val="chineseCounting"/>
      <w:suff w:val="nothing"/>
      <w:lvlText w:val="%1、"/>
      <w:lvlJc w:val="left"/>
      <w:pPr>
        <w:ind w:left="0" w:firstLine="420"/>
      </w:pPr>
      <w:rPr>
        <w:rFonts w:hint="eastAsia"/>
      </w:rPr>
    </w:lvl>
  </w:abstractNum>
  <w:abstractNum w:abstractNumId="1">
    <w:nsid w:val="8DD3827D"/>
    <w:multiLevelType w:val="singleLevel"/>
    <w:tmpl w:val="8DD3827D"/>
    <w:lvl w:ilvl="0" w:tentative="0">
      <w:start w:val="1"/>
      <w:numFmt w:val="decimal"/>
      <w:lvlText w:val="%1."/>
      <w:lvlJc w:val="left"/>
      <w:pPr>
        <w:tabs>
          <w:tab w:val="left" w:pos="312"/>
        </w:tabs>
      </w:pPr>
    </w:lvl>
  </w:abstractNum>
  <w:abstractNum w:abstractNumId="2">
    <w:nsid w:val="984AAC84"/>
    <w:multiLevelType w:val="singleLevel"/>
    <w:tmpl w:val="984AAC84"/>
    <w:lvl w:ilvl="0" w:tentative="0">
      <w:start w:val="1"/>
      <w:numFmt w:val="decimal"/>
      <w:lvlText w:val="(%1)"/>
      <w:lvlJc w:val="left"/>
      <w:pPr>
        <w:ind w:left="425" w:hanging="425"/>
      </w:pPr>
      <w:rPr>
        <w:rFonts w:hint="default"/>
      </w:rPr>
    </w:lvl>
  </w:abstractNum>
  <w:abstractNum w:abstractNumId="3">
    <w:nsid w:val="A80635A9"/>
    <w:multiLevelType w:val="singleLevel"/>
    <w:tmpl w:val="A80635A9"/>
    <w:lvl w:ilvl="0" w:tentative="0">
      <w:start w:val="1"/>
      <w:numFmt w:val="chineseCounting"/>
      <w:pStyle w:val="66"/>
      <w:suff w:val="nothing"/>
      <w:lvlText w:val="第%1条  "/>
      <w:lvlJc w:val="left"/>
      <w:pPr>
        <w:ind w:left="0" w:firstLine="0"/>
      </w:pPr>
      <w:rPr>
        <w:rFonts w:hint="eastAsia"/>
      </w:rPr>
    </w:lvl>
  </w:abstractNum>
  <w:abstractNum w:abstractNumId="4">
    <w:nsid w:val="B04D8E0A"/>
    <w:multiLevelType w:val="multilevel"/>
    <w:tmpl w:val="B04D8E0A"/>
    <w:lvl w:ilvl="0" w:tentative="0">
      <w:start w:val="1"/>
      <w:numFmt w:val="chineseCounting"/>
      <w:pStyle w:val="29"/>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1"/>
      <w:suff w:val="nothing"/>
      <w:lvlText w:val="%2、"/>
      <w:lvlJc w:val="left"/>
      <w:pPr>
        <w:ind w:left="0" w:firstLine="0"/>
      </w:pPr>
      <w:rPr>
        <w:rFonts w:hint="eastAsia" w:ascii="宋体" w:hAnsi="宋体" w:eastAsia="宋体" w:cs="宋体"/>
      </w:rPr>
    </w:lvl>
    <w:lvl w:ilvl="2" w:tentative="0">
      <w:start w:val="1"/>
      <w:numFmt w:val="chineseCounting"/>
      <w:pStyle w:val="32"/>
      <w:suff w:val="nothing"/>
      <w:lvlText w:val="(%3)"/>
      <w:lvlJc w:val="left"/>
      <w:pPr>
        <w:tabs>
          <w:tab w:val="left" w:pos="0"/>
        </w:tabs>
        <w:ind w:left="0" w:firstLine="0"/>
      </w:pPr>
      <w:rPr>
        <w:rFonts w:hint="eastAsia" w:ascii="宋体" w:hAnsi="宋体" w:eastAsia="宋体" w:cs="宋体"/>
      </w:rPr>
    </w:lvl>
    <w:lvl w:ilvl="3" w:tentative="0">
      <w:start w:val="1"/>
      <w:numFmt w:val="decimal"/>
      <w:pStyle w:val="33"/>
      <w:suff w:val="nothing"/>
      <w:lvlText w:val="%4."/>
      <w:lvlJc w:val="left"/>
      <w:pPr>
        <w:tabs>
          <w:tab w:val="left" w:pos="0"/>
        </w:tabs>
        <w:ind w:left="0" w:firstLine="0"/>
      </w:pPr>
      <w:rPr>
        <w:rFonts w:hint="eastAsia" w:ascii="宋体" w:hAnsi="宋体" w:eastAsia="宋体" w:cs="宋体"/>
      </w:rPr>
    </w:lvl>
    <w:lvl w:ilvl="4" w:tentative="0">
      <w:start w:val="1"/>
      <w:numFmt w:val="decimal"/>
      <w:pStyle w:val="35"/>
      <w:suff w:val="nothing"/>
      <w:lvlText w:val="%4.%5"/>
      <w:lvlJc w:val="left"/>
      <w:pPr>
        <w:ind w:left="0" w:firstLine="0"/>
      </w:pPr>
      <w:rPr>
        <w:rFonts w:hint="eastAsia" w:ascii="宋体" w:hAnsi="宋体" w:eastAsia="宋体" w:cs="宋体"/>
      </w:rPr>
    </w:lvl>
    <w:lvl w:ilvl="5" w:tentative="0">
      <w:start w:val="1"/>
      <w:numFmt w:val="decimal"/>
      <w:pStyle w:val="36"/>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C7F53590"/>
    <w:multiLevelType w:val="multilevel"/>
    <w:tmpl w:val="C7F53590"/>
    <w:lvl w:ilvl="0" w:tentative="0">
      <w:start w:val="1"/>
      <w:numFmt w:val="decimal"/>
      <w:pStyle w:val="46"/>
      <w:suff w:val="nothing"/>
      <w:lvlText w:val="%1."/>
      <w:lvlJc w:val="left"/>
      <w:pPr>
        <w:tabs>
          <w:tab w:val="left" w:pos="420"/>
        </w:tabs>
        <w:ind w:left="0" w:firstLine="0"/>
      </w:pPr>
      <w:rPr>
        <w:rFonts w:hint="default" w:ascii="宋体" w:hAnsi="宋体" w:eastAsia="宋体" w:cs="宋体"/>
      </w:rPr>
    </w:lvl>
    <w:lvl w:ilvl="1" w:tentative="0">
      <w:start w:val="1"/>
      <w:numFmt w:val="decimal"/>
      <w:pStyle w:val="47"/>
      <w:suff w:val="nothing"/>
      <w:lvlText w:val="%1.%2"/>
      <w:lvlJc w:val="left"/>
      <w:pPr>
        <w:tabs>
          <w:tab w:val="left" w:pos="420"/>
        </w:tabs>
        <w:ind w:left="0" w:firstLine="0"/>
      </w:pPr>
      <w:rPr>
        <w:rFonts w:hint="default" w:ascii="宋体" w:hAnsi="宋体" w:eastAsia="宋体" w:cs="宋体"/>
      </w:rPr>
    </w:lvl>
    <w:lvl w:ilvl="2" w:tentative="0">
      <w:start w:val="1"/>
      <w:numFmt w:val="decimal"/>
      <w:pStyle w:val="48"/>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CA240A61"/>
    <w:multiLevelType w:val="singleLevel"/>
    <w:tmpl w:val="CA240A61"/>
    <w:lvl w:ilvl="0" w:tentative="0">
      <w:start w:val="1"/>
      <w:numFmt w:val="chineseCounting"/>
      <w:pStyle w:val="70"/>
      <w:suff w:val="nothing"/>
      <w:lvlText w:val="(%1)"/>
      <w:lvlJc w:val="left"/>
      <w:pPr>
        <w:ind w:left="0" w:firstLine="0"/>
      </w:pPr>
      <w:rPr>
        <w:rFonts w:hint="eastAsia"/>
      </w:rPr>
    </w:lvl>
  </w:abstractNum>
  <w:abstractNum w:abstractNumId="7">
    <w:nsid w:val="D7D5D425"/>
    <w:multiLevelType w:val="singleLevel"/>
    <w:tmpl w:val="D7D5D425"/>
    <w:lvl w:ilvl="0" w:tentative="0">
      <w:start w:val="1"/>
      <w:numFmt w:val="chineseCounting"/>
      <w:suff w:val="nothing"/>
      <w:lvlText w:val="%1、"/>
      <w:lvlJc w:val="left"/>
      <w:pPr>
        <w:ind w:left="0" w:firstLine="420"/>
      </w:pPr>
      <w:rPr>
        <w:rFonts w:hint="eastAsia" w:ascii="宋体" w:hAnsi="宋体" w:eastAsia="宋体" w:cs="宋体"/>
        <w:sz w:val="28"/>
        <w:szCs w:val="28"/>
      </w:rPr>
    </w:lvl>
  </w:abstractNum>
  <w:abstractNum w:abstractNumId="8">
    <w:nsid w:val="DC5F828C"/>
    <w:multiLevelType w:val="singleLevel"/>
    <w:tmpl w:val="DC5F828C"/>
    <w:lvl w:ilvl="0" w:tentative="0">
      <w:start w:val="1"/>
      <w:numFmt w:val="decimal"/>
      <w:lvlText w:val="(%1)"/>
      <w:lvlJc w:val="left"/>
      <w:pPr>
        <w:ind w:left="425" w:hanging="425"/>
      </w:pPr>
      <w:rPr>
        <w:rFonts w:hint="default"/>
      </w:rPr>
    </w:lvl>
  </w:abstractNum>
  <w:abstractNum w:abstractNumId="9">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1"/>
      <w:suff w:val="nothing"/>
      <w:lvlText w:val="(%2)"/>
      <w:lvlJc w:val="left"/>
      <w:pPr>
        <w:ind w:left="0" w:firstLine="0"/>
      </w:pPr>
      <w:rPr>
        <w:rFonts w:hint="eastAsia" w:ascii="宋体" w:hAnsi="宋体" w:eastAsia="宋体" w:cs="宋体"/>
        <w:sz w:val="24"/>
        <w:szCs w:val="24"/>
      </w:rPr>
    </w:lvl>
    <w:lvl w:ilvl="2" w:tentative="0">
      <w:start w:val="1"/>
      <w:numFmt w:val="decimal"/>
      <w:pStyle w:val="43"/>
      <w:suff w:val="nothing"/>
      <w:lvlText w:val="%3."/>
      <w:lvlJc w:val="left"/>
      <w:pPr>
        <w:ind w:left="0" w:firstLine="0"/>
      </w:pPr>
      <w:rPr>
        <w:rFonts w:hint="eastAsia" w:ascii="宋体" w:hAnsi="宋体" w:eastAsia="宋体" w:cs="宋体"/>
      </w:rPr>
    </w:lvl>
    <w:lvl w:ilvl="3" w:tentative="0">
      <w:start w:val="1"/>
      <w:numFmt w:val="decimal"/>
      <w:pStyle w:val="44"/>
      <w:suff w:val="nothing"/>
      <w:lvlText w:val="%3.%4"/>
      <w:lvlJc w:val="left"/>
      <w:pPr>
        <w:ind w:left="0" w:firstLine="0"/>
      </w:pPr>
      <w:rPr>
        <w:rFonts w:hint="eastAsia" w:ascii="宋体" w:hAnsi="宋体" w:eastAsia="宋体" w:cs="宋体"/>
      </w:rPr>
    </w:lvl>
    <w:lvl w:ilvl="4" w:tentative="0">
      <w:start w:val="1"/>
      <w:numFmt w:val="decimal"/>
      <w:pStyle w:val="45"/>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0">
    <w:nsid w:val="EA1AE71F"/>
    <w:multiLevelType w:val="singleLevel"/>
    <w:tmpl w:val="EA1AE71F"/>
    <w:lvl w:ilvl="0" w:tentative="0">
      <w:start w:val="1"/>
      <w:numFmt w:val="decimal"/>
      <w:lvlText w:val="%1."/>
      <w:lvlJc w:val="left"/>
      <w:pPr>
        <w:tabs>
          <w:tab w:val="left" w:pos="312"/>
        </w:tabs>
      </w:pPr>
    </w:lvl>
  </w:abstractNum>
  <w:abstractNum w:abstractNumId="11">
    <w:nsid w:val="EB6083F9"/>
    <w:multiLevelType w:val="singleLevel"/>
    <w:tmpl w:val="EB6083F9"/>
    <w:lvl w:ilvl="0" w:tentative="0">
      <w:start w:val="1"/>
      <w:numFmt w:val="chineseCounting"/>
      <w:suff w:val="nothing"/>
      <w:lvlText w:val="%1、"/>
      <w:lvlJc w:val="left"/>
      <w:pPr>
        <w:ind w:left="0" w:firstLine="420"/>
      </w:pPr>
      <w:rPr>
        <w:rFonts w:hint="eastAsia"/>
      </w:rPr>
    </w:lvl>
  </w:abstractNum>
  <w:abstractNum w:abstractNumId="12">
    <w:nsid w:val="0D3DD0CB"/>
    <w:multiLevelType w:val="singleLevel"/>
    <w:tmpl w:val="0D3DD0CB"/>
    <w:lvl w:ilvl="0" w:tentative="0">
      <w:start w:val="1"/>
      <w:numFmt w:val="decimal"/>
      <w:lvlText w:val="%1."/>
      <w:lvlJc w:val="left"/>
      <w:pPr>
        <w:tabs>
          <w:tab w:val="left" w:pos="312"/>
        </w:tabs>
      </w:pPr>
    </w:lvl>
  </w:abstractNum>
  <w:abstractNum w:abstractNumId="13">
    <w:nsid w:val="23BBA9F2"/>
    <w:multiLevelType w:val="singleLevel"/>
    <w:tmpl w:val="23BBA9F2"/>
    <w:lvl w:ilvl="0" w:tentative="0">
      <w:start w:val="1"/>
      <w:numFmt w:val="decimal"/>
      <w:lvlText w:val="%1."/>
      <w:lvlJc w:val="left"/>
      <w:pPr>
        <w:tabs>
          <w:tab w:val="left" w:pos="312"/>
        </w:tabs>
      </w:pPr>
    </w:lvl>
  </w:abstractNum>
  <w:abstractNum w:abstractNumId="14">
    <w:nsid w:val="3BE96167"/>
    <w:multiLevelType w:val="singleLevel"/>
    <w:tmpl w:val="3BE96167"/>
    <w:lvl w:ilvl="0" w:tentative="0">
      <w:start w:val="1"/>
      <w:numFmt w:val="chineseCounting"/>
      <w:suff w:val="nothing"/>
      <w:lvlText w:val="%1、"/>
      <w:lvlJc w:val="left"/>
      <w:pPr>
        <w:ind w:left="0" w:firstLine="420"/>
      </w:pPr>
      <w:rPr>
        <w:rFonts w:hint="eastAsia"/>
      </w:rPr>
    </w:lvl>
  </w:abstractNum>
  <w:abstractNum w:abstractNumId="15">
    <w:nsid w:val="3C10C3C5"/>
    <w:multiLevelType w:val="singleLevel"/>
    <w:tmpl w:val="3C10C3C5"/>
    <w:lvl w:ilvl="0" w:tentative="0">
      <w:start w:val="1"/>
      <w:numFmt w:val="decimal"/>
      <w:lvlText w:val="%1."/>
      <w:lvlJc w:val="left"/>
      <w:pPr>
        <w:tabs>
          <w:tab w:val="left" w:pos="312"/>
        </w:tabs>
      </w:pPr>
    </w:lvl>
  </w:abstractNum>
  <w:abstractNum w:abstractNumId="1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7">
    <w:nsid w:val="5018D011"/>
    <w:multiLevelType w:val="singleLevel"/>
    <w:tmpl w:val="5018D011"/>
    <w:lvl w:ilvl="0" w:tentative="0">
      <w:start w:val="1"/>
      <w:numFmt w:val="decimal"/>
      <w:lvlText w:val="%1."/>
      <w:lvlJc w:val="left"/>
      <w:pPr>
        <w:tabs>
          <w:tab w:val="left" w:pos="312"/>
        </w:tabs>
      </w:pPr>
    </w:lvl>
  </w:abstractNum>
  <w:abstractNum w:abstractNumId="18">
    <w:nsid w:val="5912557E"/>
    <w:multiLevelType w:val="singleLevel"/>
    <w:tmpl w:val="5912557E"/>
    <w:lvl w:ilvl="0" w:tentative="0">
      <w:start w:val="1"/>
      <w:numFmt w:val="chineseCounting"/>
      <w:suff w:val="nothing"/>
      <w:lvlText w:val="%1、"/>
      <w:lvlJc w:val="left"/>
      <w:rPr>
        <w:rFonts w:hint="eastAsia"/>
      </w:rPr>
    </w:lvl>
  </w:abstractNum>
  <w:abstractNum w:abstractNumId="19">
    <w:nsid w:val="79578A8E"/>
    <w:multiLevelType w:val="singleLevel"/>
    <w:tmpl w:val="79578A8E"/>
    <w:lvl w:ilvl="0" w:tentative="0">
      <w:start w:val="1"/>
      <w:numFmt w:val="decimal"/>
      <w:lvlText w:val="%1"/>
      <w:lvlJc w:val="left"/>
      <w:pPr>
        <w:tabs>
          <w:tab w:val="left" w:pos="0"/>
        </w:tabs>
        <w:ind w:left="0" w:firstLine="0"/>
      </w:pPr>
      <w:rPr>
        <w:rFonts w:hint="default"/>
      </w:rPr>
    </w:lvl>
  </w:abstractNum>
  <w:num w:numId="1">
    <w:abstractNumId w:val="9"/>
  </w:num>
  <w:num w:numId="2">
    <w:abstractNumId w:val="16"/>
  </w:num>
  <w:num w:numId="3">
    <w:abstractNumId w:val="4"/>
  </w:num>
  <w:num w:numId="4">
    <w:abstractNumId w:val="5"/>
  </w:num>
  <w:num w:numId="5">
    <w:abstractNumId w:val="3"/>
  </w:num>
  <w:num w:numId="6">
    <w:abstractNumId w:val="6"/>
  </w:num>
  <w:num w:numId="7">
    <w:abstractNumId w:val="14"/>
  </w:num>
  <w:num w:numId="8">
    <w:abstractNumId w:val="19"/>
  </w:num>
  <w:num w:numId="9">
    <w:abstractNumId w:val="10"/>
  </w:num>
  <w:num w:numId="10">
    <w:abstractNumId w:val="18"/>
  </w:num>
  <w:num w:numId="11">
    <w:abstractNumId w:val="12"/>
  </w:num>
  <w:num w:numId="12">
    <w:abstractNumId w:val="17"/>
  </w:num>
  <w:num w:numId="13">
    <w:abstractNumId w:val="8"/>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1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oa.cdgmxy.edu.cn/seeyon/officeservlet"/>
  </w:docVars>
  <w:rsids>
    <w:rsidRoot w:val="00172A27"/>
    <w:rsid w:val="0000400A"/>
    <w:rsid w:val="000168D4"/>
    <w:rsid w:val="000504D4"/>
    <w:rsid w:val="00050929"/>
    <w:rsid w:val="00071F90"/>
    <w:rsid w:val="00080967"/>
    <w:rsid w:val="00083410"/>
    <w:rsid w:val="00083A85"/>
    <w:rsid w:val="000A22EE"/>
    <w:rsid w:val="000D64AB"/>
    <w:rsid w:val="000D7DD0"/>
    <w:rsid w:val="0010191C"/>
    <w:rsid w:val="00101AE9"/>
    <w:rsid w:val="001025A9"/>
    <w:rsid w:val="0010309E"/>
    <w:rsid w:val="0012071D"/>
    <w:rsid w:val="00127F82"/>
    <w:rsid w:val="00152049"/>
    <w:rsid w:val="00172A27"/>
    <w:rsid w:val="001747EE"/>
    <w:rsid w:val="0017535B"/>
    <w:rsid w:val="00176E53"/>
    <w:rsid w:val="00180AAC"/>
    <w:rsid w:val="00190708"/>
    <w:rsid w:val="001B6050"/>
    <w:rsid w:val="001C42C5"/>
    <w:rsid w:val="001E2AED"/>
    <w:rsid w:val="001E6888"/>
    <w:rsid w:val="001E7C77"/>
    <w:rsid w:val="002214E7"/>
    <w:rsid w:val="00225683"/>
    <w:rsid w:val="00234073"/>
    <w:rsid w:val="002435A0"/>
    <w:rsid w:val="00243FF7"/>
    <w:rsid w:val="00247B38"/>
    <w:rsid w:val="0025536B"/>
    <w:rsid w:val="002565E2"/>
    <w:rsid w:val="00267611"/>
    <w:rsid w:val="00282CD9"/>
    <w:rsid w:val="00290AF1"/>
    <w:rsid w:val="002B5D9A"/>
    <w:rsid w:val="002B6AE7"/>
    <w:rsid w:val="002B79CA"/>
    <w:rsid w:val="002E06BF"/>
    <w:rsid w:val="002E1A1C"/>
    <w:rsid w:val="002E5F48"/>
    <w:rsid w:val="002F05A6"/>
    <w:rsid w:val="002F3BB7"/>
    <w:rsid w:val="00315B60"/>
    <w:rsid w:val="003274CB"/>
    <w:rsid w:val="003368A3"/>
    <w:rsid w:val="00344015"/>
    <w:rsid w:val="00346B27"/>
    <w:rsid w:val="00353E82"/>
    <w:rsid w:val="00396369"/>
    <w:rsid w:val="003B2228"/>
    <w:rsid w:val="003C13E4"/>
    <w:rsid w:val="003D21F1"/>
    <w:rsid w:val="003E1DCC"/>
    <w:rsid w:val="003F4651"/>
    <w:rsid w:val="00410967"/>
    <w:rsid w:val="00411E40"/>
    <w:rsid w:val="00415E21"/>
    <w:rsid w:val="00445ADF"/>
    <w:rsid w:val="00462804"/>
    <w:rsid w:val="0046727E"/>
    <w:rsid w:val="00482071"/>
    <w:rsid w:val="00483674"/>
    <w:rsid w:val="004861AE"/>
    <w:rsid w:val="00486D20"/>
    <w:rsid w:val="00495036"/>
    <w:rsid w:val="004A6781"/>
    <w:rsid w:val="004A7D40"/>
    <w:rsid w:val="004B4092"/>
    <w:rsid w:val="004E0FDD"/>
    <w:rsid w:val="004F2F95"/>
    <w:rsid w:val="004F7B9F"/>
    <w:rsid w:val="00506600"/>
    <w:rsid w:val="00526D76"/>
    <w:rsid w:val="00551430"/>
    <w:rsid w:val="00554499"/>
    <w:rsid w:val="00557A19"/>
    <w:rsid w:val="00570E40"/>
    <w:rsid w:val="00573162"/>
    <w:rsid w:val="005F3F05"/>
    <w:rsid w:val="00603290"/>
    <w:rsid w:val="0060449E"/>
    <w:rsid w:val="006058A4"/>
    <w:rsid w:val="006109FE"/>
    <w:rsid w:val="00614BF4"/>
    <w:rsid w:val="00616B6E"/>
    <w:rsid w:val="00633858"/>
    <w:rsid w:val="00635E1D"/>
    <w:rsid w:val="00670841"/>
    <w:rsid w:val="006708EE"/>
    <w:rsid w:val="006934B4"/>
    <w:rsid w:val="00694C4F"/>
    <w:rsid w:val="006B1D4C"/>
    <w:rsid w:val="006B5A11"/>
    <w:rsid w:val="006C21DD"/>
    <w:rsid w:val="006F5B6D"/>
    <w:rsid w:val="006F6EF3"/>
    <w:rsid w:val="00722E70"/>
    <w:rsid w:val="00735F80"/>
    <w:rsid w:val="0074524D"/>
    <w:rsid w:val="00784579"/>
    <w:rsid w:val="007B1F36"/>
    <w:rsid w:val="007D09EC"/>
    <w:rsid w:val="007E4AEF"/>
    <w:rsid w:val="007F300C"/>
    <w:rsid w:val="008003F4"/>
    <w:rsid w:val="008016F9"/>
    <w:rsid w:val="008062AE"/>
    <w:rsid w:val="00811328"/>
    <w:rsid w:val="00815C57"/>
    <w:rsid w:val="00815F35"/>
    <w:rsid w:val="0082614F"/>
    <w:rsid w:val="00850B71"/>
    <w:rsid w:val="0085639C"/>
    <w:rsid w:val="0087454D"/>
    <w:rsid w:val="008750D6"/>
    <w:rsid w:val="00890D7F"/>
    <w:rsid w:val="008A0EB1"/>
    <w:rsid w:val="008A2076"/>
    <w:rsid w:val="008E659E"/>
    <w:rsid w:val="008F1529"/>
    <w:rsid w:val="008F1CB6"/>
    <w:rsid w:val="008F717E"/>
    <w:rsid w:val="008F74EB"/>
    <w:rsid w:val="00902627"/>
    <w:rsid w:val="0090455E"/>
    <w:rsid w:val="00931981"/>
    <w:rsid w:val="00932AFD"/>
    <w:rsid w:val="00942ED3"/>
    <w:rsid w:val="00945986"/>
    <w:rsid w:val="00946F94"/>
    <w:rsid w:val="00962E48"/>
    <w:rsid w:val="00990893"/>
    <w:rsid w:val="009C43E6"/>
    <w:rsid w:val="009D01D2"/>
    <w:rsid w:val="009E1E4F"/>
    <w:rsid w:val="009F5992"/>
    <w:rsid w:val="00A23AFB"/>
    <w:rsid w:val="00A3273B"/>
    <w:rsid w:val="00A33E9A"/>
    <w:rsid w:val="00A466E6"/>
    <w:rsid w:val="00A47F1F"/>
    <w:rsid w:val="00A508D1"/>
    <w:rsid w:val="00A75A1A"/>
    <w:rsid w:val="00A837A5"/>
    <w:rsid w:val="00A95C07"/>
    <w:rsid w:val="00AA4C47"/>
    <w:rsid w:val="00AA51C1"/>
    <w:rsid w:val="00AB65CA"/>
    <w:rsid w:val="00AB67D8"/>
    <w:rsid w:val="00AC2F78"/>
    <w:rsid w:val="00AC5E59"/>
    <w:rsid w:val="00AF3998"/>
    <w:rsid w:val="00B07B2E"/>
    <w:rsid w:val="00B31CC3"/>
    <w:rsid w:val="00B44B56"/>
    <w:rsid w:val="00BA69F4"/>
    <w:rsid w:val="00BA6D13"/>
    <w:rsid w:val="00BB299F"/>
    <w:rsid w:val="00BE1766"/>
    <w:rsid w:val="00BF4E9E"/>
    <w:rsid w:val="00C00F81"/>
    <w:rsid w:val="00C17A63"/>
    <w:rsid w:val="00C32340"/>
    <w:rsid w:val="00C35487"/>
    <w:rsid w:val="00C43BC1"/>
    <w:rsid w:val="00C711E4"/>
    <w:rsid w:val="00C760E2"/>
    <w:rsid w:val="00CA0AAA"/>
    <w:rsid w:val="00CD401B"/>
    <w:rsid w:val="00CD437E"/>
    <w:rsid w:val="00CD43B3"/>
    <w:rsid w:val="00CD58A7"/>
    <w:rsid w:val="00CE226F"/>
    <w:rsid w:val="00CF53F3"/>
    <w:rsid w:val="00D02850"/>
    <w:rsid w:val="00D174EB"/>
    <w:rsid w:val="00D23AEC"/>
    <w:rsid w:val="00D373B2"/>
    <w:rsid w:val="00D37D24"/>
    <w:rsid w:val="00D80201"/>
    <w:rsid w:val="00D827D3"/>
    <w:rsid w:val="00D87B92"/>
    <w:rsid w:val="00D87C93"/>
    <w:rsid w:val="00DA65C9"/>
    <w:rsid w:val="00DB5C76"/>
    <w:rsid w:val="00DC4298"/>
    <w:rsid w:val="00DC68DD"/>
    <w:rsid w:val="00DD654B"/>
    <w:rsid w:val="00DF10BC"/>
    <w:rsid w:val="00E04823"/>
    <w:rsid w:val="00E2173D"/>
    <w:rsid w:val="00E53568"/>
    <w:rsid w:val="00E7258B"/>
    <w:rsid w:val="00E74CE9"/>
    <w:rsid w:val="00E7539A"/>
    <w:rsid w:val="00E76276"/>
    <w:rsid w:val="00E83C3F"/>
    <w:rsid w:val="00E86078"/>
    <w:rsid w:val="00E87BB1"/>
    <w:rsid w:val="00E93F48"/>
    <w:rsid w:val="00E965F8"/>
    <w:rsid w:val="00EB31E1"/>
    <w:rsid w:val="00EE2E61"/>
    <w:rsid w:val="00EE2E62"/>
    <w:rsid w:val="00EF4699"/>
    <w:rsid w:val="00F025B2"/>
    <w:rsid w:val="00F0340D"/>
    <w:rsid w:val="00F140D0"/>
    <w:rsid w:val="00F22D2F"/>
    <w:rsid w:val="00F23715"/>
    <w:rsid w:val="00F32329"/>
    <w:rsid w:val="00F4295B"/>
    <w:rsid w:val="00F714C7"/>
    <w:rsid w:val="00F9177B"/>
    <w:rsid w:val="00FD2CEE"/>
    <w:rsid w:val="011E300A"/>
    <w:rsid w:val="013D1C8A"/>
    <w:rsid w:val="013F0F7C"/>
    <w:rsid w:val="01464694"/>
    <w:rsid w:val="015258FF"/>
    <w:rsid w:val="01601E7A"/>
    <w:rsid w:val="01782F69"/>
    <w:rsid w:val="017C6290"/>
    <w:rsid w:val="01876A1F"/>
    <w:rsid w:val="018B3842"/>
    <w:rsid w:val="018F03FE"/>
    <w:rsid w:val="01917322"/>
    <w:rsid w:val="019377A3"/>
    <w:rsid w:val="01A40160"/>
    <w:rsid w:val="01A96BB6"/>
    <w:rsid w:val="01AB6348"/>
    <w:rsid w:val="01AE15BA"/>
    <w:rsid w:val="01B763DC"/>
    <w:rsid w:val="01BC53AC"/>
    <w:rsid w:val="01BD35AB"/>
    <w:rsid w:val="01C20BC1"/>
    <w:rsid w:val="01C91C5F"/>
    <w:rsid w:val="01D57332"/>
    <w:rsid w:val="01DA5F1D"/>
    <w:rsid w:val="01E366FD"/>
    <w:rsid w:val="01EE75D4"/>
    <w:rsid w:val="02132164"/>
    <w:rsid w:val="02195753"/>
    <w:rsid w:val="022117A3"/>
    <w:rsid w:val="022D7471"/>
    <w:rsid w:val="023372E3"/>
    <w:rsid w:val="02362CC5"/>
    <w:rsid w:val="024669DA"/>
    <w:rsid w:val="02676F4A"/>
    <w:rsid w:val="02691984"/>
    <w:rsid w:val="026D704D"/>
    <w:rsid w:val="02735026"/>
    <w:rsid w:val="027655B6"/>
    <w:rsid w:val="02792F82"/>
    <w:rsid w:val="02825F13"/>
    <w:rsid w:val="02833BCB"/>
    <w:rsid w:val="028430AA"/>
    <w:rsid w:val="028879D9"/>
    <w:rsid w:val="02A1111E"/>
    <w:rsid w:val="02A14D74"/>
    <w:rsid w:val="02B43DAD"/>
    <w:rsid w:val="02BC4E5F"/>
    <w:rsid w:val="02DC1FED"/>
    <w:rsid w:val="02DD3DF1"/>
    <w:rsid w:val="02DE4088"/>
    <w:rsid w:val="02E247AD"/>
    <w:rsid w:val="02E3266E"/>
    <w:rsid w:val="02F71628"/>
    <w:rsid w:val="0306250D"/>
    <w:rsid w:val="030B2A3C"/>
    <w:rsid w:val="031218D5"/>
    <w:rsid w:val="031C70D4"/>
    <w:rsid w:val="0321449C"/>
    <w:rsid w:val="033436B4"/>
    <w:rsid w:val="0337738D"/>
    <w:rsid w:val="034175A9"/>
    <w:rsid w:val="034561FE"/>
    <w:rsid w:val="03486A36"/>
    <w:rsid w:val="034E1F5E"/>
    <w:rsid w:val="0350391F"/>
    <w:rsid w:val="035717DD"/>
    <w:rsid w:val="03644B36"/>
    <w:rsid w:val="036E7CB0"/>
    <w:rsid w:val="03770FAA"/>
    <w:rsid w:val="0388610D"/>
    <w:rsid w:val="039261BA"/>
    <w:rsid w:val="03B32D25"/>
    <w:rsid w:val="03C23BAF"/>
    <w:rsid w:val="03C40ABE"/>
    <w:rsid w:val="03D60077"/>
    <w:rsid w:val="03DC7E66"/>
    <w:rsid w:val="03E3449B"/>
    <w:rsid w:val="03F050BD"/>
    <w:rsid w:val="03F7077E"/>
    <w:rsid w:val="03F90DB1"/>
    <w:rsid w:val="03FB00F1"/>
    <w:rsid w:val="040172D5"/>
    <w:rsid w:val="04053316"/>
    <w:rsid w:val="041E23EC"/>
    <w:rsid w:val="04256CBB"/>
    <w:rsid w:val="042711D5"/>
    <w:rsid w:val="042E0EC7"/>
    <w:rsid w:val="0431295A"/>
    <w:rsid w:val="0438590F"/>
    <w:rsid w:val="04455AD9"/>
    <w:rsid w:val="044D771D"/>
    <w:rsid w:val="044F225E"/>
    <w:rsid w:val="0453127A"/>
    <w:rsid w:val="04671AF4"/>
    <w:rsid w:val="0467789F"/>
    <w:rsid w:val="046F52E9"/>
    <w:rsid w:val="047B1E84"/>
    <w:rsid w:val="047C5E12"/>
    <w:rsid w:val="04802939"/>
    <w:rsid w:val="0482288A"/>
    <w:rsid w:val="04841778"/>
    <w:rsid w:val="04892F7A"/>
    <w:rsid w:val="04A20B39"/>
    <w:rsid w:val="04B830C1"/>
    <w:rsid w:val="04C0476A"/>
    <w:rsid w:val="04C9670A"/>
    <w:rsid w:val="04D035F5"/>
    <w:rsid w:val="04DE5CC1"/>
    <w:rsid w:val="04F10481"/>
    <w:rsid w:val="04F30120"/>
    <w:rsid w:val="04F51041"/>
    <w:rsid w:val="04F72D3C"/>
    <w:rsid w:val="04FB6CA5"/>
    <w:rsid w:val="04FF4175"/>
    <w:rsid w:val="05204AF2"/>
    <w:rsid w:val="05232BB3"/>
    <w:rsid w:val="05294BFA"/>
    <w:rsid w:val="052E656D"/>
    <w:rsid w:val="053C2598"/>
    <w:rsid w:val="054364BD"/>
    <w:rsid w:val="05533444"/>
    <w:rsid w:val="05551447"/>
    <w:rsid w:val="056D77F4"/>
    <w:rsid w:val="057C1154"/>
    <w:rsid w:val="0586026D"/>
    <w:rsid w:val="059052A1"/>
    <w:rsid w:val="059377C2"/>
    <w:rsid w:val="05981791"/>
    <w:rsid w:val="05AA6ECF"/>
    <w:rsid w:val="05B55267"/>
    <w:rsid w:val="05B60A3D"/>
    <w:rsid w:val="05BD44C2"/>
    <w:rsid w:val="05C14E93"/>
    <w:rsid w:val="05EE7A21"/>
    <w:rsid w:val="05F74FD6"/>
    <w:rsid w:val="06015BFD"/>
    <w:rsid w:val="06042A70"/>
    <w:rsid w:val="06157620"/>
    <w:rsid w:val="0620235A"/>
    <w:rsid w:val="062F0344"/>
    <w:rsid w:val="06322365"/>
    <w:rsid w:val="063B7194"/>
    <w:rsid w:val="0644691C"/>
    <w:rsid w:val="06473E71"/>
    <w:rsid w:val="064C13DA"/>
    <w:rsid w:val="065904CC"/>
    <w:rsid w:val="06607022"/>
    <w:rsid w:val="06640B64"/>
    <w:rsid w:val="06657762"/>
    <w:rsid w:val="066D09E8"/>
    <w:rsid w:val="066D20E0"/>
    <w:rsid w:val="06791870"/>
    <w:rsid w:val="06AB30A9"/>
    <w:rsid w:val="06AB7088"/>
    <w:rsid w:val="06AC39F1"/>
    <w:rsid w:val="06C12E7B"/>
    <w:rsid w:val="06C14990"/>
    <w:rsid w:val="06C255FB"/>
    <w:rsid w:val="06C466BB"/>
    <w:rsid w:val="06DC4238"/>
    <w:rsid w:val="06E11AE9"/>
    <w:rsid w:val="06E91B3A"/>
    <w:rsid w:val="06F23D1E"/>
    <w:rsid w:val="06FF392B"/>
    <w:rsid w:val="07057562"/>
    <w:rsid w:val="072A238A"/>
    <w:rsid w:val="073B634E"/>
    <w:rsid w:val="073C2D1E"/>
    <w:rsid w:val="074C58DC"/>
    <w:rsid w:val="075615A8"/>
    <w:rsid w:val="07641D0D"/>
    <w:rsid w:val="07662674"/>
    <w:rsid w:val="0767483A"/>
    <w:rsid w:val="076D1160"/>
    <w:rsid w:val="078F30CB"/>
    <w:rsid w:val="07A31B05"/>
    <w:rsid w:val="07BF6ABC"/>
    <w:rsid w:val="07C40FCD"/>
    <w:rsid w:val="07D21D7A"/>
    <w:rsid w:val="07D879E1"/>
    <w:rsid w:val="07E0507A"/>
    <w:rsid w:val="07E761B7"/>
    <w:rsid w:val="07E91DAA"/>
    <w:rsid w:val="07EB4F03"/>
    <w:rsid w:val="07F41CF0"/>
    <w:rsid w:val="080203D0"/>
    <w:rsid w:val="080F372F"/>
    <w:rsid w:val="081A6BAD"/>
    <w:rsid w:val="08273974"/>
    <w:rsid w:val="082A73B9"/>
    <w:rsid w:val="082F56F4"/>
    <w:rsid w:val="08372ED5"/>
    <w:rsid w:val="083D7026"/>
    <w:rsid w:val="08400F85"/>
    <w:rsid w:val="08444585"/>
    <w:rsid w:val="084D1037"/>
    <w:rsid w:val="085049F9"/>
    <w:rsid w:val="08505652"/>
    <w:rsid w:val="08541F2D"/>
    <w:rsid w:val="08591B53"/>
    <w:rsid w:val="085D7896"/>
    <w:rsid w:val="086379DD"/>
    <w:rsid w:val="08795873"/>
    <w:rsid w:val="08807C62"/>
    <w:rsid w:val="08874B60"/>
    <w:rsid w:val="08885FE3"/>
    <w:rsid w:val="08903BD8"/>
    <w:rsid w:val="08A4283A"/>
    <w:rsid w:val="08B0513C"/>
    <w:rsid w:val="08B72C3A"/>
    <w:rsid w:val="08BE07C4"/>
    <w:rsid w:val="08C0336E"/>
    <w:rsid w:val="08C203AB"/>
    <w:rsid w:val="08C665C7"/>
    <w:rsid w:val="08CF3947"/>
    <w:rsid w:val="08D539E3"/>
    <w:rsid w:val="08D84396"/>
    <w:rsid w:val="08DB73B0"/>
    <w:rsid w:val="08DE1C47"/>
    <w:rsid w:val="08EC63BA"/>
    <w:rsid w:val="08EE6DAF"/>
    <w:rsid w:val="08EF3D6F"/>
    <w:rsid w:val="090E0B90"/>
    <w:rsid w:val="09137F54"/>
    <w:rsid w:val="09187ED2"/>
    <w:rsid w:val="091D71CF"/>
    <w:rsid w:val="09376339"/>
    <w:rsid w:val="093B5F9E"/>
    <w:rsid w:val="09474FBC"/>
    <w:rsid w:val="094D4667"/>
    <w:rsid w:val="095520D8"/>
    <w:rsid w:val="095D0797"/>
    <w:rsid w:val="096B20A4"/>
    <w:rsid w:val="0980411B"/>
    <w:rsid w:val="098E57E7"/>
    <w:rsid w:val="09946A19"/>
    <w:rsid w:val="09B024F6"/>
    <w:rsid w:val="09BE25B6"/>
    <w:rsid w:val="09CC3BAD"/>
    <w:rsid w:val="09E244D3"/>
    <w:rsid w:val="09E40044"/>
    <w:rsid w:val="09E44204"/>
    <w:rsid w:val="09F410FD"/>
    <w:rsid w:val="0A141092"/>
    <w:rsid w:val="0A18215B"/>
    <w:rsid w:val="0A1C206E"/>
    <w:rsid w:val="0A1F3AFB"/>
    <w:rsid w:val="0A214D17"/>
    <w:rsid w:val="0A2316C1"/>
    <w:rsid w:val="0A3B1828"/>
    <w:rsid w:val="0A3D4730"/>
    <w:rsid w:val="0A406793"/>
    <w:rsid w:val="0A4F2112"/>
    <w:rsid w:val="0A562EAD"/>
    <w:rsid w:val="0A6A4DCF"/>
    <w:rsid w:val="0A88671B"/>
    <w:rsid w:val="0A941E7B"/>
    <w:rsid w:val="0A9A0D24"/>
    <w:rsid w:val="0AAE43D8"/>
    <w:rsid w:val="0ABC5CC2"/>
    <w:rsid w:val="0ABF45E0"/>
    <w:rsid w:val="0AC253B8"/>
    <w:rsid w:val="0ACB4F8A"/>
    <w:rsid w:val="0AD029E3"/>
    <w:rsid w:val="0AD20D78"/>
    <w:rsid w:val="0AD319F0"/>
    <w:rsid w:val="0AD95FEE"/>
    <w:rsid w:val="0AEB1D55"/>
    <w:rsid w:val="0AEF28BE"/>
    <w:rsid w:val="0AFC7C23"/>
    <w:rsid w:val="0B030A0E"/>
    <w:rsid w:val="0B165FCB"/>
    <w:rsid w:val="0B283403"/>
    <w:rsid w:val="0B373A25"/>
    <w:rsid w:val="0B380146"/>
    <w:rsid w:val="0B3F7726"/>
    <w:rsid w:val="0B490628"/>
    <w:rsid w:val="0B4D084E"/>
    <w:rsid w:val="0B5001FD"/>
    <w:rsid w:val="0B5D62E7"/>
    <w:rsid w:val="0B5E6C1B"/>
    <w:rsid w:val="0B7C78A1"/>
    <w:rsid w:val="0B94665C"/>
    <w:rsid w:val="0B964EC9"/>
    <w:rsid w:val="0B9B3CCE"/>
    <w:rsid w:val="0B9D5FFB"/>
    <w:rsid w:val="0BA62356"/>
    <w:rsid w:val="0BAA7858"/>
    <w:rsid w:val="0BB91FA4"/>
    <w:rsid w:val="0BC71F3A"/>
    <w:rsid w:val="0BCF0D6E"/>
    <w:rsid w:val="0BDA2FAB"/>
    <w:rsid w:val="0BDD0790"/>
    <w:rsid w:val="0BDD4638"/>
    <w:rsid w:val="0BF5093F"/>
    <w:rsid w:val="0C095932"/>
    <w:rsid w:val="0C0D7E74"/>
    <w:rsid w:val="0C154760"/>
    <w:rsid w:val="0C166DCE"/>
    <w:rsid w:val="0C371FE2"/>
    <w:rsid w:val="0C426E10"/>
    <w:rsid w:val="0C4358FB"/>
    <w:rsid w:val="0C593A85"/>
    <w:rsid w:val="0C6236CC"/>
    <w:rsid w:val="0C6658D4"/>
    <w:rsid w:val="0C6C2625"/>
    <w:rsid w:val="0C6F3B75"/>
    <w:rsid w:val="0C825B1D"/>
    <w:rsid w:val="0C87727B"/>
    <w:rsid w:val="0C8C56BB"/>
    <w:rsid w:val="0CA53F3A"/>
    <w:rsid w:val="0CA87886"/>
    <w:rsid w:val="0CAF57CC"/>
    <w:rsid w:val="0CB41A43"/>
    <w:rsid w:val="0CBD53F9"/>
    <w:rsid w:val="0CC06DC6"/>
    <w:rsid w:val="0CC12374"/>
    <w:rsid w:val="0CCC52F8"/>
    <w:rsid w:val="0CD023D1"/>
    <w:rsid w:val="0CDC30C8"/>
    <w:rsid w:val="0CE9136E"/>
    <w:rsid w:val="0CE94F94"/>
    <w:rsid w:val="0CED067B"/>
    <w:rsid w:val="0CFC6488"/>
    <w:rsid w:val="0D1158BC"/>
    <w:rsid w:val="0D1D5BF4"/>
    <w:rsid w:val="0D290E15"/>
    <w:rsid w:val="0D2E7CDA"/>
    <w:rsid w:val="0D3161DB"/>
    <w:rsid w:val="0D38710E"/>
    <w:rsid w:val="0D3A5B22"/>
    <w:rsid w:val="0D3A63F7"/>
    <w:rsid w:val="0D4A61F6"/>
    <w:rsid w:val="0D5A4C9D"/>
    <w:rsid w:val="0D5E127F"/>
    <w:rsid w:val="0D636535"/>
    <w:rsid w:val="0D652404"/>
    <w:rsid w:val="0D7824BD"/>
    <w:rsid w:val="0D790005"/>
    <w:rsid w:val="0D793F75"/>
    <w:rsid w:val="0D8323B8"/>
    <w:rsid w:val="0D8D3FD0"/>
    <w:rsid w:val="0D941DD9"/>
    <w:rsid w:val="0D947DEF"/>
    <w:rsid w:val="0D9960F6"/>
    <w:rsid w:val="0D9B3836"/>
    <w:rsid w:val="0D9D017D"/>
    <w:rsid w:val="0DAF57C7"/>
    <w:rsid w:val="0DB1600D"/>
    <w:rsid w:val="0DB87064"/>
    <w:rsid w:val="0DC23414"/>
    <w:rsid w:val="0DD37D4F"/>
    <w:rsid w:val="0E0974BC"/>
    <w:rsid w:val="0E105F97"/>
    <w:rsid w:val="0E117299"/>
    <w:rsid w:val="0E1D4C94"/>
    <w:rsid w:val="0E1E01D2"/>
    <w:rsid w:val="0E237ECF"/>
    <w:rsid w:val="0E29601F"/>
    <w:rsid w:val="0E2A646C"/>
    <w:rsid w:val="0E2C57A6"/>
    <w:rsid w:val="0E3B4AAC"/>
    <w:rsid w:val="0E406DCA"/>
    <w:rsid w:val="0E444E25"/>
    <w:rsid w:val="0E4528EE"/>
    <w:rsid w:val="0E463F6A"/>
    <w:rsid w:val="0E4E095A"/>
    <w:rsid w:val="0E533A22"/>
    <w:rsid w:val="0E5400D2"/>
    <w:rsid w:val="0E5852DB"/>
    <w:rsid w:val="0E5D50FC"/>
    <w:rsid w:val="0E5E0B3E"/>
    <w:rsid w:val="0E6E07F5"/>
    <w:rsid w:val="0E8D2FCC"/>
    <w:rsid w:val="0E9658AF"/>
    <w:rsid w:val="0E9944EA"/>
    <w:rsid w:val="0EA578A0"/>
    <w:rsid w:val="0EB331E4"/>
    <w:rsid w:val="0EB5186D"/>
    <w:rsid w:val="0EBA7291"/>
    <w:rsid w:val="0ED45063"/>
    <w:rsid w:val="0EE00334"/>
    <w:rsid w:val="0EEC54CF"/>
    <w:rsid w:val="0F090320"/>
    <w:rsid w:val="0F296FB7"/>
    <w:rsid w:val="0F2D4847"/>
    <w:rsid w:val="0F3A26DF"/>
    <w:rsid w:val="0F3E4FBF"/>
    <w:rsid w:val="0F451083"/>
    <w:rsid w:val="0F4527B9"/>
    <w:rsid w:val="0F503CB0"/>
    <w:rsid w:val="0F552295"/>
    <w:rsid w:val="0F555D3E"/>
    <w:rsid w:val="0F68165A"/>
    <w:rsid w:val="0F7331B1"/>
    <w:rsid w:val="0F790888"/>
    <w:rsid w:val="0F830CF9"/>
    <w:rsid w:val="0F8807D3"/>
    <w:rsid w:val="0F961643"/>
    <w:rsid w:val="0F985025"/>
    <w:rsid w:val="0F993EA0"/>
    <w:rsid w:val="0FA715B7"/>
    <w:rsid w:val="0FA8483D"/>
    <w:rsid w:val="0FAB0735"/>
    <w:rsid w:val="0FAB73CF"/>
    <w:rsid w:val="0FBA136E"/>
    <w:rsid w:val="0FC67596"/>
    <w:rsid w:val="0FD0094D"/>
    <w:rsid w:val="0FD23538"/>
    <w:rsid w:val="0FEA7956"/>
    <w:rsid w:val="0FF22FB9"/>
    <w:rsid w:val="0FF24D67"/>
    <w:rsid w:val="0FF2619D"/>
    <w:rsid w:val="0FF91388"/>
    <w:rsid w:val="10002E78"/>
    <w:rsid w:val="10051186"/>
    <w:rsid w:val="10082322"/>
    <w:rsid w:val="100A088B"/>
    <w:rsid w:val="101E557F"/>
    <w:rsid w:val="10206168"/>
    <w:rsid w:val="10220902"/>
    <w:rsid w:val="10262C63"/>
    <w:rsid w:val="102832C0"/>
    <w:rsid w:val="1030329B"/>
    <w:rsid w:val="103627B4"/>
    <w:rsid w:val="10476538"/>
    <w:rsid w:val="107921C2"/>
    <w:rsid w:val="107E07FE"/>
    <w:rsid w:val="10805044"/>
    <w:rsid w:val="108A45AA"/>
    <w:rsid w:val="108B5C75"/>
    <w:rsid w:val="10927871"/>
    <w:rsid w:val="109B2457"/>
    <w:rsid w:val="10A80202"/>
    <w:rsid w:val="10A86948"/>
    <w:rsid w:val="10A91F3A"/>
    <w:rsid w:val="10BD4B6E"/>
    <w:rsid w:val="10C05016"/>
    <w:rsid w:val="10DC5341"/>
    <w:rsid w:val="10DC5DE2"/>
    <w:rsid w:val="10E55858"/>
    <w:rsid w:val="10E8122E"/>
    <w:rsid w:val="10F16B8E"/>
    <w:rsid w:val="10F973AA"/>
    <w:rsid w:val="11002024"/>
    <w:rsid w:val="1101215E"/>
    <w:rsid w:val="1107086A"/>
    <w:rsid w:val="112673D2"/>
    <w:rsid w:val="11272A81"/>
    <w:rsid w:val="11343C71"/>
    <w:rsid w:val="1140061F"/>
    <w:rsid w:val="11420D5D"/>
    <w:rsid w:val="11511756"/>
    <w:rsid w:val="11596BD4"/>
    <w:rsid w:val="1166278E"/>
    <w:rsid w:val="118151C6"/>
    <w:rsid w:val="11871BD0"/>
    <w:rsid w:val="119F4A7B"/>
    <w:rsid w:val="11A3453B"/>
    <w:rsid w:val="11AF7CCD"/>
    <w:rsid w:val="11B13A44"/>
    <w:rsid w:val="11B64B9D"/>
    <w:rsid w:val="11C34C5A"/>
    <w:rsid w:val="11D7281B"/>
    <w:rsid w:val="11D93657"/>
    <w:rsid w:val="11DD55A3"/>
    <w:rsid w:val="11E62926"/>
    <w:rsid w:val="11E7019B"/>
    <w:rsid w:val="12041F1C"/>
    <w:rsid w:val="120C30E2"/>
    <w:rsid w:val="121D1E44"/>
    <w:rsid w:val="125C1D36"/>
    <w:rsid w:val="125D03B5"/>
    <w:rsid w:val="126F4111"/>
    <w:rsid w:val="126F5ED9"/>
    <w:rsid w:val="128A25F6"/>
    <w:rsid w:val="1299328B"/>
    <w:rsid w:val="12A04B9A"/>
    <w:rsid w:val="12A30DA6"/>
    <w:rsid w:val="12C23A7C"/>
    <w:rsid w:val="12C6156A"/>
    <w:rsid w:val="12D20E80"/>
    <w:rsid w:val="12D37006"/>
    <w:rsid w:val="12D919C1"/>
    <w:rsid w:val="12E94BA8"/>
    <w:rsid w:val="12F55F70"/>
    <w:rsid w:val="1304111F"/>
    <w:rsid w:val="130A3353"/>
    <w:rsid w:val="130B7334"/>
    <w:rsid w:val="131B0C66"/>
    <w:rsid w:val="13380869"/>
    <w:rsid w:val="13525B1D"/>
    <w:rsid w:val="13584A55"/>
    <w:rsid w:val="135C15A5"/>
    <w:rsid w:val="136B30DD"/>
    <w:rsid w:val="13755EB2"/>
    <w:rsid w:val="13800B97"/>
    <w:rsid w:val="13877DCB"/>
    <w:rsid w:val="13881341"/>
    <w:rsid w:val="13887B1A"/>
    <w:rsid w:val="13904FC3"/>
    <w:rsid w:val="139F2E5E"/>
    <w:rsid w:val="13A23B9A"/>
    <w:rsid w:val="13A35911"/>
    <w:rsid w:val="13A47BFE"/>
    <w:rsid w:val="13AD2096"/>
    <w:rsid w:val="13AE0DA1"/>
    <w:rsid w:val="13B773EB"/>
    <w:rsid w:val="13C4002F"/>
    <w:rsid w:val="13C63319"/>
    <w:rsid w:val="13E67824"/>
    <w:rsid w:val="13ED6898"/>
    <w:rsid w:val="140137CB"/>
    <w:rsid w:val="14063E97"/>
    <w:rsid w:val="14166484"/>
    <w:rsid w:val="14197E9B"/>
    <w:rsid w:val="14242A9B"/>
    <w:rsid w:val="14293FDD"/>
    <w:rsid w:val="142B4770"/>
    <w:rsid w:val="14335E33"/>
    <w:rsid w:val="144E2788"/>
    <w:rsid w:val="144F3B92"/>
    <w:rsid w:val="145D7218"/>
    <w:rsid w:val="145E21A7"/>
    <w:rsid w:val="14663754"/>
    <w:rsid w:val="1470604A"/>
    <w:rsid w:val="1479294C"/>
    <w:rsid w:val="148037BC"/>
    <w:rsid w:val="14857BC8"/>
    <w:rsid w:val="148A09EC"/>
    <w:rsid w:val="14960E91"/>
    <w:rsid w:val="14A979BF"/>
    <w:rsid w:val="14B4083D"/>
    <w:rsid w:val="14BE3BD0"/>
    <w:rsid w:val="14CA2C11"/>
    <w:rsid w:val="14CF2CA5"/>
    <w:rsid w:val="14D4721A"/>
    <w:rsid w:val="14D53920"/>
    <w:rsid w:val="14E36FB1"/>
    <w:rsid w:val="14E60E10"/>
    <w:rsid w:val="14E813D5"/>
    <w:rsid w:val="14F71157"/>
    <w:rsid w:val="15072773"/>
    <w:rsid w:val="15127C5A"/>
    <w:rsid w:val="151D60E3"/>
    <w:rsid w:val="152165F3"/>
    <w:rsid w:val="1530340C"/>
    <w:rsid w:val="15443470"/>
    <w:rsid w:val="154D2A40"/>
    <w:rsid w:val="154F09D4"/>
    <w:rsid w:val="155A6AAB"/>
    <w:rsid w:val="155B6F0B"/>
    <w:rsid w:val="155D44F6"/>
    <w:rsid w:val="1568195A"/>
    <w:rsid w:val="156825AE"/>
    <w:rsid w:val="157648A9"/>
    <w:rsid w:val="157D25F1"/>
    <w:rsid w:val="158013B3"/>
    <w:rsid w:val="15897466"/>
    <w:rsid w:val="159D2AA8"/>
    <w:rsid w:val="15BC3A0F"/>
    <w:rsid w:val="15BF05AC"/>
    <w:rsid w:val="15CF3C06"/>
    <w:rsid w:val="15CF6FF0"/>
    <w:rsid w:val="15D62A35"/>
    <w:rsid w:val="15E044A0"/>
    <w:rsid w:val="15E40909"/>
    <w:rsid w:val="15E72E94"/>
    <w:rsid w:val="15F32BDF"/>
    <w:rsid w:val="15F97B47"/>
    <w:rsid w:val="16071DD9"/>
    <w:rsid w:val="1609105D"/>
    <w:rsid w:val="160C5D02"/>
    <w:rsid w:val="16184098"/>
    <w:rsid w:val="161F7166"/>
    <w:rsid w:val="162426FB"/>
    <w:rsid w:val="16290D5F"/>
    <w:rsid w:val="162C4C37"/>
    <w:rsid w:val="163409FD"/>
    <w:rsid w:val="164925E6"/>
    <w:rsid w:val="16564ED8"/>
    <w:rsid w:val="166556E6"/>
    <w:rsid w:val="16695F27"/>
    <w:rsid w:val="166B2C03"/>
    <w:rsid w:val="166B2D98"/>
    <w:rsid w:val="167A093E"/>
    <w:rsid w:val="167E6CA3"/>
    <w:rsid w:val="167F4B95"/>
    <w:rsid w:val="169327D0"/>
    <w:rsid w:val="169D0E74"/>
    <w:rsid w:val="16A0455F"/>
    <w:rsid w:val="16A25BC1"/>
    <w:rsid w:val="16AB4CC3"/>
    <w:rsid w:val="16BC7E7D"/>
    <w:rsid w:val="16BD04E5"/>
    <w:rsid w:val="16C419E8"/>
    <w:rsid w:val="16D1700E"/>
    <w:rsid w:val="16E21427"/>
    <w:rsid w:val="16E57675"/>
    <w:rsid w:val="16E66CA8"/>
    <w:rsid w:val="16EB53B1"/>
    <w:rsid w:val="17033117"/>
    <w:rsid w:val="170A61ED"/>
    <w:rsid w:val="170C6A21"/>
    <w:rsid w:val="170C751B"/>
    <w:rsid w:val="17166620"/>
    <w:rsid w:val="17174AB2"/>
    <w:rsid w:val="172B1C15"/>
    <w:rsid w:val="172F59B8"/>
    <w:rsid w:val="173C59AC"/>
    <w:rsid w:val="173F20E2"/>
    <w:rsid w:val="175D4AA9"/>
    <w:rsid w:val="17740853"/>
    <w:rsid w:val="177F62FA"/>
    <w:rsid w:val="178E0BAF"/>
    <w:rsid w:val="17987B34"/>
    <w:rsid w:val="17990FA9"/>
    <w:rsid w:val="17A10E21"/>
    <w:rsid w:val="17C271C7"/>
    <w:rsid w:val="17DE3FD2"/>
    <w:rsid w:val="17E25684"/>
    <w:rsid w:val="17EC02EE"/>
    <w:rsid w:val="17FA253A"/>
    <w:rsid w:val="18071145"/>
    <w:rsid w:val="180D1861"/>
    <w:rsid w:val="1824021D"/>
    <w:rsid w:val="182727AA"/>
    <w:rsid w:val="182A0E16"/>
    <w:rsid w:val="182C3C1D"/>
    <w:rsid w:val="183737F8"/>
    <w:rsid w:val="18424965"/>
    <w:rsid w:val="18527BEC"/>
    <w:rsid w:val="18583BD5"/>
    <w:rsid w:val="185D48BA"/>
    <w:rsid w:val="18690252"/>
    <w:rsid w:val="186A253C"/>
    <w:rsid w:val="187327BD"/>
    <w:rsid w:val="187602DD"/>
    <w:rsid w:val="18764A71"/>
    <w:rsid w:val="18782953"/>
    <w:rsid w:val="18851020"/>
    <w:rsid w:val="188651E4"/>
    <w:rsid w:val="1890511D"/>
    <w:rsid w:val="18921538"/>
    <w:rsid w:val="189E12C3"/>
    <w:rsid w:val="189E32A4"/>
    <w:rsid w:val="18B47A70"/>
    <w:rsid w:val="18BD055D"/>
    <w:rsid w:val="18C04A46"/>
    <w:rsid w:val="18C4037B"/>
    <w:rsid w:val="18C748B7"/>
    <w:rsid w:val="18D72014"/>
    <w:rsid w:val="18D764B0"/>
    <w:rsid w:val="18D92B7A"/>
    <w:rsid w:val="18FF308F"/>
    <w:rsid w:val="19263C11"/>
    <w:rsid w:val="19351878"/>
    <w:rsid w:val="19364034"/>
    <w:rsid w:val="193D5EB3"/>
    <w:rsid w:val="194B6D06"/>
    <w:rsid w:val="194F0096"/>
    <w:rsid w:val="19580F07"/>
    <w:rsid w:val="19605FFF"/>
    <w:rsid w:val="196C060A"/>
    <w:rsid w:val="197226D6"/>
    <w:rsid w:val="197B045A"/>
    <w:rsid w:val="19911370"/>
    <w:rsid w:val="19981B0B"/>
    <w:rsid w:val="19A57A33"/>
    <w:rsid w:val="19A60597"/>
    <w:rsid w:val="19A748CE"/>
    <w:rsid w:val="19B53F29"/>
    <w:rsid w:val="19B72B7E"/>
    <w:rsid w:val="19BB4AC7"/>
    <w:rsid w:val="19C257AA"/>
    <w:rsid w:val="19ED1019"/>
    <w:rsid w:val="19F30FD0"/>
    <w:rsid w:val="19FC580C"/>
    <w:rsid w:val="1A084634"/>
    <w:rsid w:val="1A0931E6"/>
    <w:rsid w:val="1A0B22C7"/>
    <w:rsid w:val="1A1B26CF"/>
    <w:rsid w:val="1A1D39FB"/>
    <w:rsid w:val="1A275744"/>
    <w:rsid w:val="1A2C6661"/>
    <w:rsid w:val="1A332694"/>
    <w:rsid w:val="1A33410B"/>
    <w:rsid w:val="1A3D4066"/>
    <w:rsid w:val="1A422421"/>
    <w:rsid w:val="1A454BBD"/>
    <w:rsid w:val="1A5605E9"/>
    <w:rsid w:val="1A5846A0"/>
    <w:rsid w:val="1A5B75BD"/>
    <w:rsid w:val="1A5C1E8C"/>
    <w:rsid w:val="1A5F4086"/>
    <w:rsid w:val="1A684E92"/>
    <w:rsid w:val="1A8A4647"/>
    <w:rsid w:val="1A9723B6"/>
    <w:rsid w:val="1A984C5D"/>
    <w:rsid w:val="1AA34AA6"/>
    <w:rsid w:val="1AA83ACA"/>
    <w:rsid w:val="1AA93183"/>
    <w:rsid w:val="1AAC781B"/>
    <w:rsid w:val="1AB44A07"/>
    <w:rsid w:val="1AB803AE"/>
    <w:rsid w:val="1AB927E6"/>
    <w:rsid w:val="1AC90DBB"/>
    <w:rsid w:val="1AD41623"/>
    <w:rsid w:val="1ADA1B4E"/>
    <w:rsid w:val="1AED05E1"/>
    <w:rsid w:val="1AF00F47"/>
    <w:rsid w:val="1AF046CF"/>
    <w:rsid w:val="1AF16568"/>
    <w:rsid w:val="1B074284"/>
    <w:rsid w:val="1B24725D"/>
    <w:rsid w:val="1B2B048F"/>
    <w:rsid w:val="1B301CAE"/>
    <w:rsid w:val="1B44289D"/>
    <w:rsid w:val="1B4A2D9D"/>
    <w:rsid w:val="1B4D4C2F"/>
    <w:rsid w:val="1B5752AC"/>
    <w:rsid w:val="1B67625B"/>
    <w:rsid w:val="1B6B043B"/>
    <w:rsid w:val="1B6B336B"/>
    <w:rsid w:val="1B6E424D"/>
    <w:rsid w:val="1B863F0D"/>
    <w:rsid w:val="1B9369D7"/>
    <w:rsid w:val="1B9534FE"/>
    <w:rsid w:val="1B9E5564"/>
    <w:rsid w:val="1BAF5377"/>
    <w:rsid w:val="1BB15F13"/>
    <w:rsid w:val="1BB678D9"/>
    <w:rsid w:val="1BBF4AED"/>
    <w:rsid w:val="1BCB3B13"/>
    <w:rsid w:val="1BFA4214"/>
    <w:rsid w:val="1C146D3D"/>
    <w:rsid w:val="1C19483C"/>
    <w:rsid w:val="1C1D13BE"/>
    <w:rsid w:val="1C213008"/>
    <w:rsid w:val="1C347AE7"/>
    <w:rsid w:val="1C3709C2"/>
    <w:rsid w:val="1C3F5A29"/>
    <w:rsid w:val="1C5172BA"/>
    <w:rsid w:val="1C680DA8"/>
    <w:rsid w:val="1C6D2061"/>
    <w:rsid w:val="1C73352D"/>
    <w:rsid w:val="1C7F0A0D"/>
    <w:rsid w:val="1C883EE2"/>
    <w:rsid w:val="1C8A5704"/>
    <w:rsid w:val="1C993644"/>
    <w:rsid w:val="1CA30814"/>
    <w:rsid w:val="1CA411B8"/>
    <w:rsid w:val="1CA91C58"/>
    <w:rsid w:val="1CAE2016"/>
    <w:rsid w:val="1CAE730B"/>
    <w:rsid w:val="1CBC0BD7"/>
    <w:rsid w:val="1CD11261"/>
    <w:rsid w:val="1CE211FC"/>
    <w:rsid w:val="1CF333E6"/>
    <w:rsid w:val="1D0565E2"/>
    <w:rsid w:val="1D1C5DA2"/>
    <w:rsid w:val="1D2122A1"/>
    <w:rsid w:val="1D2357FD"/>
    <w:rsid w:val="1D2D51F1"/>
    <w:rsid w:val="1D3249F5"/>
    <w:rsid w:val="1D37486F"/>
    <w:rsid w:val="1D42071E"/>
    <w:rsid w:val="1D4856D1"/>
    <w:rsid w:val="1D4C2B5B"/>
    <w:rsid w:val="1D6257AE"/>
    <w:rsid w:val="1D677324"/>
    <w:rsid w:val="1D6E2D29"/>
    <w:rsid w:val="1D782040"/>
    <w:rsid w:val="1D8C6A7E"/>
    <w:rsid w:val="1D8E167F"/>
    <w:rsid w:val="1DAF4FB1"/>
    <w:rsid w:val="1DB01D77"/>
    <w:rsid w:val="1DB95872"/>
    <w:rsid w:val="1DBD7240"/>
    <w:rsid w:val="1DC07134"/>
    <w:rsid w:val="1DC15568"/>
    <w:rsid w:val="1DC77F7C"/>
    <w:rsid w:val="1DCE2AB1"/>
    <w:rsid w:val="1DD0335C"/>
    <w:rsid w:val="1DD51824"/>
    <w:rsid w:val="1DD620D3"/>
    <w:rsid w:val="1DDE1182"/>
    <w:rsid w:val="1DFC3B16"/>
    <w:rsid w:val="1E071D72"/>
    <w:rsid w:val="1E125CB7"/>
    <w:rsid w:val="1E1E21E7"/>
    <w:rsid w:val="1E2566DA"/>
    <w:rsid w:val="1E2D48C4"/>
    <w:rsid w:val="1E32366D"/>
    <w:rsid w:val="1E36628C"/>
    <w:rsid w:val="1E3B46CC"/>
    <w:rsid w:val="1E510853"/>
    <w:rsid w:val="1E57604D"/>
    <w:rsid w:val="1E635018"/>
    <w:rsid w:val="1E656782"/>
    <w:rsid w:val="1E814CED"/>
    <w:rsid w:val="1E8469F9"/>
    <w:rsid w:val="1E92658B"/>
    <w:rsid w:val="1E9C5BFF"/>
    <w:rsid w:val="1EA53511"/>
    <w:rsid w:val="1EA672D8"/>
    <w:rsid w:val="1ECC3FFD"/>
    <w:rsid w:val="1ED2384F"/>
    <w:rsid w:val="1ED9232C"/>
    <w:rsid w:val="1EDD43FA"/>
    <w:rsid w:val="1EDF476D"/>
    <w:rsid w:val="1EE241F9"/>
    <w:rsid w:val="1EEA697A"/>
    <w:rsid w:val="1EEC0C5C"/>
    <w:rsid w:val="1F176E60"/>
    <w:rsid w:val="1F1A3993"/>
    <w:rsid w:val="1F37018C"/>
    <w:rsid w:val="1F447B60"/>
    <w:rsid w:val="1F455558"/>
    <w:rsid w:val="1F494278"/>
    <w:rsid w:val="1F4C1597"/>
    <w:rsid w:val="1F51433D"/>
    <w:rsid w:val="1F5500CB"/>
    <w:rsid w:val="1F5B5AF9"/>
    <w:rsid w:val="1F7574A3"/>
    <w:rsid w:val="1F7C2691"/>
    <w:rsid w:val="1F9A340A"/>
    <w:rsid w:val="1FA24F7F"/>
    <w:rsid w:val="1FB31A5F"/>
    <w:rsid w:val="1FC97C87"/>
    <w:rsid w:val="1FCC023A"/>
    <w:rsid w:val="1FDE3F49"/>
    <w:rsid w:val="1FE933AA"/>
    <w:rsid w:val="1FF468DA"/>
    <w:rsid w:val="1FF94A2D"/>
    <w:rsid w:val="2000330E"/>
    <w:rsid w:val="200B0D0C"/>
    <w:rsid w:val="201051B9"/>
    <w:rsid w:val="201120ED"/>
    <w:rsid w:val="20191A25"/>
    <w:rsid w:val="2040794E"/>
    <w:rsid w:val="20460DDC"/>
    <w:rsid w:val="204D6F6C"/>
    <w:rsid w:val="20506C8E"/>
    <w:rsid w:val="2064368A"/>
    <w:rsid w:val="207F43D9"/>
    <w:rsid w:val="20906E82"/>
    <w:rsid w:val="209128E5"/>
    <w:rsid w:val="209F1645"/>
    <w:rsid w:val="20A84AFD"/>
    <w:rsid w:val="20A976C4"/>
    <w:rsid w:val="20B336D0"/>
    <w:rsid w:val="20B41FC9"/>
    <w:rsid w:val="20B707BB"/>
    <w:rsid w:val="20B91E5B"/>
    <w:rsid w:val="20C106E3"/>
    <w:rsid w:val="20DA452F"/>
    <w:rsid w:val="20E40D06"/>
    <w:rsid w:val="20E70DDA"/>
    <w:rsid w:val="20EE157B"/>
    <w:rsid w:val="20EE5292"/>
    <w:rsid w:val="20EE7A98"/>
    <w:rsid w:val="20F012DA"/>
    <w:rsid w:val="20F91B22"/>
    <w:rsid w:val="20FB0C58"/>
    <w:rsid w:val="2102118F"/>
    <w:rsid w:val="210643F0"/>
    <w:rsid w:val="21126A1E"/>
    <w:rsid w:val="211A3117"/>
    <w:rsid w:val="211D6ED8"/>
    <w:rsid w:val="21365E4F"/>
    <w:rsid w:val="21432762"/>
    <w:rsid w:val="214418B5"/>
    <w:rsid w:val="215F5D66"/>
    <w:rsid w:val="219B228D"/>
    <w:rsid w:val="219C7087"/>
    <w:rsid w:val="219D2205"/>
    <w:rsid w:val="219F5A6F"/>
    <w:rsid w:val="21A2770F"/>
    <w:rsid w:val="21A72E05"/>
    <w:rsid w:val="21AF4DC3"/>
    <w:rsid w:val="21C06F92"/>
    <w:rsid w:val="21C34A4E"/>
    <w:rsid w:val="21C84E9E"/>
    <w:rsid w:val="21CB5CF6"/>
    <w:rsid w:val="21D17902"/>
    <w:rsid w:val="21E22287"/>
    <w:rsid w:val="21E5632B"/>
    <w:rsid w:val="21F143E4"/>
    <w:rsid w:val="21F718D2"/>
    <w:rsid w:val="220643AF"/>
    <w:rsid w:val="22077889"/>
    <w:rsid w:val="22104944"/>
    <w:rsid w:val="22121D33"/>
    <w:rsid w:val="22131E5F"/>
    <w:rsid w:val="2225695B"/>
    <w:rsid w:val="222B4A26"/>
    <w:rsid w:val="2230171F"/>
    <w:rsid w:val="224C1EE4"/>
    <w:rsid w:val="224E5006"/>
    <w:rsid w:val="22507E1C"/>
    <w:rsid w:val="225F71CC"/>
    <w:rsid w:val="226E0F46"/>
    <w:rsid w:val="22894FBA"/>
    <w:rsid w:val="228B7D1B"/>
    <w:rsid w:val="22993411"/>
    <w:rsid w:val="22A31EF1"/>
    <w:rsid w:val="22A3753B"/>
    <w:rsid w:val="22A627B6"/>
    <w:rsid w:val="22B83FDE"/>
    <w:rsid w:val="22BB1853"/>
    <w:rsid w:val="22C41C6A"/>
    <w:rsid w:val="22C81958"/>
    <w:rsid w:val="22EE7034"/>
    <w:rsid w:val="22F20146"/>
    <w:rsid w:val="22FD46BD"/>
    <w:rsid w:val="231057D9"/>
    <w:rsid w:val="23153857"/>
    <w:rsid w:val="231B17F9"/>
    <w:rsid w:val="23216DFA"/>
    <w:rsid w:val="233A304E"/>
    <w:rsid w:val="23443D7D"/>
    <w:rsid w:val="235511EA"/>
    <w:rsid w:val="235D02F2"/>
    <w:rsid w:val="23614F48"/>
    <w:rsid w:val="23690609"/>
    <w:rsid w:val="237A3E4E"/>
    <w:rsid w:val="237E1230"/>
    <w:rsid w:val="238A29AB"/>
    <w:rsid w:val="238F40D9"/>
    <w:rsid w:val="23933508"/>
    <w:rsid w:val="239504D4"/>
    <w:rsid w:val="23950A3C"/>
    <w:rsid w:val="239B5FC0"/>
    <w:rsid w:val="23A92C60"/>
    <w:rsid w:val="23AA0F3C"/>
    <w:rsid w:val="23B03FD9"/>
    <w:rsid w:val="23B714CC"/>
    <w:rsid w:val="23BA7F5A"/>
    <w:rsid w:val="23C13739"/>
    <w:rsid w:val="23D5432C"/>
    <w:rsid w:val="23DD1433"/>
    <w:rsid w:val="23E11DA2"/>
    <w:rsid w:val="23E235B0"/>
    <w:rsid w:val="23F23130"/>
    <w:rsid w:val="23FF75FB"/>
    <w:rsid w:val="24044813"/>
    <w:rsid w:val="2423778D"/>
    <w:rsid w:val="242474A7"/>
    <w:rsid w:val="2428389C"/>
    <w:rsid w:val="2439617A"/>
    <w:rsid w:val="244520C9"/>
    <w:rsid w:val="2446703D"/>
    <w:rsid w:val="245005B3"/>
    <w:rsid w:val="24661A7D"/>
    <w:rsid w:val="246C280E"/>
    <w:rsid w:val="24734E74"/>
    <w:rsid w:val="24940315"/>
    <w:rsid w:val="249511E4"/>
    <w:rsid w:val="249604BE"/>
    <w:rsid w:val="24A31E88"/>
    <w:rsid w:val="24A65CC9"/>
    <w:rsid w:val="24C504EE"/>
    <w:rsid w:val="24C76B9D"/>
    <w:rsid w:val="24CE37C5"/>
    <w:rsid w:val="24D14521"/>
    <w:rsid w:val="24E164AF"/>
    <w:rsid w:val="24E37825"/>
    <w:rsid w:val="24E41B08"/>
    <w:rsid w:val="24E65466"/>
    <w:rsid w:val="24E944A8"/>
    <w:rsid w:val="24F61130"/>
    <w:rsid w:val="24F96CA5"/>
    <w:rsid w:val="24FC5064"/>
    <w:rsid w:val="250B6C88"/>
    <w:rsid w:val="250D16FB"/>
    <w:rsid w:val="25207316"/>
    <w:rsid w:val="252348FA"/>
    <w:rsid w:val="25280D33"/>
    <w:rsid w:val="252A5017"/>
    <w:rsid w:val="25373204"/>
    <w:rsid w:val="253A1C68"/>
    <w:rsid w:val="253C7281"/>
    <w:rsid w:val="25564658"/>
    <w:rsid w:val="25585215"/>
    <w:rsid w:val="255A4BBE"/>
    <w:rsid w:val="255D101D"/>
    <w:rsid w:val="25603917"/>
    <w:rsid w:val="25627611"/>
    <w:rsid w:val="25636FED"/>
    <w:rsid w:val="25645A54"/>
    <w:rsid w:val="25772EBB"/>
    <w:rsid w:val="25832019"/>
    <w:rsid w:val="2592168D"/>
    <w:rsid w:val="259331FE"/>
    <w:rsid w:val="25957FF8"/>
    <w:rsid w:val="259D545F"/>
    <w:rsid w:val="25A149AC"/>
    <w:rsid w:val="25AF3F32"/>
    <w:rsid w:val="25B22A3B"/>
    <w:rsid w:val="25BA2D11"/>
    <w:rsid w:val="25C206E3"/>
    <w:rsid w:val="25C654B7"/>
    <w:rsid w:val="25D0124F"/>
    <w:rsid w:val="25D26FA5"/>
    <w:rsid w:val="25D97596"/>
    <w:rsid w:val="25E37902"/>
    <w:rsid w:val="25F044F9"/>
    <w:rsid w:val="25F74971"/>
    <w:rsid w:val="26040109"/>
    <w:rsid w:val="26061962"/>
    <w:rsid w:val="260F672F"/>
    <w:rsid w:val="26175540"/>
    <w:rsid w:val="262C56B0"/>
    <w:rsid w:val="262F1527"/>
    <w:rsid w:val="2642755C"/>
    <w:rsid w:val="264436A6"/>
    <w:rsid w:val="264E03C6"/>
    <w:rsid w:val="26507D69"/>
    <w:rsid w:val="26590788"/>
    <w:rsid w:val="265D1B10"/>
    <w:rsid w:val="26640280"/>
    <w:rsid w:val="266D04E0"/>
    <w:rsid w:val="267D0DD4"/>
    <w:rsid w:val="268A18BB"/>
    <w:rsid w:val="26900E65"/>
    <w:rsid w:val="269308F5"/>
    <w:rsid w:val="269B5762"/>
    <w:rsid w:val="26A0140A"/>
    <w:rsid w:val="26A4480F"/>
    <w:rsid w:val="26AB027E"/>
    <w:rsid w:val="26B942D9"/>
    <w:rsid w:val="26BD3478"/>
    <w:rsid w:val="26C65361"/>
    <w:rsid w:val="26CB5BEC"/>
    <w:rsid w:val="26D17EE9"/>
    <w:rsid w:val="26D26B3A"/>
    <w:rsid w:val="26DB5397"/>
    <w:rsid w:val="26E70819"/>
    <w:rsid w:val="26EC030B"/>
    <w:rsid w:val="26ED2085"/>
    <w:rsid w:val="26F614FF"/>
    <w:rsid w:val="27085698"/>
    <w:rsid w:val="2722517B"/>
    <w:rsid w:val="2726309C"/>
    <w:rsid w:val="27325E70"/>
    <w:rsid w:val="27326652"/>
    <w:rsid w:val="27341B93"/>
    <w:rsid w:val="27430D53"/>
    <w:rsid w:val="274E2D73"/>
    <w:rsid w:val="27537702"/>
    <w:rsid w:val="27644968"/>
    <w:rsid w:val="2771098E"/>
    <w:rsid w:val="27752950"/>
    <w:rsid w:val="27803467"/>
    <w:rsid w:val="278B23EE"/>
    <w:rsid w:val="278E13C2"/>
    <w:rsid w:val="278F0C96"/>
    <w:rsid w:val="279C7ABE"/>
    <w:rsid w:val="27A46AC2"/>
    <w:rsid w:val="27A70952"/>
    <w:rsid w:val="27B52D32"/>
    <w:rsid w:val="27BD0EA7"/>
    <w:rsid w:val="27C22234"/>
    <w:rsid w:val="27D30046"/>
    <w:rsid w:val="27D4336A"/>
    <w:rsid w:val="27E96CD0"/>
    <w:rsid w:val="27F60128"/>
    <w:rsid w:val="27FC4245"/>
    <w:rsid w:val="28052561"/>
    <w:rsid w:val="28081174"/>
    <w:rsid w:val="28100970"/>
    <w:rsid w:val="28130FC3"/>
    <w:rsid w:val="28164F13"/>
    <w:rsid w:val="281A2308"/>
    <w:rsid w:val="28242AFE"/>
    <w:rsid w:val="28245882"/>
    <w:rsid w:val="282D4DA2"/>
    <w:rsid w:val="28383DE0"/>
    <w:rsid w:val="284763CA"/>
    <w:rsid w:val="284B72B3"/>
    <w:rsid w:val="284C1CF1"/>
    <w:rsid w:val="285259C3"/>
    <w:rsid w:val="286F0F65"/>
    <w:rsid w:val="28810C2F"/>
    <w:rsid w:val="28832153"/>
    <w:rsid w:val="288C402F"/>
    <w:rsid w:val="28A86D3D"/>
    <w:rsid w:val="28AB6575"/>
    <w:rsid w:val="28AF56E0"/>
    <w:rsid w:val="28BF2E88"/>
    <w:rsid w:val="28C50D1F"/>
    <w:rsid w:val="28CA5CB4"/>
    <w:rsid w:val="28F364BD"/>
    <w:rsid w:val="29034D8E"/>
    <w:rsid w:val="290D640A"/>
    <w:rsid w:val="291560D2"/>
    <w:rsid w:val="291A4C7E"/>
    <w:rsid w:val="291F0427"/>
    <w:rsid w:val="29293C6D"/>
    <w:rsid w:val="293715E5"/>
    <w:rsid w:val="293C79A7"/>
    <w:rsid w:val="293E56B3"/>
    <w:rsid w:val="29454D6E"/>
    <w:rsid w:val="294F4DA4"/>
    <w:rsid w:val="295449EC"/>
    <w:rsid w:val="29554FB8"/>
    <w:rsid w:val="295D23DB"/>
    <w:rsid w:val="296228C4"/>
    <w:rsid w:val="297172A8"/>
    <w:rsid w:val="2983564B"/>
    <w:rsid w:val="2986365A"/>
    <w:rsid w:val="298F2D60"/>
    <w:rsid w:val="29BE52CE"/>
    <w:rsid w:val="29DB2E13"/>
    <w:rsid w:val="29DB795F"/>
    <w:rsid w:val="29EA4B44"/>
    <w:rsid w:val="29F43C64"/>
    <w:rsid w:val="29FA25C8"/>
    <w:rsid w:val="29FC032F"/>
    <w:rsid w:val="29FD19B7"/>
    <w:rsid w:val="2A03307B"/>
    <w:rsid w:val="2A0D142F"/>
    <w:rsid w:val="2A0E5BA5"/>
    <w:rsid w:val="2A112438"/>
    <w:rsid w:val="2A121ADD"/>
    <w:rsid w:val="2A1808B1"/>
    <w:rsid w:val="2A1C72FC"/>
    <w:rsid w:val="2A363D92"/>
    <w:rsid w:val="2A3A1248"/>
    <w:rsid w:val="2A3B23D3"/>
    <w:rsid w:val="2A463A27"/>
    <w:rsid w:val="2A6021EF"/>
    <w:rsid w:val="2A6A0AB6"/>
    <w:rsid w:val="2A783C63"/>
    <w:rsid w:val="2A790BAB"/>
    <w:rsid w:val="2A7A22B0"/>
    <w:rsid w:val="2A7A288C"/>
    <w:rsid w:val="2A7A5040"/>
    <w:rsid w:val="2A7F5588"/>
    <w:rsid w:val="2A871EF8"/>
    <w:rsid w:val="2A94612D"/>
    <w:rsid w:val="2A99095C"/>
    <w:rsid w:val="2A9C5B40"/>
    <w:rsid w:val="2AA400F4"/>
    <w:rsid w:val="2AAC54BB"/>
    <w:rsid w:val="2AB57FF9"/>
    <w:rsid w:val="2ABA6371"/>
    <w:rsid w:val="2ABF7AE4"/>
    <w:rsid w:val="2AC329D5"/>
    <w:rsid w:val="2AC771F9"/>
    <w:rsid w:val="2ACC28DA"/>
    <w:rsid w:val="2AE11D66"/>
    <w:rsid w:val="2AEB102F"/>
    <w:rsid w:val="2AFA470A"/>
    <w:rsid w:val="2B0678E1"/>
    <w:rsid w:val="2B0C20F7"/>
    <w:rsid w:val="2B0F5533"/>
    <w:rsid w:val="2B1A03EA"/>
    <w:rsid w:val="2B1B65B9"/>
    <w:rsid w:val="2B2706A2"/>
    <w:rsid w:val="2B28252F"/>
    <w:rsid w:val="2B461FAE"/>
    <w:rsid w:val="2B4D31F0"/>
    <w:rsid w:val="2B4F0637"/>
    <w:rsid w:val="2B4F71D5"/>
    <w:rsid w:val="2B527EE3"/>
    <w:rsid w:val="2B580D2F"/>
    <w:rsid w:val="2B5E1A74"/>
    <w:rsid w:val="2B667187"/>
    <w:rsid w:val="2B6C7C6C"/>
    <w:rsid w:val="2B736F2B"/>
    <w:rsid w:val="2B7D4228"/>
    <w:rsid w:val="2B8B70C4"/>
    <w:rsid w:val="2B9576E2"/>
    <w:rsid w:val="2B9A4D5A"/>
    <w:rsid w:val="2B9F55DB"/>
    <w:rsid w:val="2BA41CAA"/>
    <w:rsid w:val="2BAA0794"/>
    <w:rsid w:val="2BBB53AD"/>
    <w:rsid w:val="2BBB639B"/>
    <w:rsid w:val="2BC01D66"/>
    <w:rsid w:val="2BC2082C"/>
    <w:rsid w:val="2BC36628"/>
    <w:rsid w:val="2BCB2584"/>
    <w:rsid w:val="2BD25B6F"/>
    <w:rsid w:val="2BEC51D8"/>
    <w:rsid w:val="2BEC7EFA"/>
    <w:rsid w:val="2BEF1A87"/>
    <w:rsid w:val="2BEF7F55"/>
    <w:rsid w:val="2BF66BA9"/>
    <w:rsid w:val="2C0368C6"/>
    <w:rsid w:val="2C05500E"/>
    <w:rsid w:val="2C0D4506"/>
    <w:rsid w:val="2C1134D0"/>
    <w:rsid w:val="2C246940"/>
    <w:rsid w:val="2C290D81"/>
    <w:rsid w:val="2C2E78B5"/>
    <w:rsid w:val="2C3C1EC1"/>
    <w:rsid w:val="2C42462B"/>
    <w:rsid w:val="2C5B41CA"/>
    <w:rsid w:val="2C5E0D2F"/>
    <w:rsid w:val="2C5F361A"/>
    <w:rsid w:val="2C6A3498"/>
    <w:rsid w:val="2C8A6306"/>
    <w:rsid w:val="2C8B76DA"/>
    <w:rsid w:val="2C8F068C"/>
    <w:rsid w:val="2CA045D1"/>
    <w:rsid w:val="2CA423D8"/>
    <w:rsid w:val="2CA96082"/>
    <w:rsid w:val="2CB719CB"/>
    <w:rsid w:val="2CB85977"/>
    <w:rsid w:val="2CB949B4"/>
    <w:rsid w:val="2CBB5644"/>
    <w:rsid w:val="2CC44205"/>
    <w:rsid w:val="2CC905A9"/>
    <w:rsid w:val="2CCF5DDE"/>
    <w:rsid w:val="2CD56F32"/>
    <w:rsid w:val="2CDB0944"/>
    <w:rsid w:val="2CE27267"/>
    <w:rsid w:val="2CE74D39"/>
    <w:rsid w:val="2CE8150A"/>
    <w:rsid w:val="2D016444"/>
    <w:rsid w:val="2D0B00A7"/>
    <w:rsid w:val="2D12077C"/>
    <w:rsid w:val="2D1A1408"/>
    <w:rsid w:val="2D1F74AF"/>
    <w:rsid w:val="2D21385E"/>
    <w:rsid w:val="2D270FD0"/>
    <w:rsid w:val="2D277EFB"/>
    <w:rsid w:val="2D31047C"/>
    <w:rsid w:val="2D3178DC"/>
    <w:rsid w:val="2D324DB9"/>
    <w:rsid w:val="2D4E3F0C"/>
    <w:rsid w:val="2D646B9E"/>
    <w:rsid w:val="2D6706EB"/>
    <w:rsid w:val="2D6D1127"/>
    <w:rsid w:val="2D700E9E"/>
    <w:rsid w:val="2D80355B"/>
    <w:rsid w:val="2D9139BA"/>
    <w:rsid w:val="2D976683"/>
    <w:rsid w:val="2DA01E4F"/>
    <w:rsid w:val="2DA57465"/>
    <w:rsid w:val="2DB27C81"/>
    <w:rsid w:val="2DB74C8F"/>
    <w:rsid w:val="2DCB05F1"/>
    <w:rsid w:val="2DE35338"/>
    <w:rsid w:val="2E11076A"/>
    <w:rsid w:val="2E132BF2"/>
    <w:rsid w:val="2E150147"/>
    <w:rsid w:val="2E161683"/>
    <w:rsid w:val="2E194F3D"/>
    <w:rsid w:val="2E344345"/>
    <w:rsid w:val="2E3E0198"/>
    <w:rsid w:val="2E3F0BEE"/>
    <w:rsid w:val="2E4F0821"/>
    <w:rsid w:val="2E5015EC"/>
    <w:rsid w:val="2E521413"/>
    <w:rsid w:val="2E560939"/>
    <w:rsid w:val="2E5A7CD6"/>
    <w:rsid w:val="2E5E648E"/>
    <w:rsid w:val="2E6A61A2"/>
    <w:rsid w:val="2E6E5AA9"/>
    <w:rsid w:val="2E743409"/>
    <w:rsid w:val="2E790DE1"/>
    <w:rsid w:val="2E7B7EC9"/>
    <w:rsid w:val="2E9136EE"/>
    <w:rsid w:val="2EBF3113"/>
    <w:rsid w:val="2EC42A1F"/>
    <w:rsid w:val="2EC56BE5"/>
    <w:rsid w:val="2EC73785"/>
    <w:rsid w:val="2EF00893"/>
    <w:rsid w:val="2EFF3E52"/>
    <w:rsid w:val="2F08433B"/>
    <w:rsid w:val="2F136646"/>
    <w:rsid w:val="2F1F371B"/>
    <w:rsid w:val="2F261EE0"/>
    <w:rsid w:val="2F2F22BD"/>
    <w:rsid w:val="2F3557ED"/>
    <w:rsid w:val="2F363704"/>
    <w:rsid w:val="2F3D14B0"/>
    <w:rsid w:val="2F546A4D"/>
    <w:rsid w:val="2F5762E2"/>
    <w:rsid w:val="2F61762B"/>
    <w:rsid w:val="2F793F6A"/>
    <w:rsid w:val="2F847853"/>
    <w:rsid w:val="2F866E22"/>
    <w:rsid w:val="2F962068"/>
    <w:rsid w:val="2F9E3716"/>
    <w:rsid w:val="2F9E5E02"/>
    <w:rsid w:val="2FA12592"/>
    <w:rsid w:val="2FA92ACB"/>
    <w:rsid w:val="2FB27C17"/>
    <w:rsid w:val="2FC12E0D"/>
    <w:rsid w:val="2FC32224"/>
    <w:rsid w:val="2FD3657A"/>
    <w:rsid w:val="2FDB474A"/>
    <w:rsid w:val="2FDD2E8E"/>
    <w:rsid w:val="2FDE3125"/>
    <w:rsid w:val="2FEC0550"/>
    <w:rsid w:val="2FED2320"/>
    <w:rsid w:val="2FF260EA"/>
    <w:rsid w:val="2FF3094F"/>
    <w:rsid w:val="2FFD0C0E"/>
    <w:rsid w:val="300D20E3"/>
    <w:rsid w:val="300D36B9"/>
    <w:rsid w:val="301B2328"/>
    <w:rsid w:val="30225849"/>
    <w:rsid w:val="30322E5C"/>
    <w:rsid w:val="30396D27"/>
    <w:rsid w:val="3044003E"/>
    <w:rsid w:val="30505F70"/>
    <w:rsid w:val="305703F6"/>
    <w:rsid w:val="30645CFC"/>
    <w:rsid w:val="30665E9F"/>
    <w:rsid w:val="306C7EFE"/>
    <w:rsid w:val="3091782D"/>
    <w:rsid w:val="3092535C"/>
    <w:rsid w:val="30A57B99"/>
    <w:rsid w:val="30B97331"/>
    <w:rsid w:val="30BA6D63"/>
    <w:rsid w:val="30C10112"/>
    <w:rsid w:val="30C23A3B"/>
    <w:rsid w:val="30C62E41"/>
    <w:rsid w:val="30CB263C"/>
    <w:rsid w:val="30CC18B7"/>
    <w:rsid w:val="30F5319F"/>
    <w:rsid w:val="310821E5"/>
    <w:rsid w:val="310C35ED"/>
    <w:rsid w:val="310D031B"/>
    <w:rsid w:val="31136BFE"/>
    <w:rsid w:val="31186793"/>
    <w:rsid w:val="31336B36"/>
    <w:rsid w:val="313B3958"/>
    <w:rsid w:val="31496258"/>
    <w:rsid w:val="314B0B14"/>
    <w:rsid w:val="31594B69"/>
    <w:rsid w:val="315B0515"/>
    <w:rsid w:val="31607AF5"/>
    <w:rsid w:val="31660CB9"/>
    <w:rsid w:val="316B6CEE"/>
    <w:rsid w:val="3173799B"/>
    <w:rsid w:val="31780A67"/>
    <w:rsid w:val="31821D30"/>
    <w:rsid w:val="31881438"/>
    <w:rsid w:val="318C3787"/>
    <w:rsid w:val="31913A69"/>
    <w:rsid w:val="31922F44"/>
    <w:rsid w:val="319B3CAA"/>
    <w:rsid w:val="31AA0A84"/>
    <w:rsid w:val="31B36D87"/>
    <w:rsid w:val="31C10CC5"/>
    <w:rsid w:val="31C53C32"/>
    <w:rsid w:val="31CE06FD"/>
    <w:rsid w:val="31DA7CEA"/>
    <w:rsid w:val="31ED3136"/>
    <w:rsid w:val="31FD406A"/>
    <w:rsid w:val="31FE0EF2"/>
    <w:rsid w:val="31FE2FC8"/>
    <w:rsid w:val="32066C5B"/>
    <w:rsid w:val="321A5DCA"/>
    <w:rsid w:val="323B5CA2"/>
    <w:rsid w:val="324276A3"/>
    <w:rsid w:val="32440A8B"/>
    <w:rsid w:val="324639D0"/>
    <w:rsid w:val="324D77D1"/>
    <w:rsid w:val="325719E8"/>
    <w:rsid w:val="326170B4"/>
    <w:rsid w:val="3264531C"/>
    <w:rsid w:val="32665466"/>
    <w:rsid w:val="326B38EB"/>
    <w:rsid w:val="32830ACC"/>
    <w:rsid w:val="32892A4B"/>
    <w:rsid w:val="32AF0842"/>
    <w:rsid w:val="32B04854"/>
    <w:rsid w:val="32B736BD"/>
    <w:rsid w:val="32B865A2"/>
    <w:rsid w:val="32C526D6"/>
    <w:rsid w:val="32D817FB"/>
    <w:rsid w:val="32DC3E61"/>
    <w:rsid w:val="32E75208"/>
    <w:rsid w:val="32FE6CC1"/>
    <w:rsid w:val="330E2F53"/>
    <w:rsid w:val="330F4321"/>
    <w:rsid w:val="3317426F"/>
    <w:rsid w:val="3317670F"/>
    <w:rsid w:val="331F2416"/>
    <w:rsid w:val="33291ECF"/>
    <w:rsid w:val="33435FD9"/>
    <w:rsid w:val="3345063A"/>
    <w:rsid w:val="335121B9"/>
    <w:rsid w:val="33596D28"/>
    <w:rsid w:val="336E4DB0"/>
    <w:rsid w:val="33714640"/>
    <w:rsid w:val="337829B0"/>
    <w:rsid w:val="337A0742"/>
    <w:rsid w:val="337C0BAD"/>
    <w:rsid w:val="33835519"/>
    <w:rsid w:val="338E25CB"/>
    <w:rsid w:val="3390353C"/>
    <w:rsid w:val="33923816"/>
    <w:rsid w:val="33947D60"/>
    <w:rsid w:val="33960E31"/>
    <w:rsid w:val="339766EC"/>
    <w:rsid w:val="33A13F7B"/>
    <w:rsid w:val="33A8589B"/>
    <w:rsid w:val="33B95F01"/>
    <w:rsid w:val="33C07D0A"/>
    <w:rsid w:val="33E170B6"/>
    <w:rsid w:val="33E476E2"/>
    <w:rsid w:val="33E93BB1"/>
    <w:rsid w:val="33F75282"/>
    <w:rsid w:val="33FB6405"/>
    <w:rsid w:val="340101EB"/>
    <w:rsid w:val="3402383D"/>
    <w:rsid w:val="340A53E6"/>
    <w:rsid w:val="34100227"/>
    <w:rsid w:val="34110143"/>
    <w:rsid w:val="34270BD4"/>
    <w:rsid w:val="342B7310"/>
    <w:rsid w:val="342F343D"/>
    <w:rsid w:val="343011E9"/>
    <w:rsid w:val="34352F7A"/>
    <w:rsid w:val="34517714"/>
    <w:rsid w:val="345F74B2"/>
    <w:rsid w:val="34634E66"/>
    <w:rsid w:val="346E1392"/>
    <w:rsid w:val="347362F2"/>
    <w:rsid w:val="348342CA"/>
    <w:rsid w:val="348A1DB8"/>
    <w:rsid w:val="34980D1E"/>
    <w:rsid w:val="34A25951"/>
    <w:rsid w:val="34B033E7"/>
    <w:rsid w:val="34BD350C"/>
    <w:rsid w:val="34BF74EA"/>
    <w:rsid w:val="34C22E54"/>
    <w:rsid w:val="34D766B0"/>
    <w:rsid w:val="34DB19BE"/>
    <w:rsid w:val="34DB2B4D"/>
    <w:rsid w:val="34E16316"/>
    <w:rsid w:val="34E467C1"/>
    <w:rsid w:val="34E66EBD"/>
    <w:rsid w:val="34E75F12"/>
    <w:rsid w:val="34F32500"/>
    <w:rsid w:val="34F338FE"/>
    <w:rsid w:val="34FE39F8"/>
    <w:rsid w:val="350A5CF4"/>
    <w:rsid w:val="351F2F82"/>
    <w:rsid w:val="3535293E"/>
    <w:rsid w:val="3536502B"/>
    <w:rsid w:val="353665BD"/>
    <w:rsid w:val="35371562"/>
    <w:rsid w:val="354C4C22"/>
    <w:rsid w:val="355B65B2"/>
    <w:rsid w:val="355D4F81"/>
    <w:rsid w:val="356F2353"/>
    <w:rsid w:val="35705AE4"/>
    <w:rsid w:val="35824905"/>
    <w:rsid w:val="35843F72"/>
    <w:rsid w:val="35862A9A"/>
    <w:rsid w:val="35970273"/>
    <w:rsid w:val="35C74E47"/>
    <w:rsid w:val="35E24DF5"/>
    <w:rsid w:val="35FC0320"/>
    <w:rsid w:val="35FC78A0"/>
    <w:rsid w:val="35FF3C90"/>
    <w:rsid w:val="35FF463C"/>
    <w:rsid w:val="3606454A"/>
    <w:rsid w:val="360C6E10"/>
    <w:rsid w:val="360D4DD7"/>
    <w:rsid w:val="361124A4"/>
    <w:rsid w:val="36132896"/>
    <w:rsid w:val="36203B2D"/>
    <w:rsid w:val="36251E52"/>
    <w:rsid w:val="3627310D"/>
    <w:rsid w:val="3633222C"/>
    <w:rsid w:val="363407F7"/>
    <w:rsid w:val="36351C01"/>
    <w:rsid w:val="3638445C"/>
    <w:rsid w:val="36434D26"/>
    <w:rsid w:val="36470DE8"/>
    <w:rsid w:val="364D39D1"/>
    <w:rsid w:val="365612E8"/>
    <w:rsid w:val="366513C8"/>
    <w:rsid w:val="3686608C"/>
    <w:rsid w:val="368E7A3C"/>
    <w:rsid w:val="368F0CB2"/>
    <w:rsid w:val="36AD62EF"/>
    <w:rsid w:val="36B4674F"/>
    <w:rsid w:val="36C04CF9"/>
    <w:rsid w:val="36CA1F25"/>
    <w:rsid w:val="36DE0951"/>
    <w:rsid w:val="36E94406"/>
    <w:rsid w:val="36F210B1"/>
    <w:rsid w:val="36F901E6"/>
    <w:rsid w:val="37007AC7"/>
    <w:rsid w:val="37113475"/>
    <w:rsid w:val="37133063"/>
    <w:rsid w:val="371722E2"/>
    <w:rsid w:val="371D335B"/>
    <w:rsid w:val="371F6EDC"/>
    <w:rsid w:val="372A09FA"/>
    <w:rsid w:val="37330115"/>
    <w:rsid w:val="373529C0"/>
    <w:rsid w:val="374101FF"/>
    <w:rsid w:val="375A3819"/>
    <w:rsid w:val="375A58F4"/>
    <w:rsid w:val="375F2D0C"/>
    <w:rsid w:val="376B4FBE"/>
    <w:rsid w:val="37807A1C"/>
    <w:rsid w:val="378E3BE4"/>
    <w:rsid w:val="379837CA"/>
    <w:rsid w:val="37994C24"/>
    <w:rsid w:val="37A273E4"/>
    <w:rsid w:val="37A4695E"/>
    <w:rsid w:val="37AA79A3"/>
    <w:rsid w:val="37B253AC"/>
    <w:rsid w:val="37B73B33"/>
    <w:rsid w:val="37B75F51"/>
    <w:rsid w:val="37C87091"/>
    <w:rsid w:val="37D42B5B"/>
    <w:rsid w:val="37E8004A"/>
    <w:rsid w:val="37F048A0"/>
    <w:rsid w:val="37F27E10"/>
    <w:rsid w:val="382932C1"/>
    <w:rsid w:val="382A51FA"/>
    <w:rsid w:val="382F4B08"/>
    <w:rsid w:val="38312A30"/>
    <w:rsid w:val="38523D46"/>
    <w:rsid w:val="385E6AEF"/>
    <w:rsid w:val="386D5023"/>
    <w:rsid w:val="38975BFC"/>
    <w:rsid w:val="38A00A0E"/>
    <w:rsid w:val="38A172FA"/>
    <w:rsid w:val="38A23923"/>
    <w:rsid w:val="38B10FD3"/>
    <w:rsid w:val="38B12660"/>
    <w:rsid w:val="38B92017"/>
    <w:rsid w:val="38DC7DB9"/>
    <w:rsid w:val="38DE2E10"/>
    <w:rsid w:val="38E12A24"/>
    <w:rsid w:val="38E7522B"/>
    <w:rsid w:val="38EC5F48"/>
    <w:rsid w:val="38F172EC"/>
    <w:rsid w:val="38FA46B4"/>
    <w:rsid w:val="390C7C27"/>
    <w:rsid w:val="390D588D"/>
    <w:rsid w:val="39112852"/>
    <w:rsid w:val="39186D3D"/>
    <w:rsid w:val="391F5244"/>
    <w:rsid w:val="39225CE4"/>
    <w:rsid w:val="392635CF"/>
    <w:rsid w:val="392876F4"/>
    <w:rsid w:val="392A377B"/>
    <w:rsid w:val="393120C7"/>
    <w:rsid w:val="39331DC9"/>
    <w:rsid w:val="393E362D"/>
    <w:rsid w:val="3954329D"/>
    <w:rsid w:val="39551744"/>
    <w:rsid w:val="395E6FAD"/>
    <w:rsid w:val="396252C6"/>
    <w:rsid w:val="39673BFA"/>
    <w:rsid w:val="396D0C84"/>
    <w:rsid w:val="3971644D"/>
    <w:rsid w:val="397244C0"/>
    <w:rsid w:val="3974410E"/>
    <w:rsid w:val="39773AA5"/>
    <w:rsid w:val="397F27D6"/>
    <w:rsid w:val="3990461B"/>
    <w:rsid w:val="39916571"/>
    <w:rsid w:val="39980102"/>
    <w:rsid w:val="39AC0EFC"/>
    <w:rsid w:val="39AE1A04"/>
    <w:rsid w:val="39B7679D"/>
    <w:rsid w:val="39C550B5"/>
    <w:rsid w:val="39DC14C7"/>
    <w:rsid w:val="39DC32CF"/>
    <w:rsid w:val="39DC5B33"/>
    <w:rsid w:val="39EF3377"/>
    <w:rsid w:val="39F63CA8"/>
    <w:rsid w:val="39F85C7D"/>
    <w:rsid w:val="39FF7EFD"/>
    <w:rsid w:val="3A0C76D7"/>
    <w:rsid w:val="3A1E479F"/>
    <w:rsid w:val="3A204AEC"/>
    <w:rsid w:val="3A2200E6"/>
    <w:rsid w:val="3A2843A8"/>
    <w:rsid w:val="3A2D4580"/>
    <w:rsid w:val="3A3E0D77"/>
    <w:rsid w:val="3A441C9D"/>
    <w:rsid w:val="3A4E34CE"/>
    <w:rsid w:val="3A504D64"/>
    <w:rsid w:val="3A5610C1"/>
    <w:rsid w:val="3A6234A0"/>
    <w:rsid w:val="3A627DF4"/>
    <w:rsid w:val="3A791CD8"/>
    <w:rsid w:val="3A7A59B6"/>
    <w:rsid w:val="3A914FF9"/>
    <w:rsid w:val="3A9611FB"/>
    <w:rsid w:val="3AB06356"/>
    <w:rsid w:val="3AB77E36"/>
    <w:rsid w:val="3AC20A9E"/>
    <w:rsid w:val="3AC7670A"/>
    <w:rsid w:val="3ACA5143"/>
    <w:rsid w:val="3ACC7E1E"/>
    <w:rsid w:val="3ADC43DB"/>
    <w:rsid w:val="3AE20C06"/>
    <w:rsid w:val="3AEB018A"/>
    <w:rsid w:val="3AEC66D3"/>
    <w:rsid w:val="3B047A2C"/>
    <w:rsid w:val="3B101F22"/>
    <w:rsid w:val="3B112C59"/>
    <w:rsid w:val="3B124C1B"/>
    <w:rsid w:val="3B144FE3"/>
    <w:rsid w:val="3B1479D8"/>
    <w:rsid w:val="3B247C1B"/>
    <w:rsid w:val="3B263436"/>
    <w:rsid w:val="3B2A3136"/>
    <w:rsid w:val="3B2B31E1"/>
    <w:rsid w:val="3B375496"/>
    <w:rsid w:val="3B3B3017"/>
    <w:rsid w:val="3B43293D"/>
    <w:rsid w:val="3B5B758E"/>
    <w:rsid w:val="3B5F7EA1"/>
    <w:rsid w:val="3B622EBC"/>
    <w:rsid w:val="3B697A40"/>
    <w:rsid w:val="3B733F3E"/>
    <w:rsid w:val="3B7B6258"/>
    <w:rsid w:val="3B7C16F1"/>
    <w:rsid w:val="3B7D36E1"/>
    <w:rsid w:val="3B8A52AF"/>
    <w:rsid w:val="3B8A6A1F"/>
    <w:rsid w:val="3B97118C"/>
    <w:rsid w:val="3B9B6F13"/>
    <w:rsid w:val="3BAE3267"/>
    <w:rsid w:val="3BC05AA5"/>
    <w:rsid w:val="3BCD738B"/>
    <w:rsid w:val="3BD3218F"/>
    <w:rsid w:val="3BE5760A"/>
    <w:rsid w:val="3BE95FBF"/>
    <w:rsid w:val="3BF736C7"/>
    <w:rsid w:val="3C0134AE"/>
    <w:rsid w:val="3C033CD5"/>
    <w:rsid w:val="3C0812EB"/>
    <w:rsid w:val="3C0C4260"/>
    <w:rsid w:val="3C0D7EBC"/>
    <w:rsid w:val="3C0F313B"/>
    <w:rsid w:val="3C193F39"/>
    <w:rsid w:val="3C35789E"/>
    <w:rsid w:val="3C3A17EA"/>
    <w:rsid w:val="3C3E6D60"/>
    <w:rsid w:val="3C4D4524"/>
    <w:rsid w:val="3C5639DE"/>
    <w:rsid w:val="3C571C05"/>
    <w:rsid w:val="3C64352B"/>
    <w:rsid w:val="3C672E2C"/>
    <w:rsid w:val="3C764FC0"/>
    <w:rsid w:val="3C8B7826"/>
    <w:rsid w:val="3C8D58BE"/>
    <w:rsid w:val="3C8E5FED"/>
    <w:rsid w:val="3C942323"/>
    <w:rsid w:val="3C9E20B1"/>
    <w:rsid w:val="3CA31014"/>
    <w:rsid w:val="3CB53A65"/>
    <w:rsid w:val="3CC102AC"/>
    <w:rsid w:val="3CD76CB4"/>
    <w:rsid w:val="3CDB50CB"/>
    <w:rsid w:val="3CE360F2"/>
    <w:rsid w:val="3CEA5162"/>
    <w:rsid w:val="3CEE5C15"/>
    <w:rsid w:val="3CF46F06"/>
    <w:rsid w:val="3CF5496B"/>
    <w:rsid w:val="3D0B4E51"/>
    <w:rsid w:val="3D115586"/>
    <w:rsid w:val="3D197739"/>
    <w:rsid w:val="3D2B2775"/>
    <w:rsid w:val="3D3130F3"/>
    <w:rsid w:val="3D422B64"/>
    <w:rsid w:val="3D500385"/>
    <w:rsid w:val="3D59462B"/>
    <w:rsid w:val="3D5A44CB"/>
    <w:rsid w:val="3D5A54B8"/>
    <w:rsid w:val="3D6025AF"/>
    <w:rsid w:val="3D647CD4"/>
    <w:rsid w:val="3D7B49B3"/>
    <w:rsid w:val="3D84454D"/>
    <w:rsid w:val="3D8620EC"/>
    <w:rsid w:val="3D8D259B"/>
    <w:rsid w:val="3D8D2E74"/>
    <w:rsid w:val="3D940183"/>
    <w:rsid w:val="3D94569F"/>
    <w:rsid w:val="3DA1471C"/>
    <w:rsid w:val="3DAD4BED"/>
    <w:rsid w:val="3DAE1A1E"/>
    <w:rsid w:val="3DB328C2"/>
    <w:rsid w:val="3DCC12F0"/>
    <w:rsid w:val="3DD46CC7"/>
    <w:rsid w:val="3DE41CDC"/>
    <w:rsid w:val="3DE85142"/>
    <w:rsid w:val="3DE90CA8"/>
    <w:rsid w:val="3DEB52FD"/>
    <w:rsid w:val="3DF12E5A"/>
    <w:rsid w:val="3E016AE6"/>
    <w:rsid w:val="3E187D1F"/>
    <w:rsid w:val="3E1C3525"/>
    <w:rsid w:val="3E200B4B"/>
    <w:rsid w:val="3E225DB0"/>
    <w:rsid w:val="3E33791B"/>
    <w:rsid w:val="3E3D069E"/>
    <w:rsid w:val="3E483582"/>
    <w:rsid w:val="3E5337D0"/>
    <w:rsid w:val="3E537DE4"/>
    <w:rsid w:val="3E554154"/>
    <w:rsid w:val="3E5F165E"/>
    <w:rsid w:val="3E6A28BE"/>
    <w:rsid w:val="3E8A2A4A"/>
    <w:rsid w:val="3E904009"/>
    <w:rsid w:val="3E996659"/>
    <w:rsid w:val="3E9C3F6D"/>
    <w:rsid w:val="3E9E1FC0"/>
    <w:rsid w:val="3EA300A7"/>
    <w:rsid w:val="3EB93130"/>
    <w:rsid w:val="3EC3043C"/>
    <w:rsid w:val="3EC8242A"/>
    <w:rsid w:val="3EC8679C"/>
    <w:rsid w:val="3ECC3CBE"/>
    <w:rsid w:val="3ECE132F"/>
    <w:rsid w:val="3ED66E05"/>
    <w:rsid w:val="3EE5288B"/>
    <w:rsid w:val="3EFD1DF1"/>
    <w:rsid w:val="3F027DD0"/>
    <w:rsid w:val="3F232D0D"/>
    <w:rsid w:val="3F257025"/>
    <w:rsid w:val="3F2763A2"/>
    <w:rsid w:val="3F293129"/>
    <w:rsid w:val="3F2E1337"/>
    <w:rsid w:val="3F2E2497"/>
    <w:rsid w:val="3F3303B1"/>
    <w:rsid w:val="3F4152FA"/>
    <w:rsid w:val="3F440641"/>
    <w:rsid w:val="3F4A339D"/>
    <w:rsid w:val="3F553F1E"/>
    <w:rsid w:val="3F66563F"/>
    <w:rsid w:val="3F6E7773"/>
    <w:rsid w:val="3F7F1757"/>
    <w:rsid w:val="3F8E7BF9"/>
    <w:rsid w:val="3F9F1936"/>
    <w:rsid w:val="3FBF2FE8"/>
    <w:rsid w:val="3FDE02D2"/>
    <w:rsid w:val="3FFB6A4F"/>
    <w:rsid w:val="40016981"/>
    <w:rsid w:val="4002562A"/>
    <w:rsid w:val="400D69C0"/>
    <w:rsid w:val="401E0B4D"/>
    <w:rsid w:val="401E1F88"/>
    <w:rsid w:val="40266EE6"/>
    <w:rsid w:val="40275AB8"/>
    <w:rsid w:val="402D166A"/>
    <w:rsid w:val="403A2EC7"/>
    <w:rsid w:val="405A40DF"/>
    <w:rsid w:val="40653402"/>
    <w:rsid w:val="40654256"/>
    <w:rsid w:val="406612AF"/>
    <w:rsid w:val="406E2D1C"/>
    <w:rsid w:val="40774C91"/>
    <w:rsid w:val="407A1956"/>
    <w:rsid w:val="407C3AE5"/>
    <w:rsid w:val="407F1C79"/>
    <w:rsid w:val="409171F4"/>
    <w:rsid w:val="40942BDE"/>
    <w:rsid w:val="409B660A"/>
    <w:rsid w:val="409C46F8"/>
    <w:rsid w:val="40A96AA7"/>
    <w:rsid w:val="40B04F11"/>
    <w:rsid w:val="40C27447"/>
    <w:rsid w:val="40CA627D"/>
    <w:rsid w:val="40D2308B"/>
    <w:rsid w:val="40D641E4"/>
    <w:rsid w:val="40DD7A15"/>
    <w:rsid w:val="41080CDA"/>
    <w:rsid w:val="411266A1"/>
    <w:rsid w:val="413362A7"/>
    <w:rsid w:val="414311A9"/>
    <w:rsid w:val="4149186F"/>
    <w:rsid w:val="415B010F"/>
    <w:rsid w:val="415E7F1E"/>
    <w:rsid w:val="416136C1"/>
    <w:rsid w:val="4163168B"/>
    <w:rsid w:val="41645CF3"/>
    <w:rsid w:val="41684FED"/>
    <w:rsid w:val="41705CAC"/>
    <w:rsid w:val="41751899"/>
    <w:rsid w:val="417852FE"/>
    <w:rsid w:val="41792489"/>
    <w:rsid w:val="417E7959"/>
    <w:rsid w:val="41833E46"/>
    <w:rsid w:val="418718DD"/>
    <w:rsid w:val="418E755B"/>
    <w:rsid w:val="41975AE6"/>
    <w:rsid w:val="419A0534"/>
    <w:rsid w:val="419B5637"/>
    <w:rsid w:val="41A50C0C"/>
    <w:rsid w:val="41A7672E"/>
    <w:rsid w:val="41AB30BD"/>
    <w:rsid w:val="41C16449"/>
    <w:rsid w:val="41CB028C"/>
    <w:rsid w:val="41EA4FEF"/>
    <w:rsid w:val="41EC4267"/>
    <w:rsid w:val="41EE52C2"/>
    <w:rsid w:val="42101E16"/>
    <w:rsid w:val="4212294F"/>
    <w:rsid w:val="421309EA"/>
    <w:rsid w:val="421337A1"/>
    <w:rsid w:val="422C1E62"/>
    <w:rsid w:val="422C3873"/>
    <w:rsid w:val="422E1456"/>
    <w:rsid w:val="4238215D"/>
    <w:rsid w:val="42387696"/>
    <w:rsid w:val="42472441"/>
    <w:rsid w:val="42490980"/>
    <w:rsid w:val="424A586D"/>
    <w:rsid w:val="425A03C6"/>
    <w:rsid w:val="426A072B"/>
    <w:rsid w:val="426E0E54"/>
    <w:rsid w:val="42746CC9"/>
    <w:rsid w:val="42782D0E"/>
    <w:rsid w:val="42794168"/>
    <w:rsid w:val="42812BEB"/>
    <w:rsid w:val="42917131"/>
    <w:rsid w:val="429733C9"/>
    <w:rsid w:val="429F13E2"/>
    <w:rsid w:val="42AE6B72"/>
    <w:rsid w:val="42B368EE"/>
    <w:rsid w:val="42BE31F4"/>
    <w:rsid w:val="42BF4A33"/>
    <w:rsid w:val="42CA3CDB"/>
    <w:rsid w:val="42D85084"/>
    <w:rsid w:val="42E23496"/>
    <w:rsid w:val="42E87A95"/>
    <w:rsid w:val="43011432"/>
    <w:rsid w:val="43127A8C"/>
    <w:rsid w:val="431567DE"/>
    <w:rsid w:val="431B24E0"/>
    <w:rsid w:val="431F46B8"/>
    <w:rsid w:val="432129E2"/>
    <w:rsid w:val="432B0A09"/>
    <w:rsid w:val="43441DEB"/>
    <w:rsid w:val="4345375F"/>
    <w:rsid w:val="43476B9D"/>
    <w:rsid w:val="4349122C"/>
    <w:rsid w:val="434B6E74"/>
    <w:rsid w:val="4357300A"/>
    <w:rsid w:val="43621BFB"/>
    <w:rsid w:val="43654953"/>
    <w:rsid w:val="43675239"/>
    <w:rsid w:val="437300B3"/>
    <w:rsid w:val="43756941"/>
    <w:rsid w:val="437E6337"/>
    <w:rsid w:val="437F77BC"/>
    <w:rsid w:val="43801B7A"/>
    <w:rsid w:val="438028DB"/>
    <w:rsid w:val="43830C99"/>
    <w:rsid w:val="43933756"/>
    <w:rsid w:val="439C453E"/>
    <w:rsid w:val="43B53A2B"/>
    <w:rsid w:val="43B823A9"/>
    <w:rsid w:val="43BE6232"/>
    <w:rsid w:val="43D349E2"/>
    <w:rsid w:val="43D951C6"/>
    <w:rsid w:val="43D95633"/>
    <w:rsid w:val="43DA1716"/>
    <w:rsid w:val="44011F00"/>
    <w:rsid w:val="44057C4B"/>
    <w:rsid w:val="44062C0D"/>
    <w:rsid w:val="44174544"/>
    <w:rsid w:val="441C152A"/>
    <w:rsid w:val="44320154"/>
    <w:rsid w:val="44352E99"/>
    <w:rsid w:val="44385C50"/>
    <w:rsid w:val="443E0904"/>
    <w:rsid w:val="44415838"/>
    <w:rsid w:val="4449591C"/>
    <w:rsid w:val="444F6752"/>
    <w:rsid w:val="446F1124"/>
    <w:rsid w:val="44744AF3"/>
    <w:rsid w:val="447C700B"/>
    <w:rsid w:val="447F27A2"/>
    <w:rsid w:val="448B551F"/>
    <w:rsid w:val="448D2619"/>
    <w:rsid w:val="44982F38"/>
    <w:rsid w:val="44A76CF6"/>
    <w:rsid w:val="44AD1FCC"/>
    <w:rsid w:val="44BD0353"/>
    <w:rsid w:val="44C83D0E"/>
    <w:rsid w:val="44CD31E2"/>
    <w:rsid w:val="44DD62F3"/>
    <w:rsid w:val="44DE63A8"/>
    <w:rsid w:val="44DF60D4"/>
    <w:rsid w:val="44E04549"/>
    <w:rsid w:val="44F32FB8"/>
    <w:rsid w:val="44F85C75"/>
    <w:rsid w:val="450C32D1"/>
    <w:rsid w:val="45117BCB"/>
    <w:rsid w:val="452F78E8"/>
    <w:rsid w:val="45393FE2"/>
    <w:rsid w:val="453A3D5A"/>
    <w:rsid w:val="454B22CD"/>
    <w:rsid w:val="455E543A"/>
    <w:rsid w:val="456526DC"/>
    <w:rsid w:val="456B6252"/>
    <w:rsid w:val="45830823"/>
    <w:rsid w:val="45862A66"/>
    <w:rsid w:val="45912560"/>
    <w:rsid w:val="45923676"/>
    <w:rsid w:val="45AF08BA"/>
    <w:rsid w:val="45BA3A4B"/>
    <w:rsid w:val="45C168FC"/>
    <w:rsid w:val="45CA5863"/>
    <w:rsid w:val="45E42AD7"/>
    <w:rsid w:val="45E44565"/>
    <w:rsid w:val="45ED675F"/>
    <w:rsid w:val="45FB6FE8"/>
    <w:rsid w:val="45FE6567"/>
    <w:rsid w:val="46177320"/>
    <w:rsid w:val="461F1D4F"/>
    <w:rsid w:val="46226875"/>
    <w:rsid w:val="46317741"/>
    <w:rsid w:val="46383B0F"/>
    <w:rsid w:val="46450A93"/>
    <w:rsid w:val="464B7691"/>
    <w:rsid w:val="46510993"/>
    <w:rsid w:val="465E2B27"/>
    <w:rsid w:val="4660270E"/>
    <w:rsid w:val="46647097"/>
    <w:rsid w:val="4672717E"/>
    <w:rsid w:val="46792680"/>
    <w:rsid w:val="468A7785"/>
    <w:rsid w:val="468D510C"/>
    <w:rsid w:val="46935C55"/>
    <w:rsid w:val="46A80D82"/>
    <w:rsid w:val="46AD46D2"/>
    <w:rsid w:val="46B26810"/>
    <w:rsid w:val="46BB7BAE"/>
    <w:rsid w:val="46BF304B"/>
    <w:rsid w:val="46CB0396"/>
    <w:rsid w:val="46CB3B16"/>
    <w:rsid w:val="46DB2E7F"/>
    <w:rsid w:val="46E94533"/>
    <w:rsid w:val="46E97115"/>
    <w:rsid w:val="46EA34E6"/>
    <w:rsid w:val="46F506BE"/>
    <w:rsid w:val="46F575B9"/>
    <w:rsid w:val="46F909AA"/>
    <w:rsid w:val="46FF6008"/>
    <w:rsid w:val="470457E6"/>
    <w:rsid w:val="47185071"/>
    <w:rsid w:val="471861C1"/>
    <w:rsid w:val="472530E4"/>
    <w:rsid w:val="472936D2"/>
    <w:rsid w:val="472B40E0"/>
    <w:rsid w:val="47307DD7"/>
    <w:rsid w:val="47376D57"/>
    <w:rsid w:val="473C1E11"/>
    <w:rsid w:val="473E3FFB"/>
    <w:rsid w:val="473F409F"/>
    <w:rsid w:val="4741268A"/>
    <w:rsid w:val="474449A0"/>
    <w:rsid w:val="47496A9E"/>
    <w:rsid w:val="474C23A8"/>
    <w:rsid w:val="475029D2"/>
    <w:rsid w:val="475603F6"/>
    <w:rsid w:val="47571378"/>
    <w:rsid w:val="47656905"/>
    <w:rsid w:val="47722A18"/>
    <w:rsid w:val="47737A6D"/>
    <w:rsid w:val="47741D0C"/>
    <w:rsid w:val="477C493B"/>
    <w:rsid w:val="47841B24"/>
    <w:rsid w:val="478622F2"/>
    <w:rsid w:val="47876B9F"/>
    <w:rsid w:val="478A6996"/>
    <w:rsid w:val="479236A7"/>
    <w:rsid w:val="47953EA1"/>
    <w:rsid w:val="47985C20"/>
    <w:rsid w:val="479869DC"/>
    <w:rsid w:val="47A213C0"/>
    <w:rsid w:val="47B4036E"/>
    <w:rsid w:val="47B76453"/>
    <w:rsid w:val="47C2640D"/>
    <w:rsid w:val="47CA5946"/>
    <w:rsid w:val="47D6229D"/>
    <w:rsid w:val="47DC4284"/>
    <w:rsid w:val="47DF7B1C"/>
    <w:rsid w:val="47E8372E"/>
    <w:rsid w:val="47F21EF0"/>
    <w:rsid w:val="47F5197C"/>
    <w:rsid w:val="47F95DB7"/>
    <w:rsid w:val="481D120F"/>
    <w:rsid w:val="482105C0"/>
    <w:rsid w:val="48211E7E"/>
    <w:rsid w:val="482F2480"/>
    <w:rsid w:val="48342F88"/>
    <w:rsid w:val="483510C7"/>
    <w:rsid w:val="48477862"/>
    <w:rsid w:val="485C39F4"/>
    <w:rsid w:val="485F4BAA"/>
    <w:rsid w:val="4862142D"/>
    <w:rsid w:val="48626E30"/>
    <w:rsid w:val="48636ED0"/>
    <w:rsid w:val="48680479"/>
    <w:rsid w:val="487835F2"/>
    <w:rsid w:val="487C274E"/>
    <w:rsid w:val="48952A5D"/>
    <w:rsid w:val="489701E4"/>
    <w:rsid w:val="489C5552"/>
    <w:rsid w:val="489D3C05"/>
    <w:rsid w:val="48AB0568"/>
    <w:rsid w:val="48AF7082"/>
    <w:rsid w:val="48B00D40"/>
    <w:rsid w:val="48B23A8E"/>
    <w:rsid w:val="48C170BE"/>
    <w:rsid w:val="48CD0CC0"/>
    <w:rsid w:val="48D53C4F"/>
    <w:rsid w:val="48D949EA"/>
    <w:rsid w:val="48F73D54"/>
    <w:rsid w:val="49037C95"/>
    <w:rsid w:val="4905290C"/>
    <w:rsid w:val="49063785"/>
    <w:rsid w:val="490868B8"/>
    <w:rsid w:val="491C548A"/>
    <w:rsid w:val="491D1B81"/>
    <w:rsid w:val="492F531F"/>
    <w:rsid w:val="492F6636"/>
    <w:rsid w:val="492F7E36"/>
    <w:rsid w:val="49405D5E"/>
    <w:rsid w:val="494D2A33"/>
    <w:rsid w:val="49561E92"/>
    <w:rsid w:val="496109D3"/>
    <w:rsid w:val="49673563"/>
    <w:rsid w:val="496A1DB8"/>
    <w:rsid w:val="4971045B"/>
    <w:rsid w:val="4979031F"/>
    <w:rsid w:val="497976FA"/>
    <w:rsid w:val="4980571E"/>
    <w:rsid w:val="49833A3E"/>
    <w:rsid w:val="49896678"/>
    <w:rsid w:val="49AE68B8"/>
    <w:rsid w:val="49C60139"/>
    <w:rsid w:val="49C63B01"/>
    <w:rsid w:val="49E6704C"/>
    <w:rsid w:val="49EE6A1F"/>
    <w:rsid w:val="49EF23AD"/>
    <w:rsid w:val="49F14CC3"/>
    <w:rsid w:val="49FD6413"/>
    <w:rsid w:val="4A087357"/>
    <w:rsid w:val="4A0C39A3"/>
    <w:rsid w:val="4A1B1F00"/>
    <w:rsid w:val="4A2F5C12"/>
    <w:rsid w:val="4A3D4FF8"/>
    <w:rsid w:val="4A3F629B"/>
    <w:rsid w:val="4A416D23"/>
    <w:rsid w:val="4A4C7AB7"/>
    <w:rsid w:val="4A546A31"/>
    <w:rsid w:val="4A5C7628"/>
    <w:rsid w:val="4A691BA3"/>
    <w:rsid w:val="4A75264F"/>
    <w:rsid w:val="4A8622B6"/>
    <w:rsid w:val="4A8F0E29"/>
    <w:rsid w:val="4AA13962"/>
    <w:rsid w:val="4ACF2AC4"/>
    <w:rsid w:val="4ADB40EF"/>
    <w:rsid w:val="4ADD4949"/>
    <w:rsid w:val="4ADF497B"/>
    <w:rsid w:val="4AE86A3E"/>
    <w:rsid w:val="4AF331A0"/>
    <w:rsid w:val="4AF7270C"/>
    <w:rsid w:val="4AF81756"/>
    <w:rsid w:val="4AFB4707"/>
    <w:rsid w:val="4B037587"/>
    <w:rsid w:val="4B0C10BD"/>
    <w:rsid w:val="4B15132F"/>
    <w:rsid w:val="4B1D6F30"/>
    <w:rsid w:val="4B33627A"/>
    <w:rsid w:val="4B356505"/>
    <w:rsid w:val="4B3A331C"/>
    <w:rsid w:val="4B3D32A5"/>
    <w:rsid w:val="4B425199"/>
    <w:rsid w:val="4B4B4B82"/>
    <w:rsid w:val="4B503E7D"/>
    <w:rsid w:val="4B5526A6"/>
    <w:rsid w:val="4B6140D7"/>
    <w:rsid w:val="4B6A739A"/>
    <w:rsid w:val="4B6B2FC4"/>
    <w:rsid w:val="4B720A2E"/>
    <w:rsid w:val="4B816AF3"/>
    <w:rsid w:val="4B84080B"/>
    <w:rsid w:val="4B885FA4"/>
    <w:rsid w:val="4B983D0E"/>
    <w:rsid w:val="4BBA5C6F"/>
    <w:rsid w:val="4BC3761F"/>
    <w:rsid w:val="4BC84812"/>
    <w:rsid w:val="4BD5286C"/>
    <w:rsid w:val="4BE83C66"/>
    <w:rsid w:val="4BEE2702"/>
    <w:rsid w:val="4BF03667"/>
    <w:rsid w:val="4BF1539E"/>
    <w:rsid w:val="4C0D69A5"/>
    <w:rsid w:val="4C114E73"/>
    <w:rsid w:val="4C1D41C6"/>
    <w:rsid w:val="4C276414"/>
    <w:rsid w:val="4C30348B"/>
    <w:rsid w:val="4C457E06"/>
    <w:rsid w:val="4C486022"/>
    <w:rsid w:val="4C533964"/>
    <w:rsid w:val="4C561AA4"/>
    <w:rsid w:val="4C564748"/>
    <w:rsid w:val="4C5653EF"/>
    <w:rsid w:val="4C58759F"/>
    <w:rsid w:val="4C6E490F"/>
    <w:rsid w:val="4C6E57B5"/>
    <w:rsid w:val="4C7A3E0A"/>
    <w:rsid w:val="4C9130F6"/>
    <w:rsid w:val="4C992C68"/>
    <w:rsid w:val="4C9A24A5"/>
    <w:rsid w:val="4C9A5BA3"/>
    <w:rsid w:val="4CB30DFF"/>
    <w:rsid w:val="4CB4751A"/>
    <w:rsid w:val="4CC80B32"/>
    <w:rsid w:val="4CD36081"/>
    <w:rsid w:val="4CD715B6"/>
    <w:rsid w:val="4CE34671"/>
    <w:rsid w:val="4CFE58B7"/>
    <w:rsid w:val="4D0D5045"/>
    <w:rsid w:val="4D0F534D"/>
    <w:rsid w:val="4D241DA1"/>
    <w:rsid w:val="4D2874FB"/>
    <w:rsid w:val="4D3925A5"/>
    <w:rsid w:val="4D694853"/>
    <w:rsid w:val="4D6E3730"/>
    <w:rsid w:val="4D7D0B22"/>
    <w:rsid w:val="4D803811"/>
    <w:rsid w:val="4D964BDE"/>
    <w:rsid w:val="4DA22F6F"/>
    <w:rsid w:val="4DA366F2"/>
    <w:rsid w:val="4DA65D61"/>
    <w:rsid w:val="4DA74E33"/>
    <w:rsid w:val="4DA82C5E"/>
    <w:rsid w:val="4DA90ECF"/>
    <w:rsid w:val="4DAB7D28"/>
    <w:rsid w:val="4DB90D53"/>
    <w:rsid w:val="4DC43E1F"/>
    <w:rsid w:val="4DCA651D"/>
    <w:rsid w:val="4DD455C4"/>
    <w:rsid w:val="4DEE1BA4"/>
    <w:rsid w:val="4DF85277"/>
    <w:rsid w:val="4DFC5B74"/>
    <w:rsid w:val="4E00643A"/>
    <w:rsid w:val="4E1A5E9B"/>
    <w:rsid w:val="4E204F8C"/>
    <w:rsid w:val="4E206385"/>
    <w:rsid w:val="4E220315"/>
    <w:rsid w:val="4E2B750E"/>
    <w:rsid w:val="4E5057CD"/>
    <w:rsid w:val="4E525C89"/>
    <w:rsid w:val="4E5F70ED"/>
    <w:rsid w:val="4E6C7842"/>
    <w:rsid w:val="4E716DD6"/>
    <w:rsid w:val="4E7D41EF"/>
    <w:rsid w:val="4E8743CF"/>
    <w:rsid w:val="4E8A19A2"/>
    <w:rsid w:val="4EA73499"/>
    <w:rsid w:val="4EAF6660"/>
    <w:rsid w:val="4EB3274A"/>
    <w:rsid w:val="4EB33338"/>
    <w:rsid w:val="4EB42C0C"/>
    <w:rsid w:val="4EC112A5"/>
    <w:rsid w:val="4EC15329"/>
    <w:rsid w:val="4EC27DC2"/>
    <w:rsid w:val="4EC55A56"/>
    <w:rsid w:val="4ECD7A91"/>
    <w:rsid w:val="4EDD5872"/>
    <w:rsid w:val="4EE33A64"/>
    <w:rsid w:val="4EE520BF"/>
    <w:rsid w:val="4EEC2511"/>
    <w:rsid w:val="4EFE20DA"/>
    <w:rsid w:val="4F05494C"/>
    <w:rsid w:val="4F0D50A9"/>
    <w:rsid w:val="4F11126D"/>
    <w:rsid w:val="4F1A62E3"/>
    <w:rsid w:val="4F1E19C9"/>
    <w:rsid w:val="4F20737B"/>
    <w:rsid w:val="4F254CD6"/>
    <w:rsid w:val="4F2E6E63"/>
    <w:rsid w:val="4F311C64"/>
    <w:rsid w:val="4F460289"/>
    <w:rsid w:val="4F473CD7"/>
    <w:rsid w:val="4F474CB8"/>
    <w:rsid w:val="4F5D32F2"/>
    <w:rsid w:val="4F737BC5"/>
    <w:rsid w:val="4F8306AF"/>
    <w:rsid w:val="4F897829"/>
    <w:rsid w:val="4F970DE9"/>
    <w:rsid w:val="4F971FC4"/>
    <w:rsid w:val="4F985CD1"/>
    <w:rsid w:val="4FA5268C"/>
    <w:rsid w:val="4FAE3B00"/>
    <w:rsid w:val="4FC804D5"/>
    <w:rsid w:val="4FC96B8B"/>
    <w:rsid w:val="4FCC1A25"/>
    <w:rsid w:val="4FDD6723"/>
    <w:rsid w:val="4FDF78E9"/>
    <w:rsid w:val="4FF22676"/>
    <w:rsid w:val="4FFE1B06"/>
    <w:rsid w:val="50047F66"/>
    <w:rsid w:val="500A40D7"/>
    <w:rsid w:val="501A0C8E"/>
    <w:rsid w:val="501A122A"/>
    <w:rsid w:val="502138A5"/>
    <w:rsid w:val="505A67EB"/>
    <w:rsid w:val="50654940"/>
    <w:rsid w:val="50700DB5"/>
    <w:rsid w:val="50750658"/>
    <w:rsid w:val="50765757"/>
    <w:rsid w:val="507B60D8"/>
    <w:rsid w:val="50827466"/>
    <w:rsid w:val="508C15FC"/>
    <w:rsid w:val="508D1967"/>
    <w:rsid w:val="509C3829"/>
    <w:rsid w:val="509E5922"/>
    <w:rsid w:val="50B63FD8"/>
    <w:rsid w:val="50BB47E0"/>
    <w:rsid w:val="50BD18A9"/>
    <w:rsid w:val="50C46BEE"/>
    <w:rsid w:val="50D37CC2"/>
    <w:rsid w:val="50D94705"/>
    <w:rsid w:val="50DF2385"/>
    <w:rsid w:val="50E33CEC"/>
    <w:rsid w:val="50F24380"/>
    <w:rsid w:val="50FC73BD"/>
    <w:rsid w:val="5104794E"/>
    <w:rsid w:val="510F1A3E"/>
    <w:rsid w:val="511C56B7"/>
    <w:rsid w:val="511D153D"/>
    <w:rsid w:val="51205FD8"/>
    <w:rsid w:val="51363DAD"/>
    <w:rsid w:val="513C4376"/>
    <w:rsid w:val="51433D5D"/>
    <w:rsid w:val="51435D0C"/>
    <w:rsid w:val="51446169"/>
    <w:rsid w:val="514F6D7D"/>
    <w:rsid w:val="516B6A17"/>
    <w:rsid w:val="516E22FB"/>
    <w:rsid w:val="517765FC"/>
    <w:rsid w:val="518202C7"/>
    <w:rsid w:val="519A032B"/>
    <w:rsid w:val="519D4FB2"/>
    <w:rsid w:val="519E21FD"/>
    <w:rsid w:val="51AA50F9"/>
    <w:rsid w:val="51AF10C4"/>
    <w:rsid w:val="51B06B92"/>
    <w:rsid w:val="51B07591"/>
    <w:rsid w:val="51B43002"/>
    <w:rsid w:val="51B839E6"/>
    <w:rsid w:val="51BB1A11"/>
    <w:rsid w:val="51BD6C11"/>
    <w:rsid w:val="51CD2E5F"/>
    <w:rsid w:val="51D07D5D"/>
    <w:rsid w:val="51DA58AE"/>
    <w:rsid w:val="51DB5821"/>
    <w:rsid w:val="51DD376A"/>
    <w:rsid w:val="51E5449B"/>
    <w:rsid w:val="51E66508"/>
    <w:rsid w:val="51E847AF"/>
    <w:rsid w:val="51EA7907"/>
    <w:rsid w:val="52017EFE"/>
    <w:rsid w:val="521E5FFD"/>
    <w:rsid w:val="522D3F63"/>
    <w:rsid w:val="52353550"/>
    <w:rsid w:val="524450A3"/>
    <w:rsid w:val="52483D98"/>
    <w:rsid w:val="52510CC8"/>
    <w:rsid w:val="52583CBA"/>
    <w:rsid w:val="525E35BB"/>
    <w:rsid w:val="525F5585"/>
    <w:rsid w:val="52643FB3"/>
    <w:rsid w:val="526E0E00"/>
    <w:rsid w:val="5270414C"/>
    <w:rsid w:val="52952D55"/>
    <w:rsid w:val="52B224F0"/>
    <w:rsid w:val="52B41F04"/>
    <w:rsid w:val="52B6366E"/>
    <w:rsid w:val="52C660C9"/>
    <w:rsid w:val="52CF29D7"/>
    <w:rsid w:val="52D94139"/>
    <w:rsid w:val="52E3567F"/>
    <w:rsid w:val="52ED06D4"/>
    <w:rsid w:val="52F331C3"/>
    <w:rsid w:val="52F93FBF"/>
    <w:rsid w:val="52FC44AD"/>
    <w:rsid w:val="53001BB3"/>
    <w:rsid w:val="53024A4D"/>
    <w:rsid w:val="530265E4"/>
    <w:rsid w:val="530A0C1B"/>
    <w:rsid w:val="53143779"/>
    <w:rsid w:val="531B3817"/>
    <w:rsid w:val="53264D65"/>
    <w:rsid w:val="532931AC"/>
    <w:rsid w:val="532F0995"/>
    <w:rsid w:val="53431E6B"/>
    <w:rsid w:val="534555A6"/>
    <w:rsid w:val="53501B3A"/>
    <w:rsid w:val="5367646B"/>
    <w:rsid w:val="537514ED"/>
    <w:rsid w:val="53815461"/>
    <w:rsid w:val="53987838"/>
    <w:rsid w:val="539D45B7"/>
    <w:rsid w:val="539E2F53"/>
    <w:rsid w:val="53AB168D"/>
    <w:rsid w:val="53AD1FC2"/>
    <w:rsid w:val="53B07B30"/>
    <w:rsid w:val="53CD3590"/>
    <w:rsid w:val="53D23837"/>
    <w:rsid w:val="53D32C63"/>
    <w:rsid w:val="53DE6F83"/>
    <w:rsid w:val="53E17EA9"/>
    <w:rsid w:val="53EF3446"/>
    <w:rsid w:val="53F01264"/>
    <w:rsid w:val="53F82DF0"/>
    <w:rsid w:val="53FC0EC4"/>
    <w:rsid w:val="5400395F"/>
    <w:rsid w:val="54062707"/>
    <w:rsid w:val="540E194F"/>
    <w:rsid w:val="541233D7"/>
    <w:rsid w:val="5414737F"/>
    <w:rsid w:val="541C389D"/>
    <w:rsid w:val="541F29DD"/>
    <w:rsid w:val="5422041B"/>
    <w:rsid w:val="54334FCD"/>
    <w:rsid w:val="5448592B"/>
    <w:rsid w:val="544B7B6F"/>
    <w:rsid w:val="544C7BFD"/>
    <w:rsid w:val="545029C2"/>
    <w:rsid w:val="5450301F"/>
    <w:rsid w:val="5450471C"/>
    <w:rsid w:val="545F471D"/>
    <w:rsid w:val="54644D9B"/>
    <w:rsid w:val="54692F42"/>
    <w:rsid w:val="546A3A38"/>
    <w:rsid w:val="546E3ADE"/>
    <w:rsid w:val="54736A86"/>
    <w:rsid w:val="547651B8"/>
    <w:rsid w:val="54780EBC"/>
    <w:rsid w:val="547F33FC"/>
    <w:rsid w:val="548379B4"/>
    <w:rsid w:val="54A72293"/>
    <w:rsid w:val="54A91A03"/>
    <w:rsid w:val="54C2646B"/>
    <w:rsid w:val="54C72B03"/>
    <w:rsid w:val="54CC69D9"/>
    <w:rsid w:val="54CC7FC3"/>
    <w:rsid w:val="54CD0339"/>
    <w:rsid w:val="54D65F23"/>
    <w:rsid w:val="54E94703"/>
    <w:rsid w:val="54EA17CF"/>
    <w:rsid w:val="54EF0AAE"/>
    <w:rsid w:val="54F647EB"/>
    <w:rsid w:val="54F77F3B"/>
    <w:rsid w:val="54F9507D"/>
    <w:rsid w:val="5503044A"/>
    <w:rsid w:val="550541C2"/>
    <w:rsid w:val="55090AE5"/>
    <w:rsid w:val="5518442B"/>
    <w:rsid w:val="5522648E"/>
    <w:rsid w:val="55257673"/>
    <w:rsid w:val="552611B1"/>
    <w:rsid w:val="55316CD7"/>
    <w:rsid w:val="553271D3"/>
    <w:rsid w:val="5536081F"/>
    <w:rsid w:val="5537062A"/>
    <w:rsid w:val="55425E7B"/>
    <w:rsid w:val="55434CEA"/>
    <w:rsid w:val="554B700A"/>
    <w:rsid w:val="554F2666"/>
    <w:rsid w:val="55564A1D"/>
    <w:rsid w:val="556C60B3"/>
    <w:rsid w:val="55754E2B"/>
    <w:rsid w:val="55945D37"/>
    <w:rsid w:val="55AA0F8C"/>
    <w:rsid w:val="55B77BA9"/>
    <w:rsid w:val="55C87E5B"/>
    <w:rsid w:val="55CD5E8D"/>
    <w:rsid w:val="55DB4561"/>
    <w:rsid w:val="55DC0F43"/>
    <w:rsid w:val="55EB1F25"/>
    <w:rsid w:val="55EE0C26"/>
    <w:rsid w:val="56177866"/>
    <w:rsid w:val="561A04E3"/>
    <w:rsid w:val="562F774B"/>
    <w:rsid w:val="563E5AB2"/>
    <w:rsid w:val="563F540E"/>
    <w:rsid w:val="564414E3"/>
    <w:rsid w:val="564C522B"/>
    <w:rsid w:val="56551179"/>
    <w:rsid w:val="566118CC"/>
    <w:rsid w:val="567B7BFD"/>
    <w:rsid w:val="568850AA"/>
    <w:rsid w:val="56974290"/>
    <w:rsid w:val="56986987"/>
    <w:rsid w:val="56A501F8"/>
    <w:rsid w:val="56B67C5D"/>
    <w:rsid w:val="56C055FC"/>
    <w:rsid w:val="56CC638C"/>
    <w:rsid w:val="56D3410E"/>
    <w:rsid w:val="56D51BC3"/>
    <w:rsid w:val="56DB67A7"/>
    <w:rsid w:val="56E556D3"/>
    <w:rsid w:val="56EB73E7"/>
    <w:rsid w:val="56EF34E3"/>
    <w:rsid w:val="56F33E8F"/>
    <w:rsid w:val="56FB37AA"/>
    <w:rsid w:val="56FC6F89"/>
    <w:rsid w:val="570D273C"/>
    <w:rsid w:val="571E1E61"/>
    <w:rsid w:val="57302766"/>
    <w:rsid w:val="573437EC"/>
    <w:rsid w:val="573518D3"/>
    <w:rsid w:val="57501DED"/>
    <w:rsid w:val="575A1028"/>
    <w:rsid w:val="57634140"/>
    <w:rsid w:val="576524BB"/>
    <w:rsid w:val="576D6D93"/>
    <w:rsid w:val="577E6A3F"/>
    <w:rsid w:val="577F5FA9"/>
    <w:rsid w:val="577F68C1"/>
    <w:rsid w:val="57812F5F"/>
    <w:rsid w:val="57931F59"/>
    <w:rsid w:val="57A1557A"/>
    <w:rsid w:val="57C24C91"/>
    <w:rsid w:val="57CF2668"/>
    <w:rsid w:val="57D20CF9"/>
    <w:rsid w:val="57E70737"/>
    <w:rsid w:val="57EA2A94"/>
    <w:rsid w:val="57EC1669"/>
    <w:rsid w:val="57EE6662"/>
    <w:rsid w:val="57FC57BD"/>
    <w:rsid w:val="57FF6155"/>
    <w:rsid w:val="580140A6"/>
    <w:rsid w:val="580B6E3C"/>
    <w:rsid w:val="580C1C8E"/>
    <w:rsid w:val="580D7D81"/>
    <w:rsid w:val="58120B37"/>
    <w:rsid w:val="58131D55"/>
    <w:rsid w:val="581E62DD"/>
    <w:rsid w:val="58291B84"/>
    <w:rsid w:val="58342026"/>
    <w:rsid w:val="585673E9"/>
    <w:rsid w:val="585A65D3"/>
    <w:rsid w:val="58623049"/>
    <w:rsid w:val="586A54CE"/>
    <w:rsid w:val="586C3CC6"/>
    <w:rsid w:val="58783CFA"/>
    <w:rsid w:val="587B52C1"/>
    <w:rsid w:val="588D4442"/>
    <w:rsid w:val="58951088"/>
    <w:rsid w:val="58990FC0"/>
    <w:rsid w:val="58A14C54"/>
    <w:rsid w:val="58A64233"/>
    <w:rsid w:val="58AF4435"/>
    <w:rsid w:val="58BA52C3"/>
    <w:rsid w:val="58BB3DC0"/>
    <w:rsid w:val="58C07FBB"/>
    <w:rsid w:val="58CC1EB8"/>
    <w:rsid w:val="58D95B4A"/>
    <w:rsid w:val="58DD409B"/>
    <w:rsid w:val="58E236F3"/>
    <w:rsid w:val="58E6255C"/>
    <w:rsid w:val="58F015D0"/>
    <w:rsid w:val="5906339C"/>
    <w:rsid w:val="59131292"/>
    <w:rsid w:val="59232A72"/>
    <w:rsid w:val="5925316F"/>
    <w:rsid w:val="5942577F"/>
    <w:rsid w:val="59511F8F"/>
    <w:rsid w:val="59580B22"/>
    <w:rsid w:val="596A0C5D"/>
    <w:rsid w:val="5988042A"/>
    <w:rsid w:val="599041ED"/>
    <w:rsid w:val="59912541"/>
    <w:rsid w:val="59924FF5"/>
    <w:rsid w:val="599817E8"/>
    <w:rsid w:val="59B56492"/>
    <w:rsid w:val="59C35ACF"/>
    <w:rsid w:val="59C53B23"/>
    <w:rsid w:val="59D65B05"/>
    <w:rsid w:val="5A02182B"/>
    <w:rsid w:val="5A0D509A"/>
    <w:rsid w:val="5A0F7891"/>
    <w:rsid w:val="5A1B6236"/>
    <w:rsid w:val="5A2400DF"/>
    <w:rsid w:val="5A285981"/>
    <w:rsid w:val="5A347F30"/>
    <w:rsid w:val="5A38069B"/>
    <w:rsid w:val="5A552EDD"/>
    <w:rsid w:val="5A587D48"/>
    <w:rsid w:val="5A64740A"/>
    <w:rsid w:val="5A664CCE"/>
    <w:rsid w:val="5A746011"/>
    <w:rsid w:val="5A764626"/>
    <w:rsid w:val="5A8A5E83"/>
    <w:rsid w:val="5A8E6A07"/>
    <w:rsid w:val="5AA20ED6"/>
    <w:rsid w:val="5AA423B5"/>
    <w:rsid w:val="5AA708CA"/>
    <w:rsid w:val="5AA775FF"/>
    <w:rsid w:val="5AAC551A"/>
    <w:rsid w:val="5AB37F0E"/>
    <w:rsid w:val="5AC02939"/>
    <w:rsid w:val="5ADA3FE6"/>
    <w:rsid w:val="5AED2B97"/>
    <w:rsid w:val="5AF17F45"/>
    <w:rsid w:val="5AF26392"/>
    <w:rsid w:val="5AF37DCE"/>
    <w:rsid w:val="5AFD5309"/>
    <w:rsid w:val="5B102138"/>
    <w:rsid w:val="5B21787C"/>
    <w:rsid w:val="5B2327FE"/>
    <w:rsid w:val="5B2A28AF"/>
    <w:rsid w:val="5B2D4026"/>
    <w:rsid w:val="5B3B4BE1"/>
    <w:rsid w:val="5B4672E2"/>
    <w:rsid w:val="5B4B20B5"/>
    <w:rsid w:val="5B4F263B"/>
    <w:rsid w:val="5B5C08B4"/>
    <w:rsid w:val="5B5E6F93"/>
    <w:rsid w:val="5B6160B4"/>
    <w:rsid w:val="5B661732"/>
    <w:rsid w:val="5B691244"/>
    <w:rsid w:val="5B7A672F"/>
    <w:rsid w:val="5B7C1860"/>
    <w:rsid w:val="5B7F50BF"/>
    <w:rsid w:val="5B867F38"/>
    <w:rsid w:val="5B9207A8"/>
    <w:rsid w:val="5B9F7DAC"/>
    <w:rsid w:val="5BAC3A38"/>
    <w:rsid w:val="5BB77E50"/>
    <w:rsid w:val="5BBB37E1"/>
    <w:rsid w:val="5BBB3896"/>
    <w:rsid w:val="5BD40D92"/>
    <w:rsid w:val="5BF22D70"/>
    <w:rsid w:val="5BF55195"/>
    <w:rsid w:val="5C0553DC"/>
    <w:rsid w:val="5C07081F"/>
    <w:rsid w:val="5C0C052C"/>
    <w:rsid w:val="5C0C53F2"/>
    <w:rsid w:val="5C111495"/>
    <w:rsid w:val="5C165947"/>
    <w:rsid w:val="5C1739FF"/>
    <w:rsid w:val="5C182B40"/>
    <w:rsid w:val="5C1949F7"/>
    <w:rsid w:val="5C3405B2"/>
    <w:rsid w:val="5C4863C1"/>
    <w:rsid w:val="5C61437B"/>
    <w:rsid w:val="5C6C3BD8"/>
    <w:rsid w:val="5C797243"/>
    <w:rsid w:val="5C7A6CC5"/>
    <w:rsid w:val="5C8C06C1"/>
    <w:rsid w:val="5C992D62"/>
    <w:rsid w:val="5C9D1184"/>
    <w:rsid w:val="5CB02287"/>
    <w:rsid w:val="5CB4328D"/>
    <w:rsid w:val="5CC24B59"/>
    <w:rsid w:val="5CCC5196"/>
    <w:rsid w:val="5CDF5473"/>
    <w:rsid w:val="5CEE5E83"/>
    <w:rsid w:val="5CEF6584"/>
    <w:rsid w:val="5CF71428"/>
    <w:rsid w:val="5D1773C9"/>
    <w:rsid w:val="5D1A6C78"/>
    <w:rsid w:val="5D254024"/>
    <w:rsid w:val="5D292A17"/>
    <w:rsid w:val="5D34149D"/>
    <w:rsid w:val="5D3B5726"/>
    <w:rsid w:val="5D4601B1"/>
    <w:rsid w:val="5D494DBC"/>
    <w:rsid w:val="5D55588E"/>
    <w:rsid w:val="5D5A0839"/>
    <w:rsid w:val="5D67174C"/>
    <w:rsid w:val="5D703A41"/>
    <w:rsid w:val="5D7A5CAC"/>
    <w:rsid w:val="5D7B0085"/>
    <w:rsid w:val="5D7B50D7"/>
    <w:rsid w:val="5D811B5C"/>
    <w:rsid w:val="5D9A6BB5"/>
    <w:rsid w:val="5DAB27C9"/>
    <w:rsid w:val="5DAF7B60"/>
    <w:rsid w:val="5DB46EC8"/>
    <w:rsid w:val="5DC15346"/>
    <w:rsid w:val="5DC22429"/>
    <w:rsid w:val="5DCB6A18"/>
    <w:rsid w:val="5DD371C8"/>
    <w:rsid w:val="5DDB0AAD"/>
    <w:rsid w:val="5DF84E51"/>
    <w:rsid w:val="5E156A90"/>
    <w:rsid w:val="5E211BF7"/>
    <w:rsid w:val="5E294CFC"/>
    <w:rsid w:val="5E3564A3"/>
    <w:rsid w:val="5E39617D"/>
    <w:rsid w:val="5E400076"/>
    <w:rsid w:val="5E4775F9"/>
    <w:rsid w:val="5E5A73BB"/>
    <w:rsid w:val="5E6572A9"/>
    <w:rsid w:val="5E6F4588"/>
    <w:rsid w:val="5E766ABA"/>
    <w:rsid w:val="5E790CA0"/>
    <w:rsid w:val="5E7945FC"/>
    <w:rsid w:val="5E930082"/>
    <w:rsid w:val="5E93121F"/>
    <w:rsid w:val="5EB351E3"/>
    <w:rsid w:val="5EB6009E"/>
    <w:rsid w:val="5EC43375"/>
    <w:rsid w:val="5ECB5E0F"/>
    <w:rsid w:val="5ED32946"/>
    <w:rsid w:val="5EDD61AF"/>
    <w:rsid w:val="5EE278D0"/>
    <w:rsid w:val="5EE622DA"/>
    <w:rsid w:val="5F070F10"/>
    <w:rsid w:val="5F0E22EC"/>
    <w:rsid w:val="5F4C162A"/>
    <w:rsid w:val="5F4F10AF"/>
    <w:rsid w:val="5F577D10"/>
    <w:rsid w:val="5F5C4825"/>
    <w:rsid w:val="5F701D7B"/>
    <w:rsid w:val="5F727FC6"/>
    <w:rsid w:val="5F8874C5"/>
    <w:rsid w:val="5FA562EE"/>
    <w:rsid w:val="5FA63364"/>
    <w:rsid w:val="5FB67C3B"/>
    <w:rsid w:val="5FBA715C"/>
    <w:rsid w:val="5FBE789B"/>
    <w:rsid w:val="5FC469D3"/>
    <w:rsid w:val="5FD862BD"/>
    <w:rsid w:val="5FDD0F28"/>
    <w:rsid w:val="5FDE4C57"/>
    <w:rsid w:val="5FE570CA"/>
    <w:rsid w:val="5FF92B75"/>
    <w:rsid w:val="5FFD3C4A"/>
    <w:rsid w:val="60085D90"/>
    <w:rsid w:val="60265BCA"/>
    <w:rsid w:val="603A2B07"/>
    <w:rsid w:val="6040415C"/>
    <w:rsid w:val="6054527B"/>
    <w:rsid w:val="60613951"/>
    <w:rsid w:val="607F45F5"/>
    <w:rsid w:val="607F6BA2"/>
    <w:rsid w:val="608E4E60"/>
    <w:rsid w:val="609A3A92"/>
    <w:rsid w:val="60A35595"/>
    <w:rsid w:val="60A652C9"/>
    <w:rsid w:val="60A77018"/>
    <w:rsid w:val="60A81050"/>
    <w:rsid w:val="60A94626"/>
    <w:rsid w:val="60B3575F"/>
    <w:rsid w:val="60BE3971"/>
    <w:rsid w:val="60C36BAA"/>
    <w:rsid w:val="60DA02C2"/>
    <w:rsid w:val="60E471F1"/>
    <w:rsid w:val="60E850DB"/>
    <w:rsid w:val="60F600EF"/>
    <w:rsid w:val="60F864F0"/>
    <w:rsid w:val="610244AA"/>
    <w:rsid w:val="61093E19"/>
    <w:rsid w:val="611304E9"/>
    <w:rsid w:val="61186287"/>
    <w:rsid w:val="61296823"/>
    <w:rsid w:val="613045F7"/>
    <w:rsid w:val="613C19CF"/>
    <w:rsid w:val="6145645F"/>
    <w:rsid w:val="614B50C1"/>
    <w:rsid w:val="61517443"/>
    <w:rsid w:val="61593AF6"/>
    <w:rsid w:val="615A3AE7"/>
    <w:rsid w:val="615E036B"/>
    <w:rsid w:val="6161797C"/>
    <w:rsid w:val="616D653E"/>
    <w:rsid w:val="61705093"/>
    <w:rsid w:val="61791AAE"/>
    <w:rsid w:val="618A6F44"/>
    <w:rsid w:val="618F5E5F"/>
    <w:rsid w:val="61AD00BB"/>
    <w:rsid w:val="61B00A1E"/>
    <w:rsid w:val="61C44FB6"/>
    <w:rsid w:val="61CA606C"/>
    <w:rsid w:val="61D12494"/>
    <w:rsid w:val="61D3123E"/>
    <w:rsid w:val="61D4596C"/>
    <w:rsid w:val="61DE243F"/>
    <w:rsid w:val="61ED2A14"/>
    <w:rsid w:val="62006316"/>
    <w:rsid w:val="621A51B1"/>
    <w:rsid w:val="621B7911"/>
    <w:rsid w:val="62244482"/>
    <w:rsid w:val="622446F8"/>
    <w:rsid w:val="622C2A0D"/>
    <w:rsid w:val="62364403"/>
    <w:rsid w:val="62387CD2"/>
    <w:rsid w:val="623E51B7"/>
    <w:rsid w:val="62436960"/>
    <w:rsid w:val="62521D8C"/>
    <w:rsid w:val="625C6B16"/>
    <w:rsid w:val="625F53CD"/>
    <w:rsid w:val="62604FDE"/>
    <w:rsid w:val="62642997"/>
    <w:rsid w:val="62686E91"/>
    <w:rsid w:val="626A7D5A"/>
    <w:rsid w:val="627B5880"/>
    <w:rsid w:val="62856942"/>
    <w:rsid w:val="6294124F"/>
    <w:rsid w:val="629C00D6"/>
    <w:rsid w:val="629C583C"/>
    <w:rsid w:val="629D1EDE"/>
    <w:rsid w:val="629F5000"/>
    <w:rsid w:val="62C54F90"/>
    <w:rsid w:val="62C751AC"/>
    <w:rsid w:val="62CA2E80"/>
    <w:rsid w:val="62CB57FE"/>
    <w:rsid w:val="62D17676"/>
    <w:rsid w:val="62D32BA1"/>
    <w:rsid w:val="62DE7627"/>
    <w:rsid w:val="62E37288"/>
    <w:rsid w:val="62EE6B0C"/>
    <w:rsid w:val="62F835B8"/>
    <w:rsid w:val="63027145"/>
    <w:rsid w:val="63075750"/>
    <w:rsid w:val="630E1549"/>
    <w:rsid w:val="631040EF"/>
    <w:rsid w:val="63147EC5"/>
    <w:rsid w:val="63162979"/>
    <w:rsid w:val="631D7C98"/>
    <w:rsid w:val="63352116"/>
    <w:rsid w:val="633571CC"/>
    <w:rsid w:val="633B709F"/>
    <w:rsid w:val="634265E1"/>
    <w:rsid w:val="6348512C"/>
    <w:rsid w:val="634D0FFB"/>
    <w:rsid w:val="634D4E50"/>
    <w:rsid w:val="635A4FE5"/>
    <w:rsid w:val="635C7A8A"/>
    <w:rsid w:val="63607B63"/>
    <w:rsid w:val="636451F8"/>
    <w:rsid w:val="636655E8"/>
    <w:rsid w:val="637F7835"/>
    <w:rsid w:val="63864396"/>
    <w:rsid w:val="63AC40B1"/>
    <w:rsid w:val="63AC7B01"/>
    <w:rsid w:val="63B069B7"/>
    <w:rsid w:val="63B96A14"/>
    <w:rsid w:val="63C85E2C"/>
    <w:rsid w:val="63D92960"/>
    <w:rsid w:val="63E1229E"/>
    <w:rsid w:val="63E35F3A"/>
    <w:rsid w:val="63EC4F0E"/>
    <w:rsid w:val="63F0276B"/>
    <w:rsid w:val="63F43CF5"/>
    <w:rsid w:val="63FF4C2E"/>
    <w:rsid w:val="640A7A27"/>
    <w:rsid w:val="64104E63"/>
    <w:rsid w:val="6416019A"/>
    <w:rsid w:val="6419743D"/>
    <w:rsid w:val="641C32D6"/>
    <w:rsid w:val="641F310C"/>
    <w:rsid w:val="642B52C7"/>
    <w:rsid w:val="642D197F"/>
    <w:rsid w:val="64351649"/>
    <w:rsid w:val="643979E4"/>
    <w:rsid w:val="64412D3D"/>
    <w:rsid w:val="64505561"/>
    <w:rsid w:val="6451172E"/>
    <w:rsid w:val="645B218B"/>
    <w:rsid w:val="64615543"/>
    <w:rsid w:val="646949A2"/>
    <w:rsid w:val="646A5923"/>
    <w:rsid w:val="64752152"/>
    <w:rsid w:val="64802D6E"/>
    <w:rsid w:val="6481537F"/>
    <w:rsid w:val="64A37A75"/>
    <w:rsid w:val="64B7696A"/>
    <w:rsid w:val="64BF2823"/>
    <w:rsid w:val="64D30230"/>
    <w:rsid w:val="64D81ED5"/>
    <w:rsid w:val="64D85ADD"/>
    <w:rsid w:val="64E45A26"/>
    <w:rsid w:val="64EA6F30"/>
    <w:rsid w:val="64F25DE5"/>
    <w:rsid w:val="64FA0716"/>
    <w:rsid w:val="65097286"/>
    <w:rsid w:val="650B4776"/>
    <w:rsid w:val="651151DE"/>
    <w:rsid w:val="65182A1E"/>
    <w:rsid w:val="65194470"/>
    <w:rsid w:val="652900ED"/>
    <w:rsid w:val="65341AB7"/>
    <w:rsid w:val="65365BD7"/>
    <w:rsid w:val="653D34A1"/>
    <w:rsid w:val="654C0A01"/>
    <w:rsid w:val="654C400E"/>
    <w:rsid w:val="655C6B59"/>
    <w:rsid w:val="65686596"/>
    <w:rsid w:val="65931D3A"/>
    <w:rsid w:val="659822DD"/>
    <w:rsid w:val="65A3380C"/>
    <w:rsid w:val="65AB2B63"/>
    <w:rsid w:val="65AF3DC5"/>
    <w:rsid w:val="65B44DD6"/>
    <w:rsid w:val="65D21F83"/>
    <w:rsid w:val="65D60201"/>
    <w:rsid w:val="65D95B4E"/>
    <w:rsid w:val="65DF280D"/>
    <w:rsid w:val="65E174B2"/>
    <w:rsid w:val="65F01AB4"/>
    <w:rsid w:val="65FB765F"/>
    <w:rsid w:val="65FE7F42"/>
    <w:rsid w:val="66007C45"/>
    <w:rsid w:val="660B3DE6"/>
    <w:rsid w:val="66100967"/>
    <w:rsid w:val="6622278A"/>
    <w:rsid w:val="662720D2"/>
    <w:rsid w:val="663219D1"/>
    <w:rsid w:val="66376FAC"/>
    <w:rsid w:val="663A5586"/>
    <w:rsid w:val="664663E8"/>
    <w:rsid w:val="665304C5"/>
    <w:rsid w:val="6653533F"/>
    <w:rsid w:val="665B5E5F"/>
    <w:rsid w:val="6660552E"/>
    <w:rsid w:val="66634050"/>
    <w:rsid w:val="66646397"/>
    <w:rsid w:val="666D301C"/>
    <w:rsid w:val="669C06FE"/>
    <w:rsid w:val="669D0FFF"/>
    <w:rsid w:val="66A37B86"/>
    <w:rsid w:val="66B131AA"/>
    <w:rsid w:val="66B23631"/>
    <w:rsid w:val="66B87247"/>
    <w:rsid w:val="66C1139D"/>
    <w:rsid w:val="66D00173"/>
    <w:rsid w:val="66D12486"/>
    <w:rsid w:val="66D4710B"/>
    <w:rsid w:val="66D87459"/>
    <w:rsid w:val="66DC5B3F"/>
    <w:rsid w:val="66E03F2D"/>
    <w:rsid w:val="66EB4340"/>
    <w:rsid w:val="66F81E55"/>
    <w:rsid w:val="67071D58"/>
    <w:rsid w:val="67105321"/>
    <w:rsid w:val="67286393"/>
    <w:rsid w:val="67366086"/>
    <w:rsid w:val="67381AD5"/>
    <w:rsid w:val="675E2286"/>
    <w:rsid w:val="676E7F3D"/>
    <w:rsid w:val="67703034"/>
    <w:rsid w:val="67704FAD"/>
    <w:rsid w:val="67705E13"/>
    <w:rsid w:val="67740045"/>
    <w:rsid w:val="677436BA"/>
    <w:rsid w:val="677E4332"/>
    <w:rsid w:val="67836156"/>
    <w:rsid w:val="67A27CC2"/>
    <w:rsid w:val="67A60B9C"/>
    <w:rsid w:val="67AD0F3F"/>
    <w:rsid w:val="67B30841"/>
    <w:rsid w:val="67C02813"/>
    <w:rsid w:val="67C5120B"/>
    <w:rsid w:val="67D440E3"/>
    <w:rsid w:val="67D514C6"/>
    <w:rsid w:val="67DF6EC0"/>
    <w:rsid w:val="67EA233A"/>
    <w:rsid w:val="67EF30B3"/>
    <w:rsid w:val="68061993"/>
    <w:rsid w:val="680D0939"/>
    <w:rsid w:val="68237FD2"/>
    <w:rsid w:val="68252054"/>
    <w:rsid w:val="68331294"/>
    <w:rsid w:val="68394CF3"/>
    <w:rsid w:val="684224C0"/>
    <w:rsid w:val="684557CE"/>
    <w:rsid w:val="68466D27"/>
    <w:rsid w:val="685F3791"/>
    <w:rsid w:val="685F5D48"/>
    <w:rsid w:val="686A00C3"/>
    <w:rsid w:val="686C698D"/>
    <w:rsid w:val="686D127F"/>
    <w:rsid w:val="687067F6"/>
    <w:rsid w:val="68741E62"/>
    <w:rsid w:val="6874371C"/>
    <w:rsid w:val="68747A3A"/>
    <w:rsid w:val="68802A41"/>
    <w:rsid w:val="6885133E"/>
    <w:rsid w:val="689078F6"/>
    <w:rsid w:val="689304A0"/>
    <w:rsid w:val="68A5389A"/>
    <w:rsid w:val="68B65617"/>
    <w:rsid w:val="68B729D2"/>
    <w:rsid w:val="68B93D81"/>
    <w:rsid w:val="68BC7885"/>
    <w:rsid w:val="68D1337E"/>
    <w:rsid w:val="68D20407"/>
    <w:rsid w:val="68E3352F"/>
    <w:rsid w:val="68E65278"/>
    <w:rsid w:val="68EC04DE"/>
    <w:rsid w:val="68F20AA9"/>
    <w:rsid w:val="68FC7FC0"/>
    <w:rsid w:val="69022832"/>
    <w:rsid w:val="69093CAF"/>
    <w:rsid w:val="69097784"/>
    <w:rsid w:val="690B7520"/>
    <w:rsid w:val="691200AE"/>
    <w:rsid w:val="69152147"/>
    <w:rsid w:val="69285AA8"/>
    <w:rsid w:val="6931256A"/>
    <w:rsid w:val="69317031"/>
    <w:rsid w:val="69647D29"/>
    <w:rsid w:val="697E74B0"/>
    <w:rsid w:val="6992357A"/>
    <w:rsid w:val="69AB1271"/>
    <w:rsid w:val="69AF21EC"/>
    <w:rsid w:val="69B875FD"/>
    <w:rsid w:val="69B96038"/>
    <w:rsid w:val="69C76718"/>
    <w:rsid w:val="69C81164"/>
    <w:rsid w:val="69CF00C0"/>
    <w:rsid w:val="69D32689"/>
    <w:rsid w:val="69D85016"/>
    <w:rsid w:val="69DA61FE"/>
    <w:rsid w:val="69DC02CC"/>
    <w:rsid w:val="69E67C99"/>
    <w:rsid w:val="69FD5302"/>
    <w:rsid w:val="6A0456C2"/>
    <w:rsid w:val="6A0A518E"/>
    <w:rsid w:val="6A0B1654"/>
    <w:rsid w:val="6A220495"/>
    <w:rsid w:val="6A2C3B47"/>
    <w:rsid w:val="6A305C56"/>
    <w:rsid w:val="6A33464E"/>
    <w:rsid w:val="6A441179"/>
    <w:rsid w:val="6A497118"/>
    <w:rsid w:val="6A5318E5"/>
    <w:rsid w:val="6A6D40BC"/>
    <w:rsid w:val="6A6D5380"/>
    <w:rsid w:val="6A817C93"/>
    <w:rsid w:val="6A83685F"/>
    <w:rsid w:val="6A871F0C"/>
    <w:rsid w:val="6A897C0D"/>
    <w:rsid w:val="6A8D10DF"/>
    <w:rsid w:val="6A90546D"/>
    <w:rsid w:val="6AA320BF"/>
    <w:rsid w:val="6AB5211E"/>
    <w:rsid w:val="6ABF0E6A"/>
    <w:rsid w:val="6ACD0E86"/>
    <w:rsid w:val="6AD97F5A"/>
    <w:rsid w:val="6ADE12E5"/>
    <w:rsid w:val="6AF42FD3"/>
    <w:rsid w:val="6B05038A"/>
    <w:rsid w:val="6B176BC8"/>
    <w:rsid w:val="6B2B66DF"/>
    <w:rsid w:val="6B6D4417"/>
    <w:rsid w:val="6B716202"/>
    <w:rsid w:val="6B776695"/>
    <w:rsid w:val="6B782F1E"/>
    <w:rsid w:val="6B7925B5"/>
    <w:rsid w:val="6B8829BB"/>
    <w:rsid w:val="6B8A0EE1"/>
    <w:rsid w:val="6B8B51C2"/>
    <w:rsid w:val="6B9A59AF"/>
    <w:rsid w:val="6BA076F0"/>
    <w:rsid w:val="6BA716CC"/>
    <w:rsid w:val="6BAF7BD0"/>
    <w:rsid w:val="6BC3763E"/>
    <w:rsid w:val="6BC568DE"/>
    <w:rsid w:val="6BC8789F"/>
    <w:rsid w:val="6BCA00F3"/>
    <w:rsid w:val="6BD44428"/>
    <w:rsid w:val="6BDA756C"/>
    <w:rsid w:val="6BDC755C"/>
    <w:rsid w:val="6BDD4FB6"/>
    <w:rsid w:val="6BEB340B"/>
    <w:rsid w:val="6BF47F19"/>
    <w:rsid w:val="6BF510A4"/>
    <w:rsid w:val="6BFE0F82"/>
    <w:rsid w:val="6BFF36AF"/>
    <w:rsid w:val="6C0343D2"/>
    <w:rsid w:val="6C144674"/>
    <w:rsid w:val="6C161086"/>
    <w:rsid w:val="6C2E38EE"/>
    <w:rsid w:val="6C3811AE"/>
    <w:rsid w:val="6C45693C"/>
    <w:rsid w:val="6C4873D4"/>
    <w:rsid w:val="6C4E4249"/>
    <w:rsid w:val="6C5164C2"/>
    <w:rsid w:val="6C576A17"/>
    <w:rsid w:val="6C5C7421"/>
    <w:rsid w:val="6C602F3C"/>
    <w:rsid w:val="6C647BD2"/>
    <w:rsid w:val="6C671C24"/>
    <w:rsid w:val="6C774EA5"/>
    <w:rsid w:val="6C77611C"/>
    <w:rsid w:val="6C7D1340"/>
    <w:rsid w:val="6C8A7F22"/>
    <w:rsid w:val="6C8E2466"/>
    <w:rsid w:val="6C900289"/>
    <w:rsid w:val="6C973107"/>
    <w:rsid w:val="6C9D26A9"/>
    <w:rsid w:val="6CB561E6"/>
    <w:rsid w:val="6CC02E2E"/>
    <w:rsid w:val="6CD04B41"/>
    <w:rsid w:val="6CD96E67"/>
    <w:rsid w:val="6CE27AF9"/>
    <w:rsid w:val="6CE30221"/>
    <w:rsid w:val="6CF511CB"/>
    <w:rsid w:val="6CF83B19"/>
    <w:rsid w:val="6D001895"/>
    <w:rsid w:val="6D13356D"/>
    <w:rsid w:val="6D172F05"/>
    <w:rsid w:val="6D1B4843"/>
    <w:rsid w:val="6D1E383F"/>
    <w:rsid w:val="6D233B8B"/>
    <w:rsid w:val="6D242CB5"/>
    <w:rsid w:val="6D324CAD"/>
    <w:rsid w:val="6D327C15"/>
    <w:rsid w:val="6D347EA9"/>
    <w:rsid w:val="6D396CA7"/>
    <w:rsid w:val="6D3A1767"/>
    <w:rsid w:val="6D3B587B"/>
    <w:rsid w:val="6D3D7F2F"/>
    <w:rsid w:val="6D594AFC"/>
    <w:rsid w:val="6D64766A"/>
    <w:rsid w:val="6D696D90"/>
    <w:rsid w:val="6D6A6E60"/>
    <w:rsid w:val="6D986AF3"/>
    <w:rsid w:val="6DAB236E"/>
    <w:rsid w:val="6DB60733"/>
    <w:rsid w:val="6DBB120B"/>
    <w:rsid w:val="6DBE1A43"/>
    <w:rsid w:val="6DCB287A"/>
    <w:rsid w:val="6DCF476F"/>
    <w:rsid w:val="6DD2377C"/>
    <w:rsid w:val="6DDB1B0C"/>
    <w:rsid w:val="6DE309C1"/>
    <w:rsid w:val="6DF04651"/>
    <w:rsid w:val="6DF825E5"/>
    <w:rsid w:val="6E010E59"/>
    <w:rsid w:val="6E0D3650"/>
    <w:rsid w:val="6E282CF9"/>
    <w:rsid w:val="6E2D2C94"/>
    <w:rsid w:val="6E461B04"/>
    <w:rsid w:val="6E582A2C"/>
    <w:rsid w:val="6E6011F9"/>
    <w:rsid w:val="6E645FA5"/>
    <w:rsid w:val="6E6E1524"/>
    <w:rsid w:val="6E7961A9"/>
    <w:rsid w:val="6E7E2890"/>
    <w:rsid w:val="6E825693"/>
    <w:rsid w:val="6E9270A8"/>
    <w:rsid w:val="6EA13BFA"/>
    <w:rsid w:val="6EAD794B"/>
    <w:rsid w:val="6EC15B86"/>
    <w:rsid w:val="6EC15FF9"/>
    <w:rsid w:val="6EC543D7"/>
    <w:rsid w:val="6EC82F43"/>
    <w:rsid w:val="6EE54ACA"/>
    <w:rsid w:val="6EEF1D13"/>
    <w:rsid w:val="6EFA4A61"/>
    <w:rsid w:val="6EFF229C"/>
    <w:rsid w:val="6F1A0BE2"/>
    <w:rsid w:val="6F1A2251"/>
    <w:rsid w:val="6F1A6D0C"/>
    <w:rsid w:val="6F231DFF"/>
    <w:rsid w:val="6F2A675D"/>
    <w:rsid w:val="6F3B6D06"/>
    <w:rsid w:val="6F5C3578"/>
    <w:rsid w:val="6F6618A9"/>
    <w:rsid w:val="6F7F78D9"/>
    <w:rsid w:val="6F844DBC"/>
    <w:rsid w:val="6F8715EB"/>
    <w:rsid w:val="6F8725F7"/>
    <w:rsid w:val="6F8C1686"/>
    <w:rsid w:val="6FA65F39"/>
    <w:rsid w:val="6FAD579E"/>
    <w:rsid w:val="6FBD6232"/>
    <w:rsid w:val="6FC01F8F"/>
    <w:rsid w:val="6FDC1942"/>
    <w:rsid w:val="6FE06C43"/>
    <w:rsid w:val="6FE20202"/>
    <w:rsid w:val="6FEC283D"/>
    <w:rsid w:val="6FF93153"/>
    <w:rsid w:val="6FFA2C08"/>
    <w:rsid w:val="700500E3"/>
    <w:rsid w:val="700C21C5"/>
    <w:rsid w:val="70246D82"/>
    <w:rsid w:val="702A275D"/>
    <w:rsid w:val="70382C39"/>
    <w:rsid w:val="703D65DA"/>
    <w:rsid w:val="703F08EA"/>
    <w:rsid w:val="703F5BF3"/>
    <w:rsid w:val="704551BF"/>
    <w:rsid w:val="70455963"/>
    <w:rsid w:val="704C260E"/>
    <w:rsid w:val="70543CE2"/>
    <w:rsid w:val="70561F0A"/>
    <w:rsid w:val="705E5D7E"/>
    <w:rsid w:val="706458F5"/>
    <w:rsid w:val="707675BB"/>
    <w:rsid w:val="708A2768"/>
    <w:rsid w:val="709D2DEC"/>
    <w:rsid w:val="709F20B3"/>
    <w:rsid w:val="70A01767"/>
    <w:rsid w:val="70AA46DF"/>
    <w:rsid w:val="70AC7790"/>
    <w:rsid w:val="70B800B5"/>
    <w:rsid w:val="70B82FD3"/>
    <w:rsid w:val="70B95679"/>
    <w:rsid w:val="70C224AB"/>
    <w:rsid w:val="70C432B4"/>
    <w:rsid w:val="70CA591E"/>
    <w:rsid w:val="70CC28E1"/>
    <w:rsid w:val="70CF4244"/>
    <w:rsid w:val="70D676F5"/>
    <w:rsid w:val="70DF7ED0"/>
    <w:rsid w:val="70EC65A4"/>
    <w:rsid w:val="70EE1B56"/>
    <w:rsid w:val="70F82D59"/>
    <w:rsid w:val="710515F9"/>
    <w:rsid w:val="711606F7"/>
    <w:rsid w:val="71275730"/>
    <w:rsid w:val="713043DC"/>
    <w:rsid w:val="7136359B"/>
    <w:rsid w:val="713D1871"/>
    <w:rsid w:val="714960E5"/>
    <w:rsid w:val="714F1722"/>
    <w:rsid w:val="717179D7"/>
    <w:rsid w:val="7175261E"/>
    <w:rsid w:val="7175696F"/>
    <w:rsid w:val="7198256C"/>
    <w:rsid w:val="719C7B18"/>
    <w:rsid w:val="719E7939"/>
    <w:rsid w:val="719F49F9"/>
    <w:rsid w:val="71B95573"/>
    <w:rsid w:val="71BB5741"/>
    <w:rsid w:val="71C30E32"/>
    <w:rsid w:val="71C63C44"/>
    <w:rsid w:val="71C81EF7"/>
    <w:rsid w:val="71CE7B26"/>
    <w:rsid w:val="71E0131C"/>
    <w:rsid w:val="71E02D3A"/>
    <w:rsid w:val="71E87E16"/>
    <w:rsid w:val="71EB7849"/>
    <w:rsid w:val="71EC1C07"/>
    <w:rsid w:val="71F24FB3"/>
    <w:rsid w:val="71F52906"/>
    <w:rsid w:val="720C498A"/>
    <w:rsid w:val="720D1F2F"/>
    <w:rsid w:val="720E7528"/>
    <w:rsid w:val="72217E8B"/>
    <w:rsid w:val="72256327"/>
    <w:rsid w:val="724B2369"/>
    <w:rsid w:val="724C122A"/>
    <w:rsid w:val="726C71D7"/>
    <w:rsid w:val="726D6FD7"/>
    <w:rsid w:val="727D4077"/>
    <w:rsid w:val="727E121A"/>
    <w:rsid w:val="72863AA7"/>
    <w:rsid w:val="728F7ACD"/>
    <w:rsid w:val="72943159"/>
    <w:rsid w:val="72953AF1"/>
    <w:rsid w:val="729B6C0B"/>
    <w:rsid w:val="72A44BC2"/>
    <w:rsid w:val="72AC0607"/>
    <w:rsid w:val="72AD7075"/>
    <w:rsid w:val="72B20521"/>
    <w:rsid w:val="72B80B69"/>
    <w:rsid w:val="72C4162D"/>
    <w:rsid w:val="72DC7380"/>
    <w:rsid w:val="72DE30C9"/>
    <w:rsid w:val="72E328D4"/>
    <w:rsid w:val="72E43F2E"/>
    <w:rsid w:val="72F453CE"/>
    <w:rsid w:val="73150018"/>
    <w:rsid w:val="731F472C"/>
    <w:rsid w:val="73225980"/>
    <w:rsid w:val="734B1B9C"/>
    <w:rsid w:val="734C1455"/>
    <w:rsid w:val="73691C33"/>
    <w:rsid w:val="7373536B"/>
    <w:rsid w:val="737522CC"/>
    <w:rsid w:val="73770563"/>
    <w:rsid w:val="737C342A"/>
    <w:rsid w:val="737D37CC"/>
    <w:rsid w:val="738B6531"/>
    <w:rsid w:val="738C4998"/>
    <w:rsid w:val="73944C37"/>
    <w:rsid w:val="739E7864"/>
    <w:rsid w:val="73A24FAD"/>
    <w:rsid w:val="73AA47FB"/>
    <w:rsid w:val="73AD7669"/>
    <w:rsid w:val="73B04BCD"/>
    <w:rsid w:val="73B65D64"/>
    <w:rsid w:val="73BC476F"/>
    <w:rsid w:val="73D14BBF"/>
    <w:rsid w:val="73D36370"/>
    <w:rsid w:val="73E26FB6"/>
    <w:rsid w:val="73E444BF"/>
    <w:rsid w:val="73EC4687"/>
    <w:rsid w:val="73F932F6"/>
    <w:rsid w:val="73FD0584"/>
    <w:rsid w:val="74126BC0"/>
    <w:rsid w:val="74150779"/>
    <w:rsid w:val="7420296E"/>
    <w:rsid w:val="7423039A"/>
    <w:rsid w:val="74273790"/>
    <w:rsid w:val="74432E49"/>
    <w:rsid w:val="744732F4"/>
    <w:rsid w:val="744D309E"/>
    <w:rsid w:val="744D6CEA"/>
    <w:rsid w:val="745C1017"/>
    <w:rsid w:val="745C2583"/>
    <w:rsid w:val="746022ED"/>
    <w:rsid w:val="747B47C1"/>
    <w:rsid w:val="747B6FB9"/>
    <w:rsid w:val="748969B2"/>
    <w:rsid w:val="749D5FFC"/>
    <w:rsid w:val="74A76C06"/>
    <w:rsid w:val="74B55A7D"/>
    <w:rsid w:val="74C11875"/>
    <w:rsid w:val="74C177D1"/>
    <w:rsid w:val="74CD1DBC"/>
    <w:rsid w:val="74D329FB"/>
    <w:rsid w:val="74D57736"/>
    <w:rsid w:val="74D76582"/>
    <w:rsid w:val="74E03EAC"/>
    <w:rsid w:val="74E30911"/>
    <w:rsid w:val="74E41769"/>
    <w:rsid w:val="74FD6AF9"/>
    <w:rsid w:val="7505436A"/>
    <w:rsid w:val="750C6A6D"/>
    <w:rsid w:val="7514582F"/>
    <w:rsid w:val="75207767"/>
    <w:rsid w:val="75271517"/>
    <w:rsid w:val="75497CA3"/>
    <w:rsid w:val="754B359F"/>
    <w:rsid w:val="75514745"/>
    <w:rsid w:val="755334CE"/>
    <w:rsid w:val="755976A1"/>
    <w:rsid w:val="755D72AA"/>
    <w:rsid w:val="756C77A6"/>
    <w:rsid w:val="75882579"/>
    <w:rsid w:val="758B7BC5"/>
    <w:rsid w:val="75971833"/>
    <w:rsid w:val="759B4D4E"/>
    <w:rsid w:val="759E36E7"/>
    <w:rsid w:val="75A601B0"/>
    <w:rsid w:val="75A90395"/>
    <w:rsid w:val="75B27CA5"/>
    <w:rsid w:val="75C24F30"/>
    <w:rsid w:val="75C42A34"/>
    <w:rsid w:val="75C97A4F"/>
    <w:rsid w:val="75CA29A8"/>
    <w:rsid w:val="75CA6FC2"/>
    <w:rsid w:val="75D0102D"/>
    <w:rsid w:val="75D72FE8"/>
    <w:rsid w:val="75D9071B"/>
    <w:rsid w:val="75DA0B91"/>
    <w:rsid w:val="75DD11C7"/>
    <w:rsid w:val="75E64749"/>
    <w:rsid w:val="75EB48B6"/>
    <w:rsid w:val="75F062A3"/>
    <w:rsid w:val="75F158D8"/>
    <w:rsid w:val="75F45E61"/>
    <w:rsid w:val="75F60993"/>
    <w:rsid w:val="75FE1C7F"/>
    <w:rsid w:val="760043B5"/>
    <w:rsid w:val="76041917"/>
    <w:rsid w:val="76044DBC"/>
    <w:rsid w:val="7608238C"/>
    <w:rsid w:val="76094850"/>
    <w:rsid w:val="76095B3C"/>
    <w:rsid w:val="760C6BF7"/>
    <w:rsid w:val="762142B8"/>
    <w:rsid w:val="762A6911"/>
    <w:rsid w:val="762A6F77"/>
    <w:rsid w:val="762B7BC5"/>
    <w:rsid w:val="762E7C4C"/>
    <w:rsid w:val="7634625D"/>
    <w:rsid w:val="764A13AC"/>
    <w:rsid w:val="76504B2A"/>
    <w:rsid w:val="76515480"/>
    <w:rsid w:val="76601709"/>
    <w:rsid w:val="76742690"/>
    <w:rsid w:val="767D65DB"/>
    <w:rsid w:val="76830CCE"/>
    <w:rsid w:val="768D6682"/>
    <w:rsid w:val="7698178A"/>
    <w:rsid w:val="769F2DDA"/>
    <w:rsid w:val="76A03E90"/>
    <w:rsid w:val="76C82C29"/>
    <w:rsid w:val="76CB270C"/>
    <w:rsid w:val="76D16297"/>
    <w:rsid w:val="76DD67D3"/>
    <w:rsid w:val="76E00191"/>
    <w:rsid w:val="76E30E67"/>
    <w:rsid w:val="76F529B8"/>
    <w:rsid w:val="77130569"/>
    <w:rsid w:val="771B4FFF"/>
    <w:rsid w:val="773310E3"/>
    <w:rsid w:val="773B71ED"/>
    <w:rsid w:val="774424D0"/>
    <w:rsid w:val="77511B2F"/>
    <w:rsid w:val="776B358A"/>
    <w:rsid w:val="77795FA5"/>
    <w:rsid w:val="77880CD0"/>
    <w:rsid w:val="77885880"/>
    <w:rsid w:val="779043E2"/>
    <w:rsid w:val="779150B9"/>
    <w:rsid w:val="779D7E32"/>
    <w:rsid w:val="779D7FD8"/>
    <w:rsid w:val="77A67511"/>
    <w:rsid w:val="77AA6F77"/>
    <w:rsid w:val="77B203F2"/>
    <w:rsid w:val="77B34168"/>
    <w:rsid w:val="77B853CE"/>
    <w:rsid w:val="77BE1E71"/>
    <w:rsid w:val="77C36C3C"/>
    <w:rsid w:val="77C43301"/>
    <w:rsid w:val="77CB0788"/>
    <w:rsid w:val="77DA3B38"/>
    <w:rsid w:val="77DC26B1"/>
    <w:rsid w:val="77DF0EAD"/>
    <w:rsid w:val="77FB21B6"/>
    <w:rsid w:val="77FF444C"/>
    <w:rsid w:val="78054355"/>
    <w:rsid w:val="78102276"/>
    <w:rsid w:val="78164B46"/>
    <w:rsid w:val="78280044"/>
    <w:rsid w:val="78395DAD"/>
    <w:rsid w:val="784A5EBD"/>
    <w:rsid w:val="784D3606"/>
    <w:rsid w:val="784D556E"/>
    <w:rsid w:val="784E76DC"/>
    <w:rsid w:val="786A010A"/>
    <w:rsid w:val="787C42DD"/>
    <w:rsid w:val="788A5451"/>
    <w:rsid w:val="789418F0"/>
    <w:rsid w:val="789D4FA3"/>
    <w:rsid w:val="78A504C8"/>
    <w:rsid w:val="78AC0041"/>
    <w:rsid w:val="78B11DE7"/>
    <w:rsid w:val="78B13B0E"/>
    <w:rsid w:val="78B8775D"/>
    <w:rsid w:val="78C05B25"/>
    <w:rsid w:val="78C84750"/>
    <w:rsid w:val="78DA2088"/>
    <w:rsid w:val="78DF77D5"/>
    <w:rsid w:val="78E656E7"/>
    <w:rsid w:val="78E75646"/>
    <w:rsid w:val="78E901C3"/>
    <w:rsid w:val="78EB5EFD"/>
    <w:rsid w:val="78F8672E"/>
    <w:rsid w:val="79062161"/>
    <w:rsid w:val="79162D4D"/>
    <w:rsid w:val="791E26B4"/>
    <w:rsid w:val="792D38DD"/>
    <w:rsid w:val="793C27D0"/>
    <w:rsid w:val="79456D2F"/>
    <w:rsid w:val="79481F08"/>
    <w:rsid w:val="79496D88"/>
    <w:rsid w:val="794C1DA6"/>
    <w:rsid w:val="795874B4"/>
    <w:rsid w:val="7961710C"/>
    <w:rsid w:val="796226B7"/>
    <w:rsid w:val="7962731E"/>
    <w:rsid w:val="798736BF"/>
    <w:rsid w:val="798813F5"/>
    <w:rsid w:val="79974114"/>
    <w:rsid w:val="799C5797"/>
    <w:rsid w:val="79A156EC"/>
    <w:rsid w:val="79A8041A"/>
    <w:rsid w:val="79B44348"/>
    <w:rsid w:val="79C32FEF"/>
    <w:rsid w:val="79D30053"/>
    <w:rsid w:val="79DE7C8F"/>
    <w:rsid w:val="79E52441"/>
    <w:rsid w:val="7A2013FC"/>
    <w:rsid w:val="7A215327"/>
    <w:rsid w:val="7A24075A"/>
    <w:rsid w:val="7A293534"/>
    <w:rsid w:val="7A3643BA"/>
    <w:rsid w:val="7A380C3F"/>
    <w:rsid w:val="7A4C0DA0"/>
    <w:rsid w:val="7A576A80"/>
    <w:rsid w:val="7A5C7ABE"/>
    <w:rsid w:val="7A60302C"/>
    <w:rsid w:val="7A6840CE"/>
    <w:rsid w:val="7A7F4BEA"/>
    <w:rsid w:val="7A865DC3"/>
    <w:rsid w:val="7A894151"/>
    <w:rsid w:val="7A97500D"/>
    <w:rsid w:val="7A975B0F"/>
    <w:rsid w:val="7A9C36A2"/>
    <w:rsid w:val="7AA615A6"/>
    <w:rsid w:val="7AA9318C"/>
    <w:rsid w:val="7AB76C4F"/>
    <w:rsid w:val="7ABD6E5B"/>
    <w:rsid w:val="7AC330B7"/>
    <w:rsid w:val="7AC91B64"/>
    <w:rsid w:val="7ACC2256"/>
    <w:rsid w:val="7ACE7B72"/>
    <w:rsid w:val="7AD54BB5"/>
    <w:rsid w:val="7ADB19DB"/>
    <w:rsid w:val="7ADC193F"/>
    <w:rsid w:val="7AE832A5"/>
    <w:rsid w:val="7AFB1A3F"/>
    <w:rsid w:val="7B036EB4"/>
    <w:rsid w:val="7B095ECF"/>
    <w:rsid w:val="7B0D3C52"/>
    <w:rsid w:val="7B12491B"/>
    <w:rsid w:val="7B1810CF"/>
    <w:rsid w:val="7B2C61C2"/>
    <w:rsid w:val="7B315461"/>
    <w:rsid w:val="7B390BF2"/>
    <w:rsid w:val="7B4162C7"/>
    <w:rsid w:val="7B462A30"/>
    <w:rsid w:val="7B480D0D"/>
    <w:rsid w:val="7B4C7AD1"/>
    <w:rsid w:val="7B534E2D"/>
    <w:rsid w:val="7B591ED1"/>
    <w:rsid w:val="7B6302AC"/>
    <w:rsid w:val="7B683189"/>
    <w:rsid w:val="7B6E66F2"/>
    <w:rsid w:val="7B762213"/>
    <w:rsid w:val="7B785367"/>
    <w:rsid w:val="7B98535A"/>
    <w:rsid w:val="7BA83698"/>
    <w:rsid w:val="7BA93249"/>
    <w:rsid w:val="7BAE48FC"/>
    <w:rsid w:val="7BB83DF8"/>
    <w:rsid w:val="7BBA2E35"/>
    <w:rsid w:val="7BC45C03"/>
    <w:rsid w:val="7BC45DE2"/>
    <w:rsid w:val="7BC76B4E"/>
    <w:rsid w:val="7BC9569A"/>
    <w:rsid w:val="7BCC163B"/>
    <w:rsid w:val="7BD81D81"/>
    <w:rsid w:val="7BD965EC"/>
    <w:rsid w:val="7BDF360D"/>
    <w:rsid w:val="7BE66796"/>
    <w:rsid w:val="7BFF4559"/>
    <w:rsid w:val="7C0827FE"/>
    <w:rsid w:val="7C1A756B"/>
    <w:rsid w:val="7C1B1028"/>
    <w:rsid w:val="7C226546"/>
    <w:rsid w:val="7C27745C"/>
    <w:rsid w:val="7C2B2034"/>
    <w:rsid w:val="7C3043FE"/>
    <w:rsid w:val="7C455132"/>
    <w:rsid w:val="7C4E1254"/>
    <w:rsid w:val="7C4F607B"/>
    <w:rsid w:val="7C54745D"/>
    <w:rsid w:val="7C556A53"/>
    <w:rsid w:val="7C583982"/>
    <w:rsid w:val="7C701FB9"/>
    <w:rsid w:val="7C7D0B32"/>
    <w:rsid w:val="7C804B0D"/>
    <w:rsid w:val="7C8C5EFB"/>
    <w:rsid w:val="7CA31AB6"/>
    <w:rsid w:val="7CA4518D"/>
    <w:rsid w:val="7CBE5D37"/>
    <w:rsid w:val="7CC61BD9"/>
    <w:rsid w:val="7CCB376D"/>
    <w:rsid w:val="7CD17149"/>
    <w:rsid w:val="7CD730F8"/>
    <w:rsid w:val="7CEA32F9"/>
    <w:rsid w:val="7CEF7B71"/>
    <w:rsid w:val="7CF659DD"/>
    <w:rsid w:val="7CFB094E"/>
    <w:rsid w:val="7D027F2A"/>
    <w:rsid w:val="7D061726"/>
    <w:rsid w:val="7D0A1A32"/>
    <w:rsid w:val="7D0C1069"/>
    <w:rsid w:val="7D0E4B5B"/>
    <w:rsid w:val="7D191B92"/>
    <w:rsid w:val="7D1B6EB8"/>
    <w:rsid w:val="7D33504E"/>
    <w:rsid w:val="7D362C54"/>
    <w:rsid w:val="7D363C81"/>
    <w:rsid w:val="7D3C08AA"/>
    <w:rsid w:val="7D3D410B"/>
    <w:rsid w:val="7D4928DE"/>
    <w:rsid w:val="7D4C641E"/>
    <w:rsid w:val="7D5C493C"/>
    <w:rsid w:val="7D8605C7"/>
    <w:rsid w:val="7D8F6B8C"/>
    <w:rsid w:val="7DAE540F"/>
    <w:rsid w:val="7DB07FBB"/>
    <w:rsid w:val="7DB520AD"/>
    <w:rsid w:val="7DD535C7"/>
    <w:rsid w:val="7DD80B95"/>
    <w:rsid w:val="7DDC0344"/>
    <w:rsid w:val="7DDD28FA"/>
    <w:rsid w:val="7DE7105B"/>
    <w:rsid w:val="7DE75F71"/>
    <w:rsid w:val="7DEA41A0"/>
    <w:rsid w:val="7DF1781A"/>
    <w:rsid w:val="7DF5241B"/>
    <w:rsid w:val="7DF7247F"/>
    <w:rsid w:val="7E066731"/>
    <w:rsid w:val="7E0C5874"/>
    <w:rsid w:val="7E0D5730"/>
    <w:rsid w:val="7E1C1F79"/>
    <w:rsid w:val="7E1F2DD5"/>
    <w:rsid w:val="7E2A39F6"/>
    <w:rsid w:val="7E3C6DB1"/>
    <w:rsid w:val="7E4313B6"/>
    <w:rsid w:val="7E480690"/>
    <w:rsid w:val="7E503E50"/>
    <w:rsid w:val="7E513527"/>
    <w:rsid w:val="7E6071B0"/>
    <w:rsid w:val="7E804FCB"/>
    <w:rsid w:val="7E8E42BF"/>
    <w:rsid w:val="7E90670A"/>
    <w:rsid w:val="7E9212CE"/>
    <w:rsid w:val="7E9552F4"/>
    <w:rsid w:val="7E971EEC"/>
    <w:rsid w:val="7EA63A70"/>
    <w:rsid w:val="7EA6705B"/>
    <w:rsid w:val="7ED44F77"/>
    <w:rsid w:val="7ED544B5"/>
    <w:rsid w:val="7EDB49B6"/>
    <w:rsid w:val="7EE01021"/>
    <w:rsid w:val="7EEF0F32"/>
    <w:rsid w:val="7EF249D0"/>
    <w:rsid w:val="7F0C3E44"/>
    <w:rsid w:val="7F0D0F48"/>
    <w:rsid w:val="7F110E3B"/>
    <w:rsid w:val="7F1629A4"/>
    <w:rsid w:val="7F1B5E8E"/>
    <w:rsid w:val="7F280929"/>
    <w:rsid w:val="7F2E4552"/>
    <w:rsid w:val="7F3022EC"/>
    <w:rsid w:val="7F3360A4"/>
    <w:rsid w:val="7F3950C2"/>
    <w:rsid w:val="7F3A08BE"/>
    <w:rsid w:val="7F3A609B"/>
    <w:rsid w:val="7F490B8E"/>
    <w:rsid w:val="7F4E3073"/>
    <w:rsid w:val="7F5117A9"/>
    <w:rsid w:val="7F6B5FB7"/>
    <w:rsid w:val="7F7119F3"/>
    <w:rsid w:val="7F853AB6"/>
    <w:rsid w:val="7F8D4C51"/>
    <w:rsid w:val="7FA23687"/>
    <w:rsid w:val="7FA534FA"/>
    <w:rsid w:val="7FA71F3A"/>
    <w:rsid w:val="7FB15242"/>
    <w:rsid w:val="7FC379A1"/>
    <w:rsid w:val="7FC638A9"/>
    <w:rsid w:val="7FDD0932"/>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4">
    <w:name w:val="heading 1"/>
    <w:basedOn w:val="1"/>
    <w:next w:val="1"/>
    <w:qFormat/>
    <w:uiPriority w:val="0"/>
    <w:pPr>
      <w:keepNext/>
      <w:keepLines/>
      <w:outlineLvl w:val="0"/>
    </w:pPr>
    <w:rPr>
      <w:b/>
      <w:kern w:val="44"/>
      <w:sz w:val="44"/>
    </w:rPr>
  </w:style>
  <w:style w:type="paragraph" w:styleId="5">
    <w:name w:val="heading 2"/>
    <w:basedOn w:val="1"/>
    <w:next w:val="1"/>
    <w:link w:val="40"/>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link w:val="72"/>
    <w:qFormat/>
    <w:uiPriority w:val="0"/>
  </w:style>
  <w:style w:type="paragraph" w:styleId="13">
    <w:name w:val="Body Text"/>
    <w:basedOn w:val="1"/>
    <w:next w:val="1"/>
    <w:qFormat/>
    <w:uiPriority w:val="0"/>
    <w:pPr>
      <w:spacing w:after="120"/>
    </w:pPr>
    <w:rPr>
      <w:rFonts w:ascii="Times New Roman"/>
    </w:rPr>
  </w:style>
  <w:style w:type="paragraph" w:styleId="14">
    <w:name w:val="Body Text Indent"/>
    <w:basedOn w:val="1"/>
    <w:qFormat/>
    <w:uiPriority w:val="0"/>
    <w:pPr>
      <w:ind w:firstLine="538" w:firstLineChars="168"/>
    </w:pPr>
    <w:rPr>
      <w:rFonts w:ascii="仿宋_GB2312" w:eastAsia="仿宋_GB2312"/>
      <w:sz w:val="32"/>
    </w:rPr>
  </w:style>
  <w:style w:type="paragraph" w:styleId="15">
    <w:name w:val="toc 3"/>
    <w:basedOn w:val="1"/>
    <w:next w:val="1"/>
    <w:qFormat/>
    <w:uiPriority w:val="0"/>
    <w:pPr>
      <w:wordWrap w:val="0"/>
      <w:topLinePunct/>
      <w:spacing w:line="400" w:lineRule="exact"/>
      <w:ind w:left="840" w:leftChars="400"/>
    </w:pPr>
    <w:rPr>
      <w:sz w:val="21"/>
    </w:rPr>
  </w:style>
  <w:style w:type="paragraph" w:styleId="16">
    <w:name w:val="Balloon Text"/>
    <w:basedOn w:val="1"/>
    <w:link w:val="74"/>
    <w:qFormat/>
    <w:uiPriority w:val="0"/>
    <w:pPr>
      <w:spacing w:line="240" w:lineRule="auto"/>
    </w:pPr>
    <w:rPr>
      <w:sz w:val="18"/>
      <w:szCs w:val="18"/>
    </w:rPr>
  </w:style>
  <w:style w:type="paragraph" w:styleId="17">
    <w:name w:val="footer"/>
    <w:basedOn w:val="1"/>
    <w:link w:val="39"/>
    <w:qFormat/>
    <w:uiPriority w:val="0"/>
    <w:pPr>
      <w:spacing w:line="240" w:lineRule="auto"/>
    </w:pPr>
    <w:rPr>
      <w:sz w:val="18"/>
      <w:szCs w:val="18"/>
    </w:rPr>
  </w:style>
  <w:style w:type="paragraph" w:styleId="18">
    <w:name w:val="header"/>
    <w:basedOn w:val="1"/>
    <w:link w:val="38"/>
    <w:qFormat/>
    <w:uiPriority w:val="0"/>
    <w:pPr>
      <w:pBdr>
        <w:bottom w:val="single" w:color="auto" w:sz="6" w:space="1"/>
      </w:pBdr>
      <w:wordWrap w:val="0"/>
      <w:topLinePunct/>
      <w:spacing w:line="240" w:lineRule="auto"/>
      <w:jc w:val="center"/>
    </w:pPr>
    <w:rPr>
      <w:sz w:val="18"/>
      <w:szCs w:val="18"/>
    </w:rPr>
  </w:style>
  <w:style w:type="paragraph" w:styleId="19">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0">
    <w:name w:val="toc 2"/>
    <w:basedOn w:val="1"/>
    <w:next w:val="1"/>
    <w:qFormat/>
    <w:uiPriority w:val="0"/>
    <w:pPr>
      <w:wordWrap w:val="0"/>
      <w:topLinePunct/>
      <w:spacing w:line="400" w:lineRule="exact"/>
      <w:ind w:left="420" w:leftChars="200"/>
    </w:pPr>
    <w:rPr>
      <w:sz w:val="21"/>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0"/>
      </w:tabs>
    </w:pPr>
    <w:rPr>
      <w:rFonts w:hint="eastAsia" w:cs="Times New Roman"/>
      <w:kern w:val="0"/>
    </w:rPr>
  </w:style>
  <w:style w:type="paragraph" w:styleId="22">
    <w:name w:val="Normal (Web)"/>
    <w:basedOn w:val="1"/>
    <w:qFormat/>
    <w:uiPriority w:val="0"/>
    <w:pPr>
      <w:spacing w:beforeAutospacing="1" w:afterAutospacing="1"/>
    </w:pPr>
    <w:rPr>
      <w:rFonts w:cs="Times New Roman"/>
      <w:kern w:val="0"/>
    </w:rPr>
  </w:style>
  <w:style w:type="paragraph" w:styleId="23">
    <w:name w:val="annotation subject"/>
    <w:basedOn w:val="12"/>
    <w:next w:val="12"/>
    <w:link w:val="73"/>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styleId="28">
    <w:name w:val="annotation reference"/>
    <w:basedOn w:val="26"/>
    <w:qFormat/>
    <w:uiPriority w:val="0"/>
    <w:rPr>
      <w:sz w:val="21"/>
      <w:szCs w:val="21"/>
    </w:rPr>
  </w:style>
  <w:style w:type="paragraph" w:customStyle="1" w:styleId="29">
    <w:name w:val="14、“第一章”一级标题"/>
    <w:basedOn w:val="30"/>
    <w:qFormat/>
    <w:uiPriority w:val="0"/>
    <w:pPr>
      <w:numPr>
        <w:ilvl w:val="0"/>
        <w:numId w:val="3"/>
      </w:numPr>
      <w:spacing w:before="50" w:beforeLines="50" w:after="50" w:afterLines="50" w:line="240" w:lineRule="auto"/>
      <w:jc w:val="center"/>
      <w:outlineLvl w:val="0"/>
    </w:pPr>
    <w:rPr>
      <w:b/>
      <w:sz w:val="36"/>
    </w:rPr>
  </w:style>
  <w:style w:type="paragraph" w:customStyle="1" w:styleId="30">
    <w:name w:val="01、普通正文"/>
    <w:basedOn w:val="1"/>
    <w:link w:val="59"/>
    <w:qFormat/>
    <w:uiPriority w:val="0"/>
    <w:pPr>
      <w:wordWrap w:val="0"/>
      <w:topLinePunct/>
    </w:pPr>
    <w:rPr>
      <w:snapToGrid w:val="0"/>
    </w:rPr>
  </w:style>
  <w:style w:type="paragraph" w:customStyle="1" w:styleId="31">
    <w:name w:val="15、“一、”二级标题"/>
    <w:basedOn w:val="1"/>
    <w:qFormat/>
    <w:uiPriority w:val="0"/>
    <w:pPr>
      <w:numPr>
        <w:ilvl w:val="1"/>
        <w:numId w:val="3"/>
      </w:numPr>
      <w:wordWrap w:val="0"/>
      <w:topLinePunct/>
      <w:ind w:firstLine="803" w:firstLineChars="200"/>
      <w:outlineLvl w:val="1"/>
    </w:pPr>
    <w:rPr>
      <w:b/>
    </w:rPr>
  </w:style>
  <w:style w:type="paragraph" w:customStyle="1" w:styleId="32">
    <w:name w:val="16、“(一)”三级标题"/>
    <w:basedOn w:val="30"/>
    <w:link w:val="57"/>
    <w:qFormat/>
    <w:uiPriority w:val="0"/>
    <w:pPr>
      <w:numPr>
        <w:ilvl w:val="2"/>
        <w:numId w:val="3"/>
      </w:numPr>
      <w:ind w:firstLine="803" w:firstLineChars="200"/>
      <w:outlineLvl w:val="2"/>
    </w:pPr>
    <w:rPr>
      <w:b/>
    </w:rPr>
  </w:style>
  <w:style w:type="paragraph" w:customStyle="1" w:styleId="33">
    <w:name w:val="17“1.”四级标题"/>
    <w:basedOn w:val="34"/>
    <w:link w:val="67"/>
    <w:qFormat/>
    <w:uiPriority w:val="0"/>
    <w:pPr>
      <w:numPr>
        <w:ilvl w:val="3"/>
        <w:numId w:val="3"/>
      </w:numPr>
      <w:ind w:firstLine="803"/>
    </w:pPr>
  </w:style>
  <w:style w:type="paragraph" w:customStyle="1" w:styleId="34">
    <w:name w:val="02、首行缩进2字符正文"/>
    <w:basedOn w:val="1"/>
    <w:link w:val="58"/>
    <w:qFormat/>
    <w:uiPriority w:val="0"/>
    <w:pPr>
      <w:wordWrap w:val="0"/>
      <w:topLinePunct/>
      <w:ind w:firstLine="480" w:firstLineChars="200"/>
    </w:pPr>
  </w:style>
  <w:style w:type="paragraph" w:customStyle="1" w:styleId="35">
    <w:name w:val="18、“1.1”五级标题"/>
    <w:basedOn w:val="33"/>
    <w:qFormat/>
    <w:uiPriority w:val="0"/>
    <w:pPr>
      <w:numPr>
        <w:ilvl w:val="4"/>
      </w:numPr>
      <w:ind w:firstLine="803"/>
    </w:pPr>
  </w:style>
  <w:style w:type="paragraph" w:customStyle="1" w:styleId="36">
    <w:name w:val="19、“(1)”六级标题"/>
    <w:basedOn w:val="33"/>
    <w:qFormat/>
    <w:uiPriority w:val="0"/>
    <w:pPr>
      <w:numPr>
        <w:ilvl w:val="5"/>
      </w:numPr>
      <w:ind w:firstLine="803"/>
    </w:pPr>
  </w:style>
  <w:style w:type="paragraph" w:customStyle="1" w:styleId="37">
    <w:name w:val="Default"/>
    <w:next w:val="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8">
    <w:name w:val="页眉 字符"/>
    <w:basedOn w:val="26"/>
    <w:link w:val="18"/>
    <w:qFormat/>
    <w:uiPriority w:val="0"/>
    <w:rPr>
      <w:rFonts w:ascii="宋体" w:hAnsi="宋体" w:eastAsia="宋体" w:cstheme="minorBidi"/>
      <w:kern w:val="2"/>
      <w:sz w:val="18"/>
      <w:szCs w:val="18"/>
    </w:rPr>
  </w:style>
  <w:style w:type="character" w:customStyle="1" w:styleId="39">
    <w:name w:val="页脚 字符"/>
    <w:basedOn w:val="26"/>
    <w:link w:val="17"/>
    <w:qFormat/>
    <w:uiPriority w:val="0"/>
    <w:rPr>
      <w:rFonts w:ascii="宋体" w:hAnsi="宋体" w:eastAsia="宋体" w:cstheme="minorBidi"/>
      <w:kern w:val="2"/>
      <w:sz w:val="18"/>
      <w:szCs w:val="18"/>
    </w:rPr>
  </w:style>
  <w:style w:type="character" w:customStyle="1" w:styleId="40">
    <w:name w:val="标题 2 字符"/>
    <w:basedOn w:val="26"/>
    <w:link w:val="5"/>
    <w:qFormat/>
    <w:uiPriority w:val="0"/>
    <w:rPr>
      <w:rFonts w:ascii="Arial" w:hAnsi="Arial" w:eastAsia="黑体"/>
      <w:b/>
      <w:sz w:val="28"/>
    </w:rPr>
  </w:style>
  <w:style w:type="paragraph" w:customStyle="1" w:styleId="41">
    <w:name w:val="05、“(一)”正文三级标题"/>
    <w:basedOn w:val="1"/>
    <w:link w:val="61"/>
    <w:qFormat/>
    <w:uiPriority w:val="0"/>
    <w:pPr>
      <w:numPr>
        <w:ilvl w:val="1"/>
        <w:numId w:val="1"/>
      </w:numPr>
      <w:wordWrap w:val="0"/>
      <w:topLinePunct/>
      <w:ind w:firstLine="803" w:firstLineChars="200"/>
    </w:pPr>
  </w:style>
  <w:style w:type="paragraph" w:customStyle="1" w:styleId="42">
    <w:name w:val="00、封面正文(与其他内容无关的格式)"/>
    <w:basedOn w:val="1"/>
    <w:qFormat/>
    <w:uiPriority w:val="0"/>
  </w:style>
  <w:style w:type="paragraph" w:customStyle="1" w:styleId="43">
    <w:name w:val="06、“1.”正文四级标题"/>
    <w:basedOn w:val="1"/>
    <w:link w:val="63"/>
    <w:qFormat/>
    <w:uiPriority w:val="0"/>
    <w:pPr>
      <w:numPr>
        <w:ilvl w:val="2"/>
        <w:numId w:val="1"/>
      </w:numPr>
      <w:wordWrap w:val="0"/>
      <w:topLinePunct/>
      <w:ind w:firstLine="803" w:firstLineChars="200"/>
    </w:pPr>
    <w:rPr>
      <w:snapToGrid w:val="0"/>
    </w:rPr>
  </w:style>
  <w:style w:type="paragraph" w:customStyle="1" w:styleId="44">
    <w:name w:val="07、“1.1”正文五级标题"/>
    <w:basedOn w:val="1"/>
    <w:link w:val="55"/>
    <w:qFormat/>
    <w:uiPriority w:val="0"/>
    <w:pPr>
      <w:numPr>
        <w:ilvl w:val="3"/>
        <w:numId w:val="1"/>
      </w:numPr>
      <w:ind w:firstLine="803" w:firstLineChars="200"/>
    </w:pPr>
  </w:style>
  <w:style w:type="paragraph" w:customStyle="1" w:styleId="45">
    <w:name w:val="08、“(1)”正文六级标题"/>
    <w:basedOn w:val="1"/>
    <w:link w:val="64"/>
    <w:qFormat/>
    <w:uiPriority w:val="0"/>
    <w:pPr>
      <w:numPr>
        <w:ilvl w:val="4"/>
        <w:numId w:val="1"/>
      </w:numPr>
      <w:ind w:firstLine="803" w:firstLineChars="200"/>
    </w:pPr>
    <w:rPr>
      <w:snapToGrid w:val="0"/>
    </w:rPr>
  </w:style>
  <w:style w:type="paragraph" w:customStyle="1" w:styleId="46">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7">
    <w:name w:val="10、“1.1”表格内二级标题"/>
    <w:basedOn w:val="1"/>
    <w:link w:val="54"/>
    <w:qFormat/>
    <w:uiPriority w:val="0"/>
    <w:pPr>
      <w:numPr>
        <w:ilvl w:val="1"/>
        <w:numId w:val="4"/>
      </w:numPr>
      <w:wordWrap w:val="0"/>
      <w:topLinePunct/>
      <w:spacing w:line="360" w:lineRule="exact"/>
      <w:ind w:left="48" w:leftChars="20"/>
    </w:pPr>
    <w:rPr>
      <w:snapToGrid w:val="0"/>
      <w:sz w:val="21"/>
    </w:rPr>
  </w:style>
  <w:style w:type="paragraph" w:customStyle="1" w:styleId="48">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9">
    <w:name w:val="12、表格内左对齐正文"/>
    <w:basedOn w:val="1"/>
    <w:link w:val="65"/>
    <w:qFormat/>
    <w:uiPriority w:val="0"/>
    <w:pPr>
      <w:wordWrap w:val="0"/>
      <w:topLinePunct/>
      <w:spacing w:line="360" w:lineRule="exact"/>
      <w:ind w:left="48" w:leftChars="20"/>
    </w:pPr>
    <w:rPr>
      <w:snapToGrid w:val="0"/>
      <w:sz w:val="21"/>
    </w:rPr>
  </w:style>
  <w:style w:type="paragraph" w:customStyle="1" w:styleId="50">
    <w:name w:val="20、第五章“(一)”三级标题"/>
    <w:basedOn w:val="30"/>
    <w:link w:val="56"/>
    <w:qFormat/>
    <w:uiPriority w:val="0"/>
    <w:pPr>
      <w:pageBreakBefore/>
      <w:spacing w:before="50" w:beforeLines="50" w:after="50" w:afterLines="50"/>
      <w:jc w:val="center"/>
      <w:outlineLvl w:val="2"/>
    </w:pPr>
    <w:rPr>
      <w:b/>
      <w:sz w:val="28"/>
    </w:rPr>
  </w:style>
  <w:style w:type="paragraph" w:customStyle="1" w:styleId="51">
    <w:name w:val="13、表格内居中正文"/>
    <w:basedOn w:val="1"/>
    <w:qFormat/>
    <w:uiPriority w:val="0"/>
    <w:pPr>
      <w:wordWrap w:val="0"/>
      <w:topLinePunct/>
      <w:spacing w:line="360" w:lineRule="exact"/>
      <w:jc w:val="center"/>
    </w:pPr>
    <w:rPr>
      <w:sz w:val="21"/>
    </w:rPr>
  </w:style>
  <w:style w:type="paragraph" w:customStyle="1" w:styleId="52">
    <w:name w:val="03、“注：”正文(加粗，首行缩进2字符)"/>
    <w:basedOn w:val="30"/>
    <w:link w:val="60"/>
    <w:qFormat/>
    <w:uiPriority w:val="0"/>
    <w:pPr>
      <w:ind w:firstLine="480" w:firstLineChars="200"/>
    </w:pPr>
    <w:rPr>
      <w:b/>
    </w:rPr>
  </w:style>
  <w:style w:type="paragraph" w:customStyle="1" w:styleId="53">
    <w:name w:val="04“一、”正文二级标题"/>
    <w:basedOn w:val="30"/>
    <w:link w:val="62"/>
    <w:qFormat/>
    <w:uiPriority w:val="0"/>
    <w:pPr>
      <w:ind w:firstLine="803" w:firstLineChars="200"/>
    </w:pPr>
  </w:style>
  <w:style w:type="character" w:customStyle="1" w:styleId="54">
    <w:name w:val="10、“1.1”表格内二级标题 Char"/>
    <w:link w:val="47"/>
    <w:qFormat/>
    <w:uiPriority w:val="0"/>
    <w:rPr>
      <w:rFonts w:ascii="宋体" w:hAnsi="宋体" w:eastAsia="宋体"/>
      <w:snapToGrid w:val="0"/>
      <w:sz w:val="21"/>
    </w:rPr>
  </w:style>
  <w:style w:type="character" w:customStyle="1" w:styleId="55">
    <w:name w:val="07、“1.1”正文五级标题 Char"/>
    <w:link w:val="44"/>
    <w:qFormat/>
    <w:uiPriority w:val="0"/>
    <w:rPr>
      <w:rFonts w:ascii="宋体" w:hAnsi="宋体" w:eastAsia="宋体"/>
    </w:rPr>
  </w:style>
  <w:style w:type="character" w:customStyle="1" w:styleId="56">
    <w:name w:val="18、第三章“(一)”三级标题 Char"/>
    <w:link w:val="50"/>
    <w:qFormat/>
    <w:uiPriority w:val="0"/>
    <w:rPr>
      <w:rFonts w:ascii="宋体" w:hAnsi="宋体" w:eastAsia="宋体"/>
      <w:b/>
      <w:snapToGrid w:val="0"/>
      <w:kern w:val="2"/>
      <w:sz w:val="28"/>
      <w:szCs w:val="24"/>
    </w:rPr>
  </w:style>
  <w:style w:type="character" w:customStyle="1" w:styleId="57">
    <w:name w:val="16、“(一)”三级标题 Char"/>
    <w:link w:val="32"/>
    <w:qFormat/>
    <w:uiPriority w:val="0"/>
    <w:rPr>
      <w:rFonts w:ascii="宋体" w:hAnsi="宋体" w:eastAsia="宋体"/>
      <w:b/>
    </w:rPr>
  </w:style>
  <w:style w:type="character" w:customStyle="1" w:styleId="58">
    <w:name w:val="02、首行缩进2字符正文 Char"/>
    <w:link w:val="34"/>
    <w:qFormat/>
    <w:uiPriority w:val="0"/>
    <w:rPr>
      <w:rFonts w:ascii="宋体" w:hAnsi="宋体" w:eastAsia="宋体"/>
    </w:rPr>
  </w:style>
  <w:style w:type="character" w:customStyle="1" w:styleId="59">
    <w:name w:val="01、普通正文 Char"/>
    <w:link w:val="30"/>
    <w:qFormat/>
    <w:uiPriority w:val="0"/>
    <w:rPr>
      <w:rFonts w:ascii="宋体" w:hAnsi="宋体" w:eastAsia="宋体"/>
      <w:snapToGrid w:val="0"/>
    </w:rPr>
  </w:style>
  <w:style w:type="character" w:customStyle="1" w:styleId="60">
    <w:name w:val="03、“注：”正文(加粗，首行缩进2字符) Char"/>
    <w:link w:val="52"/>
    <w:qFormat/>
    <w:uiPriority w:val="0"/>
    <w:rPr>
      <w:b/>
    </w:rPr>
  </w:style>
  <w:style w:type="character" w:customStyle="1" w:styleId="61">
    <w:name w:val="05、“(一)”正文三级标题 Char"/>
    <w:link w:val="41"/>
    <w:qFormat/>
    <w:uiPriority w:val="0"/>
    <w:rPr>
      <w:rFonts w:ascii="宋体" w:hAnsi="宋体" w:eastAsia="宋体"/>
    </w:rPr>
  </w:style>
  <w:style w:type="character" w:customStyle="1" w:styleId="62">
    <w:name w:val="04“一、”正文二级标题 Char"/>
    <w:link w:val="53"/>
    <w:qFormat/>
    <w:uiPriority w:val="0"/>
  </w:style>
  <w:style w:type="character" w:customStyle="1" w:styleId="63">
    <w:name w:val="06、“1.”正文四级标题 Char"/>
    <w:link w:val="43"/>
    <w:qFormat/>
    <w:uiPriority w:val="0"/>
    <w:rPr>
      <w:rFonts w:ascii="宋体" w:hAnsi="宋体" w:eastAsia="宋体"/>
      <w:snapToGrid w:val="0"/>
    </w:rPr>
  </w:style>
  <w:style w:type="character" w:customStyle="1" w:styleId="64">
    <w:name w:val="08、“(1)”正文六级标题 Char"/>
    <w:link w:val="45"/>
    <w:qFormat/>
    <w:uiPriority w:val="0"/>
    <w:rPr>
      <w:rFonts w:ascii="宋体" w:hAnsi="宋体" w:eastAsia="宋体"/>
      <w:snapToGrid w:val="0"/>
    </w:rPr>
  </w:style>
  <w:style w:type="character" w:customStyle="1" w:styleId="65">
    <w:name w:val="12、表格内左对齐正文 Char"/>
    <w:link w:val="49"/>
    <w:qFormat/>
    <w:uiPriority w:val="0"/>
    <w:rPr>
      <w:rFonts w:ascii="宋体" w:hAnsi="宋体" w:eastAsia="宋体"/>
      <w:snapToGrid w:val="0"/>
      <w:sz w:val="21"/>
    </w:rPr>
  </w:style>
  <w:style w:type="paragraph" w:customStyle="1" w:styleId="66">
    <w:name w:val="21、合同二级标题序号"/>
    <w:basedOn w:val="30"/>
    <w:qFormat/>
    <w:uiPriority w:val="0"/>
    <w:pPr>
      <w:numPr>
        <w:ilvl w:val="0"/>
        <w:numId w:val="5"/>
      </w:numPr>
      <w:ind w:firstLine="803" w:firstLineChars="200"/>
      <w:outlineLvl w:val="1"/>
    </w:pPr>
    <w:rPr>
      <w:b/>
    </w:rPr>
  </w:style>
  <w:style w:type="character" w:customStyle="1" w:styleId="67">
    <w:name w:val="17“1.”四级标题 Char"/>
    <w:link w:val="33"/>
    <w:qFormat/>
    <w:uiPriority w:val="0"/>
    <w:rPr>
      <w:rFonts w:ascii="宋体" w:hAnsi="宋体" w:eastAsia="宋体"/>
    </w:rPr>
  </w:style>
  <w:style w:type="paragraph" w:customStyle="1" w:styleId="68">
    <w:name w:val="正文首行缩进两字符"/>
    <w:basedOn w:val="1"/>
    <w:qFormat/>
    <w:uiPriority w:val="0"/>
    <w:pPr>
      <w:spacing w:line="360" w:lineRule="auto"/>
      <w:ind w:firstLine="200" w:firstLineChars="200"/>
      <w:jc w:val="both"/>
    </w:pPr>
    <w:rPr>
      <w:sz w:val="21"/>
      <w:szCs w:val="20"/>
    </w:rPr>
  </w:style>
  <w:style w:type="paragraph" w:customStyle="1" w:styleId="69">
    <w:name w:val="样式 首行缩进:  2 字符"/>
    <w:basedOn w:val="1"/>
    <w:qFormat/>
    <w:uiPriority w:val="0"/>
    <w:pPr>
      <w:ind w:firstLine="420" w:firstLineChars="200"/>
      <w:jc w:val="both"/>
    </w:pPr>
    <w:rPr>
      <w:rFonts w:cs="宋体"/>
      <w:sz w:val="21"/>
      <w:szCs w:val="20"/>
    </w:rPr>
  </w:style>
  <w:style w:type="paragraph" w:customStyle="1" w:styleId="70">
    <w:name w:val="21、第三章“(一)”三级标题"/>
    <w:basedOn w:val="30"/>
    <w:qFormat/>
    <w:uiPriority w:val="0"/>
    <w:pPr>
      <w:pageBreakBefore/>
      <w:numPr>
        <w:ilvl w:val="0"/>
        <w:numId w:val="6"/>
      </w:numPr>
      <w:spacing w:before="50" w:beforeLines="50" w:after="50" w:afterLines="50"/>
      <w:jc w:val="center"/>
      <w:outlineLvl w:val="2"/>
    </w:pPr>
    <w:rPr>
      <w:b/>
      <w:sz w:val="28"/>
    </w:rPr>
  </w:style>
  <w:style w:type="paragraph" w:customStyle="1" w:styleId="71">
    <w:name w:val="修订1"/>
    <w:hidden/>
    <w:semiHidden/>
    <w:qFormat/>
    <w:uiPriority w:val="99"/>
    <w:rPr>
      <w:rFonts w:ascii="宋体" w:hAnsi="宋体" w:eastAsia="宋体" w:cstheme="minorBidi"/>
      <w:kern w:val="2"/>
      <w:sz w:val="24"/>
      <w:szCs w:val="24"/>
      <w:lang w:val="en-US" w:eastAsia="zh-CN" w:bidi="ar-SA"/>
    </w:rPr>
  </w:style>
  <w:style w:type="character" w:customStyle="1" w:styleId="72">
    <w:name w:val="批注文字 字符"/>
    <w:basedOn w:val="26"/>
    <w:link w:val="12"/>
    <w:qFormat/>
    <w:uiPriority w:val="0"/>
    <w:rPr>
      <w:rFonts w:ascii="宋体" w:hAnsi="宋体" w:eastAsia="宋体"/>
      <w:kern w:val="2"/>
      <w:sz w:val="24"/>
      <w:szCs w:val="24"/>
    </w:rPr>
  </w:style>
  <w:style w:type="character" w:customStyle="1" w:styleId="73">
    <w:name w:val="批注主题 字符"/>
    <w:basedOn w:val="72"/>
    <w:link w:val="23"/>
    <w:qFormat/>
    <w:uiPriority w:val="0"/>
    <w:rPr>
      <w:rFonts w:ascii="宋体" w:hAnsi="宋体" w:eastAsia="宋体"/>
      <w:b/>
      <w:bCs/>
      <w:kern w:val="2"/>
      <w:sz w:val="24"/>
      <w:szCs w:val="24"/>
    </w:rPr>
  </w:style>
  <w:style w:type="character" w:customStyle="1" w:styleId="74">
    <w:name w:val="批注框文本 字符"/>
    <w:basedOn w:val="26"/>
    <w:link w:val="16"/>
    <w:qFormat/>
    <w:uiPriority w:val="0"/>
    <w:rPr>
      <w:rFonts w:ascii="宋体" w:hAnsi="宋体" w:eastAsia="宋体"/>
      <w:kern w:val="2"/>
      <w:sz w:val="18"/>
      <w:szCs w:val="18"/>
    </w:rPr>
  </w:style>
  <w:style w:type="paragraph" w:customStyle="1" w:styleId="75">
    <w:name w:val="Revision"/>
    <w:hidden/>
    <w:unhideWhenUsed/>
    <w:qFormat/>
    <w:uiPriority w:val="99"/>
    <w:rPr>
      <w:rFonts w:ascii="宋体" w:hAnsi="宋体" w:eastAsia="宋体"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GIF"/><Relationship Id="rId23" Type="http://schemas.openxmlformats.org/officeDocument/2006/relationships/image" Target="media/image2.GIF"/><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129</Pages>
  <Words>62862</Words>
  <Characters>65534</Characters>
  <Lines>565</Lines>
  <Paragraphs>159</Paragraphs>
  <TotalTime>20</TotalTime>
  <ScaleCrop>false</ScaleCrop>
  <LinksUpToDate>false</LinksUpToDate>
  <CharactersWithSpaces>70811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2022-03-17T03:25:00Z</dcterms:created>
  <dc:creator>qxzb</dc:creator>
  <cp:lastModifiedBy>乾新</cp:lastModifiedBy>
  <cp:lastPrinted>2018-12-21T06:52:00Z</cp:lastPrinted>
  <dcterms:modified xsi:type="dcterms:W3CDTF">2022-04-06T07:57:32Z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33641BBAF79B47AB992F9F5C137BC582</vt:lpwstr>
  </property>
</Properties>
</file>